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75" w:rsidRDefault="001F403D" w:rsidP="001F403D">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A0A2666-D4CA-4C2E-AE91-6A5EF58CF4C2" style="width:451pt;height:430.65pt">
            <v:imagedata r:id="rId8" o:title=""/>
          </v:shape>
        </w:pict>
      </w:r>
    </w:p>
    <w:bookmarkEnd w:id="0"/>
    <w:p w:rsidR="00620F75" w:rsidRDefault="00620F75">
      <w:pPr>
        <w:rPr>
          <w:noProof/>
          <w:lang w:val="en-US"/>
        </w:rPr>
        <w:sectPr w:rsidR="00620F75" w:rsidSect="001F403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sdt>
      <w:sdtPr>
        <w:rPr>
          <w:rFonts w:ascii="EC Square Sans Pro" w:eastAsiaTheme="minorHAnsi" w:hAnsi="EC Square Sans Pro" w:cstheme="minorBidi"/>
          <w:noProof/>
          <w:color w:val="auto"/>
          <w:sz w:val="24"/>
          <w:szCs w:val="22"/>
          <w:lang w:val="en-GB"/>
        </w:rPr>
        <w:id w:val="790474294"/>
        <w:docPartObj>
          <w:docPartGallery w:val="Table of Contents"/>
          <w:docPartUnique/>
        </w:docPartObj>
      </w:sdtPr>
      <w:sdtEndPr/>
      <w:sdtContent>
        <w:p w:rsidR="00620F75" w:rsidRDefault="001F403D">
          <w:pPr>
            <w:pStyle w:val="TOCHeading"/>
            <w:spacing w:before="0" w:line="240" w:lineRule="auto"/>
            <w:rPr>
              <w:noProof/>
            </w:rPr>
          </w:pPr>
          <w:r>
            <w:rPr>
              <w:noProof/>
            </w:rPr>
            <w:t>Contents</w:t>
          </w:r>
        </w:p>
        <w:p w:rsidR="00620F75" w:rsidRDefault="001F403D">
          <w:pPr>
            <w:pStyle w:val="TOC1"/>
            <w:spacing w:before="60" w:after="60"/>
            <w:rPr>
              <w:rFonts w:asciiTheme="minorHAnsi" w:eastAsiaTheme="minorEastAsia" w:hAnsiTheme="minorHAnsi"/>
              <w:noProof/>
              <w:sz w:val="22"/>
              <w:lang w:val="fr-BE" w:eastAsia="fr-BE"/>
            </w:rPr>
          </w:pPr>
          <w:r>
            <w:rPr>
              <w:noProof/>
            </w:rPr>
            <w:fldChar w:fldCharType="begin"/>
          </w:r>
          <w:r>
            <w:rPr>
              <w:noProof/>
            </w:rPr>
            <w:instrText xml:space="preserve"> TOC \o "1-3" \h \z \u </w:instrText>
          </w:r>
          <w:r>
            <w:rPr>
              <w:noProof/>
            </w:rPr>
            <w:fldChar w:fldCharType="separate"/>
          </w:r>
          <w:hyperlink w:anchor="_Toc43376092" w:history="1">
            <w:r>
              <w:rPr>
                <w:rStyle w:val="Hyperlink"/>
                <w:noProof/>
              </w:rPr>
              <w:t>1.</w:t>
            </w:r>
            <w:r>
              <w:rPr>
                <w:rFonts w:asciiTheme="minorHAnsi" w:eastAsiaTheme="minorEastAsia" w:hAnsiTheme="minorHAnsi"/>
                <w:noProof/>
                <w:sz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_Toc43376092 \h </w:instrText>
            </w:r>
            <w:r>
              <w:rPr>
                <w:noProof/>
                <w:webHidden/>
              </w:rPr>
            </w:r>
            <w:r>
              <w:rPr>
                <w:noProof/>
                <w:webHidden/>
              </w:rPr>
              <w:fldChar w:fldCharType="separate"/>
            </w:r>
            <w:r>
              <w:rPr>
                <w:noProof/>
                <w:webHidden/>
              </w:rPr>
              <w:t>2</w:t>
            </w:r>
            <w:r>
              <w:rPr>
                <w:noProof/>
                <w:webHidden/>
              </w:rPr>
              <w:fldChar w:fldCharType="end"/>
            </w:r>
          </w:hyperlink>
        </w:p>
        <w:p w:rsidR="00620F75" w:rsidRDefault="001F403D">
          <w:pPr>
            <w:pStyle w:val="TOC1"/>
            <w:spacing w:before="60" w:after="60"/>
            <w:rPr>
              <w:rFonts w:asciiTheme="minorHAnsi" w:eastAsiaTheme="minorEastAsia" w:hAnsiTheme="minorHAnsi"/>
              <w:noProof/>
              <w:sz w:val="22"/>
              <w:lang w:val="fr-BE" w:eastAsia="fr-BE"/>
            </w:rPr>
          </w:pPr>
          <w:hyperlink w:anchor="_Toc43376093" w:history="1">
            <w:r>
              <w:rPr>
                <w:rStyle w:val="Hyperlink"/>
                <w:noProof/>
              </w:rPr>
              <w:t>2.</w:t>
            </w:r>
            <w:r>
              <w:rPr>
                <w:rFonts w:asciiTheme="minorHAnsi" w:eastAsiaTheme="minorEastAsia" w:hAnsiTheme="minorHAnsi"/>
                <w:noProof/>
                <w:sz w:val="22"/>
                <w:lang w:val="fr-BE" w:eastAsia="fr-BE"/>
              </w:rPr>
              <w:tab/>
            </w:r>
            <w:r>
              <w:rPr>
                <w:rStyle w:val="Hyperlink"/>
                <w:noProof/>
              </w:rPr>
              <w:t>Political context</w:t>
            </w:r>
            <w:r>
              <w:rPr>
                <w:noProof/>
                <w:webHidden/>
              </w:rPr>
              <w:tab/>
            </w:r>
            <w:r>
              <w:rPr>
                <w:noProof/>
                <w:webHidden/>
              </w:rPr>
              <w:fldChar w:fldCharType="begin"/>
            </w:r>
            <w:r>
              <w:rPr>
                <w:noProof/>
                <w:webHidden/>
              </w:rPr>
              <w:instrText xml:space="preserve"> PAGEREF _Toc43376093 \h </w:instrText>
            </w:r>
            <w:r>
              <w:rPr>
                <w:noProof/>
                <w:webHidden/>
              </w:rPr>
            </w:r>
            <w:r>
              <w:rPr>
                <w:noProof/>
                <w:webHidden/>
              </w:rPr>
              <w:fldChar w:fldCharType="separate"/>
            </w:r>
            <w:r>
              <w:rPr>
                <w:noProof/>
                <w:webHidden/>
              </w:rPr>
              <w:t>7</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094" w:history="1">
            <w:r>
              <w:rPr>
                <w:rStyle w:val="Hyperlink"/>
                <w:noProof/>
                <w:lang w:val="en-US"/>
              </w:rPr>
              <w:t>2.1.</w:t>
            </w:r>
            <w:r>
              <w:rPr>
                <w:rFonts w:asciiTheme="minorHAnsi" w:eastAsiaTheme="minorEastAsia" w:hAnsiTheme="minorHAnsi"/>
                <w:noProof/>
                <w:sz w:val="22"/>
                <w:lang w:val="fr-BE" w:eastAsia="fr-BE"/>
              </w:rPr>
              <w:tab/>
            </w:r>
            <w:r>
              <w:rPr>
                <w:rStyle w:val="Hyperlink"/>
                <w:noProof/>
                <w:lang w:val="en-US"/>
              </w:rPr>
              <w:t xml:space="preserve">VET </w:t>
            </w:r>
            <w:r>
              <w:rPr>
                <w:rStyle w:val="Hyperlink"/>
                <w:noProof/>
                <w:lang w:val="en-US"/>
              </w:rPr>
              <w:t>policy in Europe</w:t>
            </w:r>
            <w:r>
              <w:rPr>
                <w:noProof/>
                <w:webHidden/>
              </w:rPr>
              <w:tab/>
            </w:r>
            <w:r>
              <w:rPr>
                <w:noProof/>
                <w:webHidden/>
              </w:rPr>
              <w:fldChar w:fldCharType="begin"/>
            </w:r>
            <w:r>
              <w:rPr>
                <w:noProof/>
                <w:webHidden/>
              </w:rPr>
              <w:instrText xml:space="preserve"> PAGEREF _Toc43376094 \h </w:instrText>
            </w:r>
            <w:r>
              <w:rPr>
                <w:noProof/>
                <w:webHidden/>
              </w:rPr>
            </w:r>
            <w:r>
              <w:rPr>
                <w:noProof/>
                <w:webHidden/>
              </w:rPr>
              <w:fldChar w:fldCharType="separate"/>
            </w:r>
            <w:r>
              <w:rPr>
                <w:noProof/>
                <w:webHidden/>
              </w:rPr>
              <w:t>9</w:t>
            </w:r>
            <w:r>
              <w:rPr>
                <w:noProof/>
                <w:webHidden/>
              </w:rPr>
              <w:fldChar w:fldCharType="end"/>
            </w:r>
          </w:hyperlink>
        </w:p>
        <w:p w:rsidR="00620F75" w:rsidRDefault="001F403D">
          <w:pPr>
            <w:pStyle w:val="TOC1"/>
            <w:spacing w:before="60" w:after="60"/>
            <w:rPr>
              <w:rFonts w:asciiTheme="minorHAnsi" w:eastAsiaTheme="minorEastAsia" w:hAnsiTheme="minorHAnsi"/>
              <w:noProof/>
              <w:sz w:val="22"/>
              <w:lang w:val="fr-BE" w:eastAsia="fr-BE"/>
            </w:rPr>
          </w:pPr>
          <w:hyperlink w:anchor="_Toc43376095" w:history="1">
            <w:r>
              <w:rPr>
                <w:rStyle w:val="Hyperlink"/>
                <w:noProof/>
                <w:lang w:val="en-US"/>
              </w:rPr>
              <w:t>3.</w:t>
            </w:r>
            <w:r>
              <w:rPr>
                <w:rFonts w:asciiTheme="minorHAnsi" w:eastAsiaTheme="minorEastAsia" w:hAnsiTheme="minorHAnsi"/>
                <w:noProof/>
                <w:sz w:val="22"/>
                <w:lang w:val="fr-BE" w:eastAsia="fr-BE"/>
              </w:rPr>
              <w:tab/>
            </w:r>
            <w:r>
              <w:rPr>
                <w:rStyle w:val="Hyperlink"/>
                <w:noProof/>
                <w:lang w:val="en-US"/>
              </w:rPr>
              <w:t>State of play of VET</w:t>
            </w:r>
            <w:r>
              <w:rPr>
                <w:noProof/>
                <w:webHidden/>
              </w:rPr>
              <w:tab/>
            </w:r>
            <w:r>
              <w:rPr>
                <w:noProof/>
                <w:webHidden/>
              </w:rPr>
              <w:fldChar w:fldCharType="begin"/>
            </w:r>
            <w:r>
              <w:rPr>
                <w:noProof/>
                <w:webHidden/>
              </w:rPr>
              <w:instrText xml:space="preserve"> PAGEREF _Toc43376095 \h </w:instrText>
            </w:r>
            <w:r>
              <w:rPr>
                <w:noProof/>
                <w:webHidden/>
              </w:rPr>
            </w:r>
            <w:r>
              <w:rPr>
                <w:noProof/>
                <w:webHidden/>
              </w:rPr>
              <w:fldChar w:fldCharType="separate"/>
            </w:r>
            <w:r>
              <w:rPr>
                <w:noProof/>
                <w:webHidden/>
              </w:rPr>
              <w:t>13</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096" w:history="1">
            <w:r>
              <w:rPr>
                <w:rStyle w:val="Hyperlink"/>
                <w:noProof/>
                <w:lang w:val="en-US"/>
              </w:rPr>
              <w:t>3.1.</w:t>
            </w:r>
            <w:r>
              <w:rPr>
                <w:rFonts w:asciiTheme="minorHAnsi" w:eastAsiaTheme="minorEastAsia" w:hAnsiTheme="minorHAnsi"/>
                <w:noProof/>
                <w:sz w:val="22"/>
                <w:lang w:val="fr-BE" w:eastAsia="fr-BE"/>
              </w:rPr>
              <w:tab/>
            </w:r>
            <w:r>
              <w:rPr>
                <w:rStyle w:val="Hyperlink"/>
                <w:noProof/>
                <w:lang w:val="en-US"/>
              </w:rPr>
              <w:t>Prevalence, benefits and outcomes of VET</w:t>
            </w:r>
            <w:r>
              <w:rPr>
                <w:noProof/>
                <w:webHidden/>
              </w:rPr>
              <w:tab/>
            </w:r>
            <w:r>
              <w:rPr>
                <w:noProof/>
                <w:webHidden/>
              </w:rPr>
              <w:fldChar w:fldCharType="begin"/>
            </w:r>
            <w:r>
              <w:rPr>
                <w:noProof/>
                <w:webHidden/>
              </w:rPr>
              <w:instrText xml:space="preserve"> PAGEREF _Toc43376096 \h </w:instrText>
            </w:r>
            <w:r>
              <w:rPr>
                <w:noProof/>
                <w:webHidden/>
              </w:rPr>
            </w:r>
            <w:r>
              <w:rPr>
                <w:noProof/>
                <w:webHidden/>
              </w:rPr>
              <w:fldChar w:fldCharType="separate"/>
            </w:r>
            <w:r>
              <w:rPr>
                <w:noProof/>
                <w:webHidden/>
              </w:rPr>
              <w:t>13</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097" w:history="1">
            <w:r>
              <w:rPr>
                <w:rStyle w:val="Hyperlink"/>
                <w:noProof/>
                <w:lang w:val="en-US"/>
              </w:rPr>
              <w:t>3.2.</w:t>
            </w:r>
            <w:r>
              <w:rPr>
                <w:rFonts w:asciiTheme="minorHAnsi" w:eastAsiaTheme="minorEastAsia" w:hAnsiTheme="minorHAnsi"/>
                <w:noProof/>
                <w:sz w:val="22"/>
                <w:lang w:val="fr-BE" w:eastAsia="fr-BE"/>
              </w:rPr>
              <w:tab/>
            </w:r>
            <w:r>
              <w:rPr>
                <w:rStyle w:val="Hyperlink"/>
                <w:noProof/>
                <w:lang w:val="en-US"/>
              </w:rPr>
              <w:t>Member States progress towards common (Riga</w:t>
            </w:r>
            <w:r>
              <w:rPr>
                <w:rStyle w:val="Hyperlink"/>
                <w:noProof/>
                <w:lang w:val="en-US"/>
              </w:rPr>
              <w:t>) priorities</w:t>
            </w:r>
            <w:r>
              <w:rPr>
                <w:noProof/>
                <w:webHidden/>
              </w:rPr>
              <w:tab/>
            </w:r>
            <w:r>
              <w:rPr>
                <w:noProof/>
                <w:webHidden/>
              </w:rPr>
              <w:fldChar w:fldCharType="begin"/>
            </w:r>
            <w:r>
              <w:rPr>
                <w:noProof/>
                <w:webHidden/>
              </w:rPr>
              <w:instrText xml:space="preserve"> PAGEREF _Toc43376097 \h </w:instrText>
            </w:r>
            <w:r>
              <w:rPr>
                <w:noProof/>
                <w:webHidden/>
              </w:rPr>
            </w:r>
            <w:r>
              <w:rPr>
                <w:noProof/>
                <w:webHidden/>
              </w:rPr>
              <w:fldChar w:fldCharType="separate"/>
            </w:r>
            <w:r>
              <w:rPr>
                <w:noProof/>
                <w:webHidden/>
              </w:rPr>
              <w:t>21</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098" w:history="1">
            <w:r>
              <w:rPr>
                <w:rStyle w:val="Hyperlink"/>
                <w:noProof/>
                <w:lang w:val="en-US"/>
              </w:rPr>
              <w:t>3.2.1.</w:t>
            </w:r>
            <w:r>
              <w:rPr>
                <w:rFonts w:asciiTheme="minorHAnsi" w:eastAsiaTheme="minorEastAsia" w:hAnsiTheme="minorHAnsi"/>
                <w:noProof/>
                <w:sz w:val="22"/>
                <w:lang w:val="fr-BE" w:eastAsia="fr-BE"/>
              </w:rPr>
              <w:tab/>
            </w:r>
            <w:r>
              <w:rPr>
                <w:rStyle w:val="Hyperlink"/>
                <w:noProof/>
                <w:lang w:val="en-US"/>
              </w:rPr>
              <w:t>Priority 1 - Promote work-based learning in all its forms, with special attention to apprenticeships</w:t>
            </w:r>
            <w:r>
              <w:rPr>
                <w:noProof/>
                <w:webHidden/>
              </w:rPr>
              <w:tab/>
            </w:r>
            <w:r>
              <w:rPr>
                <w:noProof/>
                <w:webHidden/>
              </w:rPr>
              <w:fldChar w:fldCharType="begin"/>
            </w:r>
            <w:r>
              <w:rPr>
                <w:noProof/>
                <w:webHidden/>
              </w:rPr>
              <w:instrText xml:space="preserve"> PAGEREF _Toc43376098 \h </w:instrText>
            </w:r>
            <w:r>
              <w:rPr>
                <w:noProof/>
                <w:webHidden/>
              </w:rPr>
            </w:r>
            <w:r>
              <w:rPr>
                <w:noProof/>
                <w:webHidden/>
              </w:rPr>
              <w:fldChar w:fldCharType="separate"/>
            </w:r>
            <w:r>
              <w:rPr>
                <w:noProof/>
                <w:webHidden/>
              </w:rPr>
              <w:t>22</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099" w:history="1">
            <w:r>
              <w:rPr>
                <w:rStyle w:val="Hyperlink"/>
                <w:noProof/>
                <w:lang w:val="en-US"/>
              </w:rPr>
              <w:t>3.2.2.</w:t>
            </w:r>
            <w:r>
              <w:rPr>
                <w:rFonts w:asciiTheme="minorHAnsi" w:eastAsiaTheme="minorEastAsia" w:hAnsiTheme="minorHAnsi"/>
                <w:noProof/>
                <w:sz w:val="22"/>
                <w:lang w:val="fr-BE" w:eastAsia="fr-BE"/>
              </w:rPr>
              <w:tab/>
            </w:r>
            <w:r>
              <w:rPr>
                <w:rStyle w:val="Hyperlink"/>
                <w:noProof/>
                <w:lang w:val="en-US"/>
              </w:rPr>
              <w:t>Priority 2 - develop quality assurance mechanisms in VET and continuous information and feedback loops</w:t>
            </w:r>
            <w:r>
              <w:rPr>
                <w:noProof/>
                <w:webHidden/>
              </w:rPr>
              <w:tab/>
            </w:r>
            <w:r>
              <w:rPr>
                <w:noProof/>
                <w:webHidden/>
              </w:rPr>
              <w:fldChar w:fldCharType="begin"/>
            </w:r>
            <w:r>
              <w:rPr>
                <w:noProof/>
                <w:webHidden/>
              </w:rPr>
              <w:instrText xml:space="preserve"> PAGEREF _Toc43376099 \h </w:instrText>
            </w:r>
            <w:r>
              <w:rPr>
                <w:noProof/>
                <w:webHidden/>
              </w:rPr>
            </w:r>
            <w:r>
              <w:rPr>
                <w:noProof/>
                <w:webHidden/>
              </w:rPr>
              <w:fldChar w:fldCharType="separate"/>
            </w:r>
            <w:r>
              <w:rPr>
                <w:noProof/>
                <w:webHidden/>
              </w:rPr>
              <w:t>24</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0" w:history="1">
            <w:r>
              <w:rPr>
                <w:rStyle w:val="Hyperlink"/>
                <w:noProof/>
                <w:lang w:val="en-US"/>
              </w:rPr>
              <w:t>3.2.3.</w:t>
            </w:r>
            <w:r>
              <w:rPr>
                <w:rFonts w:asciiTheme="minorHAnsi" w:eastAsiaTheme="minorEastAsia" w:hAnsiTheme="minorHAnsi"/>
                <w:noProof/>
                <w:sz w:val="22"/>
                <w:lang w:val="fr-BE" w:eastAsia="fr-BE"/>
              </w:rPr>
              <w:tab/>
            </w:r>
            <w:r>
              <w:rPr>
                <w:rStyle w:val="Hyperlink"/>
                <w:noProof/>
                <w:lang w:val="en-US"/>
              </w:rPr>
              <w:t>Priority 3 - access to VET and qualifications for all</w:t>
            </w:r>
            <w:r>
              <w:rPr>
                <w:noProof/>
                <w:webHidden/>
              </w:rPr>
              <w:tab/>
            </w:r>
            <w:r>
              <w:rPr>
                <w:noProof/>
                <w:webHidden/>
              </w:rPr>
              <w:fldChar w:fldCharType="begin"/>
            </w:r>
            <w:r>
              <w:rPr>
                <w:noProof/>
                <w:webHidden/>
              </w:rPr>
              <w:instrText xml:space="preserve"> PAGEREF _Toc43376100 \h </w:instrText>
            </w:r>
            <w:r>
              <w:rPr>
                <w:noProof/>
                <w:webHidden/>
              </w:rPr>
            </w:r>
            <w:r>
              <w:rPr>
                <w:noProof/>
                <w:webHidden/>
              </w:rPr>
              <w:fldChar w:fldCharType="separate"/>
            </w:r>
            <w:r>
              <w:rPr>
                <w:noProof/>
                <w:webHidden/>
              </w:rPr>
              <w:t>26</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1" w:history="1">
            <w:r>
              <w:rPr>
                <w:rStyle w:val="Hyperlink"/>
                <w:noProof/>
                <w:lang w:val="en-US"/>
              </w:rPr>
              <w:t>3.2.4.</w:t>
            </w:r>
            <w:r>
              <w:rPr>
                <w:rFonts w:asciiTheme="minorHAnsi" w:eastAsiaTheme="minorEastAsia" w:hAnsiTheme="minorHAnsi"/>
                <w:noProof/>
                <w:sz w:val="22"/>
                <w:lang w:val="fr-BE" w:eastAsia="fr-BE"/>
              </w:rPr>
              <w:tab/>
            </w:r>
            <w:r>
              <w:rPr>
                <w:rStyle w:val="Hyperlink"/>
                <w:noProof/>
                <w:lang w:val="en-US"/>
              </w:rPr>
              <w:t>Priority 4 – strengthen key competences</w:t>
            </w:r>
            <w:r>
              <w:rPr>
                <w:noProof/>
                <w:webHidden/>
              </w:rPr>
              <w:tab/>
            </w:r>
            <w:r>
              <w:rPr>
                <w:noProof/>
                <w:webHidden/>
              </w:rPr>
              <w:fldChar w:fldCharType="begin"/>
            </w:r>
            <w:r>
              <w:rPr>
                <w:noProof/>
                <w:webHidden/>
              </w:rPr>
              <w:instrText xml:space="preserve"> PAGEREF _Toc43376101 \h </w:instrText>
            </w:r>
            <w:r>
              <w:rPr>
                <w:noProof/>
                <w:webHidden/>
              </w:rPr>
            </w:r>
            <w:r>
              <w:rPr>
                <w:noProof/>
                <w:webHidden/>
              </w:rPr>
              <w:fldChar w:fldCharType="separate"/>
            </w:r>
            <w:r>
              <w:rPr>
                <w:noProof/>
                <w:webHidden/>
              </w:rPr>
              <w:t>28</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2" w:history="1">
            <w:r>
              <w:rPr>
                <w:rStyle w:val="Hyperlink"/>
                <w:noProof/>
                <w:lang w:val="en-US"/>
              </w:rPr>
              <w:t>3.2.5.</w:t>
            </w:r>
            <w:r>
              <w:rPr>
                <w:rFonts w:asciiTheme="minorHAnsi" w:eastAsiaTheme="minorEastAsia" w:hAnsiTheme="minorHAnsi"/>
                <w:noProof/>
                <w:sz w:val="22"/>
                <w:lang w:val="fr-BE" w:eastAsia="fr-BE"/>
              </w:rPr>
              <w:tab/>
            </w:r>
            <w:r>
              <w:rPr>
                <w:rStyle w:val="Hyperlink"/>
                <w:noProof/>
                <w:lang w:val="en-US"/>
              </w:rPr>
              <w:t>Priority 5 - init</w:t>
            </w:r>
            <w:r>
              <w:rPr>
                <w:rStyle w:val="Hyperlink"/>
                <w:noProof/>
                <w:lang w:val="en-US"/>
              </w:rPr>
              <w:t>ial and continuous professional development of VET teachers, trainers and mentors</w:t>
            </w:r>
            <w:r>
              <w:rPr>
                <w:noProof/>
                <w:webHidden/>
              </w:rPr>
              <w:tab/>
            </w:r>
            <w:r>
              <w:rPr>
                <w:noProof/>
                <w:webHidden/>
              </w:rPr>
              <w:fldChar w:fldCharType="begin"/>
            </w:r>
            <w:r>
              <w:rPr>
                <w:noProof/>
                <w:webHidden/>
              </w:rPr>
              <w:instrText xml:space="preserve"> PAGEREF _Toc43376102 \h </w:instrText>
            </w:r>
            <w:r>
              <w:rPr>
                <w:noProof/>
                <w:webHidden/>
              </w:rPr>
            </w:r>
            <w:r>
              <w:rPr>
                <w:noProof/>
                <w:webHidden/>
              </w:rPr>
              <w:fldChar w:fldCharType="separate"/>
            </w:r>
            <w:r>
              <w:rPr>
                <w:noProof/>
                <w:webHidden/>
              </w:rPr>
              <w:t>29</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03" w:history="1">
            <w:r>
              <w:rPr>
                <w:rStyle w:val="Hyperlink"/>
                <w:noProof/>
                <w:lang w:val="en-US"/>
              </w:rPr>
              <w:t>3.3.</w:t>
            </w:r>
            <w:r>
              <w:rPr>
                <w:rFonts w:asciiTheme="minorHAnsi" w:eastAsiaTheme="minorEastAsia" w:hAnsiTheme="minorHAnsi"/>
                <w:noProof/>
                <w:sz w:val="22"/>
                <w:lang w:val="fr-BE" w:eastAsia="fr-BE"/>
              </w:rPr>
              <w:tab/>
            </w:r>
            <w:r>
              <w:rPr>
                <w:rStyle w:val="Hyperlink"/>
                <w:noProof/>
                <w:lang w:val="en-US"/>
              </w:rPr>
              <w:t>Overview of EU support</w:t>
            </w:r>
            <w:r>
              <w:rPr>
                <w:noProof/>
                <w:webHidden/>
              </w:rPr>
              <w:tab/>
            </w:r>
            <w:r>
              <w:rPr>
                <w:noProof/>
                <w:webHidden/>
              </w:rPr>
              <w:fldChar w:fldCharType="begin"/>
            </w:r>
            <w:r>
              <w:rPr>
                <w:noProof/>
                <w:webHidden/>
              </w:rPr>
              <w:instrText xml:space="preserve"> PAGEREF _Toc4337610</w:instrText>
            </w:r>
            <w:r>
              <w:rPr>
                <w:noProof/>
                <w:webHidden/>
              </w:rPr>
              <w:instrText xml:space="preserve">3 \h </w:instrText>
            </w:r>
            <w:r>
              <w:rPr>
                <w:noProof/>
                <w:webHidden/>
              </w:rPr>
            </w:r>
            <w:r>
              <w:rPr>
                <w:noProof/>
                <w:webHidden/>
              </w:rPr>
              <w:fldChar w:fldCharType="separate"/>
            </w:r>
            <w:r>
              <w:rPr>
                <w:noProof/>
                <w:webHidden/>
              </w:rPr>
              <w:t>30</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4" w:history="1">
            <w:r>
              <w:rPr>
                <w:rStyle w:val="Hyperlink"/>
                <w:noProof/>
                <w:lang w:val="en-US"/>
              </w:rPr>
              <w:t>3.3.1.</w:t>
            </w:r>
            <w:r>
              <w:rPr>
                <w:rFonts w:asciiTheme="minorHAnsi" w:eastAsiaTheme="minorEastAsia" w:hAnsiTheme="minorHAnsi"/>
                <w:noProof/>
                <w:sz w:val="22"/>
                <w:lang w:val="fr-BE" w:eastAsia="fr-BE"/>
              </w:rPr>
              <w:tab/>
            </w:r>
            <w:r>
              <w:rPr>
                <w:rStyle w:val="Hyperlink"/>
                <w:noProof/>
                <w:lang w:val="en-US"/>
              </w:rPr>
              <w:t>Legal acts</w:t>
            </w:r>
            <w:r>
              <w:rPr>
                <w:noProof/>
                <w:webHidden/>
              </w:rPr>
              <w:tab/>
            </w:r>
            <w:r>
              <w:rPr>
                <w:noProof/>
                <w:webHidden/>
              </w:rPr>
              <w:fldChar w:fldCharType="begin"/>
            </w:r>
            <w:r>
              <w:rPr>
                <w:noProof/>
                <w:webHidden/>
              </w:rPr>
              <w:instrText xml:space="preserve"> PAGEREF _Toc43376104 \h </w:instrText>
            </w:r>
            <w:r>
              <w:rPr>
                <w:noProof/>
                <w:webHidden/>
              </w:rPr>
            </w:r>
            <w:r>
              <w:rPr>
                <w:noProof/>
                <w:webHidden/>
              </w:rPr>
              <w:fldChar w:fldCharType="separate"/>
            </w:r>
            <w:r>
              <w:rPr>
                <w:noProof/>
                <w:webHidden/>
              </w:rPr>
              <w:t>31</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5" w:history="1">
            <w:r>
              <w:rPr>
                <w:rStyle w:val="Hyperlink"/>
                <w:noProof/>
              </w:rPr>
              <w:t>3.3.2.</w:t>
            </w:r>
            <w:r>
              <w:rPr>
                <w:rFonts w:asciiTheme="minorHAnsi" w:eastAsiaTheme="minorEastAsia" w:hAnsiTheme="minorHAnsi"/>
                <w:noProof/>
                <w:sz w:val="22"/>
                <w:lang w:val="fr-BE" w:eastAsia="fr-BE"/>
              </w:rPr>
              <w:tab/>
            </w:r>
            <w:r>
              <w:rPr>
                <w:rStyle w:val="Hyperlink"/>
                <w:noProof/>
              </w:rPr>
              <w:t>Fostering exchanges and mutual learning</w:t>
            </w:r>
            <w:r>
              <w:rPr>
                <w:noProof/>
                <w:webHidden/>
              </w:rPr>
              <w:tab/>
            </w:r>
            <w:r>
              <w:rPr>
                <w:noProof/>
                <w:webHidden/>
              </w:rPr>
              <w:fldChar w:fldCharType="begin"/>
            </w:r>
            <w:r>
              <w:rPr>
                <w:noProof/>
                <w:webHidden/>
              </w:rPr>
              <w:instrText xml:space="preserve"> PAGEREF _Toc43376105 \h </w:instrText>
            </w:r>
            <w:r>
              <w:rPr>
                <w:noProof/>
                <w:webHidden/>
              </w:rPr>
            </w:r>
            <w:r>
              <w:rPr>
                <w:noProof/>
                <w:webHidden/>
              </w:rPr>
              <w:fldChar w:fldCharType="separate"/>
            </w:r>
            <w:r>
              <w:rPr>
                <w:noProof/>
                <w:webHidden/>
              </w:rPr>
              <w:t>39</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6" w:history="1">
            <w:r>
              <w:rPr>
                <w:rStyle w:val="Hyperlink"/>
                <w:noProof/>
              </w:rPr>
              <w:t>3.3.3.</w:t>
            </w:r>
            <w:r>
              <w:rPr>
                <w:rFonts w:asciiTheme="minorHAnsi" w:eastAsiaTheme="minorEastAsia" w:hAnsiTheme="minorHAnsi"/>
                <w:noProof/>
                <w:sz w:val="22"/>
                <w:lang w:val="fr-BE" w:eastAsia="fr-BE"/>
              </w:rPr>
              <w:tab/>
            </w:r>
            <w:r>
              <w:rPr>
                <w:rStyle w:val="Hyperlink"/>
                <w:noProof/>
              </w:rPr>
              <w:t>Policy initiatives</w:t>
            </w:r>
            <w:r>
              <w:rPr>
                <w:noProof/>
                <w:webHidden/>
              </w:rPr>
              <w:tab/>
            </w:r>
            <w:r>
              <w:rPr>
                <w:noProof/>
                <w:webHidden/>
              </w:rPr>
              <w:fldChar w:fldCharType="begin"/>
            </w:r>
            <w:r>
              <w:rPr>
                <w:noProof/>
                <w:webHidden/>
              </w:rPr>
              <w:instrText xml:space="preserve"> PAGEREF _Toc43376106 \h </w:instrText>
            </w:r>
            <w:r>
              <w:rPr>
                <w:noProof/>
                <w:webHidden/>
              </w:rPr>
            </w:r>
            <w:r>
              <w:rPr>
                <w:noProof/>
                <w:webHidden/>
              </w:rPr>
              <w:fldChar w:fldCharType="separate"/>
            </w:r>
            <w:r>
              <w:rPr>
                <w:noProof/>
                <w:webHidden/>
              </w:rPr>
              <w:t>40</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07" w:history="1">
            <w:r>
              <w:rPr>
                <w:rStyle w:val="Hyperlink"/>
                <w:noProof/>
              </w:rPr>
              <w:t>3.3.4.</w:t>
            </w:r>
            <w:r>
              <w:rPr>
                <w:rFonts w:asciiTheme="minorHAnsi" w:eastAsiaTheme="minorEastAsia" w:hAnsiTheme="minorHAnsi"/>
                <w:noProof/>
                <w:sz w:val="22"/>
                <w:lang w:val="fr-BE" w:eastAsia="fr-BE"/>
              </w:rPr>
              <w:tab/>
            </w:r>
            <w:r>
              <w:rPr>
                <w:rStyle w:val="Hyperlink"/>
                <w:noProof/>
              </w:rPr>
              <w:t>EU funding and support programmes</w:t>
            </w:r>
            <w:r>
              <w:rPr>
                <w:noProof/>
                <w:webHidden/>
              </w:rPr>
              <w:tab/>
            </w:r>
            <w:r>
              <w:rPr>
                <w:noProof/>
                <w:webHidden/>
              </w:rPr>
              <w:fldChar w:fldCharType="begin"/>
            </w:r>
            <w:r>
              <w:rPr>
                <w:noProof/>
                <w:webHidden/>
              </w:rPr>
              <w:instrText xml:space="preserve"> PAGEREF _Toc43376107 \h </w:instrText>
            </w:r>
            <w:r>
              <w:rPr>
                <w:noProof/>
                <w:webHidden/>
              </w:rPr>
            </w:r>
            <w:r>
              <w:rPr>
                <w:noProof/>
                <w:webHidden/>
              </w:rPr>
              <w:fldChar w:fldCharType="separate"/>
            </w:r>
            <w:r>
              <w:rPr>
                <w:noProof/>
                <w:webHidden/>
              </w:rPr>
              <w:t>42</w:t>
            </w:r>
            <w:r>
              <w:rPr>
                <w:noProof/>
                <w:webHidden/>
              </w:rPr>
              <w:fldChar w:fldCharType="end"/>
            </w:r>
          </w:hyperlink>
        </w:p>
        <w:p w:rsidR="00620F75" w:rsidRDefault="001F403D">
          <w:pPr>
            <w:pStyle w:val="TOC1"/>
            <w:spacing w:before="60" w:after="60"/>
            <w:rPr>
              <w:rFonts w:asciiTheme="minorHAnsi" w:eastAsiaTheme="minorEastAsia" w:hAnsiTheme="minorHAnsi"/>
              <w:noProof/>
              <w:sz w:val="22"/>
              <w:lang w:val="fr-BE" w:eastAsia="fr-BE"/>
            </w:rPr>
          </w:pPr>
          <w:hyperlink w:anchor="_Toc43376108" w:history="1">
            <w:r>
              <w:rPr>
                <w:rStyle w:val="Hyperlink"/>
                <w:noProof/>
                <w:lang w:val="en-US"/>
              </w:rPr>
              <w:t>4.</w:t>
            </w:r>
            <w:r>
              <w:rPr>
                <w:rFonts w:asciiTheme="minorHAnsi" w:eastAsiaTheme="minorEastAsia" w:hAnsiTheme="minorHAnsi"/>
                <w:noProof/>
                <w:sz w:val="22"/>
                <w:lang w:val="fr-BE" w:eastAsia="fr-BE"/>
              </w:rPr>
              <w:tab/>
            </w:r>
            <w:r>
              <w:rPr>
                <w:rStyle w:val="Hyperlink"/>
                <w:noProof/>
                <w:lang w:val="en-US"/>
              </w:rPr>
              <w:t>Potential scenarios (policy options) for developing further Union policy on VET</w:t>
            </w:r>
            <w:r>
              <w:rPr>
                <w:noProof/>
                <w:webHidden/>
              </w:rPr>
              <w:tab/>
            </w:r>
            <w:r>
              <w:rPr>
                <w:noProof/>
                <w:webHidden/>
              </w:rPr>
              <w:fldChar w:fldCharType="begin"/>
            </w:r>
            <w:r>
              <w:rPr>
                <w:noProof/>
                <w:webHidden/>
              </w:rPr>
              <w:instrText xml:space="preserve"> PAGEREF _Toc43376108 \h </w:instrText>
            </w:r>
            <w:r>
              <w:rPr>
                <w:noProof/>
                <w:webHidden/>
              </w:rPr>
            </w:r>
            <w:r>
              <w:rPr>
                <w:noProof/>
                <w:webHidden/>
              </w:rPr>
              <w:fldChar w:fldCharType="separate"/>
            </w:r>
            <w:r>
              <w:rPr>
                <w:noProof/>
                <w:webHidden/>
              </w:rPr>
              <w:t>47</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09" w:history="1">
            <w:r>
              <w:rPr>
                <w:rStyle w:val="Hyperlink"/>
                <w:noProof/>
                <w:lang w:val="en-US"/>
              </w:rPr>
              <w:t>4.1.</w:t>
            </w:r>
            <w:r>
              <w:rPr>
                <w:rFonts w:asciiTheme="minorHAnsi" w:eastAsiaTheme="minorEastAsia" w:hAnsiTheme="minorHAnsi"/>
                <w:noProof/>
                <w:sz w:val="22"/>
                <w:lang w:val="fr-BE" w:eastAsia="fr-BE"/>
              </w:rPr>
              <w:tab/>
            </w:r>
            <w:r>
              <w:rPr>
                <w:rStyle w:val="Hyperlink"/>
                <w:noProof/>
                <w:lang w:val="en-US"/>
              </w:rPr>
              <w:t>Presentation of the potential scenarios</w:t>
            </w:r>
            <w:r>
              <w:rPr>
                <w:noProof/>
                <w:webHidden/>
              </w:rPr>
              <w:tab/>
            </w:r>
            <w:r>
              <w:rPr>
                <w:noProof/>
                <w:webHidden/>
              </w:rPr>
              <w:fldChar w:fldCharType="begin"/>
            </w:r>
            <w:r>
              <w:rPr>
                <w:noProof/>
                <w:webHidden/>
              </w:rPr>
              <w:instrText xml:space="preserve"> PAGEREF _Toc43376109 \h </w:instrText>
            </w:r>
            <w:r>
              <w:rPr>
                <w:noProof/>
                <w:webHidden/>
              </w:rPr>
            </w:r>
            <w:r>
              <w:rPr>
                <w:noProof/>
                <w:webHidden/>
              </w:rPr>
              <w:fldChar w:fldCharType="separate"/>
            </w:r>
            <w:r>
              <w:rPr>
                <w:noProof/>
                <w:webHidden/>
              </w:rPr>
              <w:t>47</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10" w:history="1">
            <w:r>
              <w:rPr>
                <w:rStyle w:val="Hyperlink"/>
                <w:noProof/>
                <w:lang w:val="en-US"/>
              </w:rPr>
              <w:t>4.2.</w:t>
            </w:r>
            <w:r>
              <w:rPr>
                <w:rFonts w:asciiTheme="minorHAnsi" w:eastAsiaTheme="minorEastAsia" w:hAnsiTheme="minorHAnsi"/>
                <w:noProof/>
                <w:sz w:val="22"/>
                <w:lang w:val="fr-BE" w:eastAsia="fr-BE"/>
              </w:rPr>
              <w:tab/>
            </w:r>
            <w:r>
              <w:rPr>
                <w:rStyle w:val="Hyperlink"/>
                <w:noProof/>
                <w:lang w:val="en-US"/>
              </w:rPr>
              <w:t>Assessment and conclusions of potential scenarios (policy options)</w:t>
            </w:r>
            <w:r>
              <w:rPr>
                <w:noProof/>
                <w:webHidden/>
              </w:rPr>
              <w:tab/>
            </w:r>
            <w:r>
              <w:rPr>
                <w:noProof/>
                <w:webHidden/>
              </w:rPr>
              <w:fldChar w:fldCharType="begin"/>
            </w:r>
            <w:r>
              <w:rPr>
                <w:noProof/>
                <w:webHidden/>
              </w:rPr>
              <w:instrText xml:space="preserve"> PAGEREF _Toc43376110 \h </w:instrText>
            </w:r>
            <w:r>
              <w:rPr>
                <w:noProof/>
                <w:webHidden/>
              </w:rPr>
            </w:r>
            <w:r>
              <w:rPr>
                <w:noProof/>
                <w:webHidden/>
              </w:rPr>
              <w:fldChar w:fldCharType="separate"/>
            </w:r>
            <w:r>
              <w:rPr>
                <w:noProof/>
                <w:webHidden/>
              </w:rPr>
              <w:t>51</w:t>
            </w:r>
            <w:r>
              <w:rPr>
                <w:noProof/>
                <w:webHidden/>
              </w:rPr>
              <w:fldChar w:fldCharType="end"/>
            </w:r>
          </w:hyperlink>
        </w:p>
        <w:p w:rsidR="00620F75" w:rsidRDefault="001F403D">
          <w:pPr>
            <w:pStyle w:val="TOC1"/>
            <w:spacing w:before="60" w:after="60"/>
            <w:rPr>
              <w:rFonts w:asciiTheme="minorHAnsi" w:eastAsiaTheme="minorEastAsia" w:hAnsiTheme="minorHAnsi"/>
              <w:noProof/>
              <w:sz w:val="22"/>
              <w:lang w:val="fr-BE" w:eastAsia="fr-BE"/>
            </w:rPr>
          </w:pPr>
          <w:hyperlink w:anchor="_Toc43376111" w:history="1">
            <w:r>
              <w:rPr>
                <w:rStyle w:val="Hyperlink"/>
                <w:noProof/>
                <w:lang w:val="en-US"/>
              </w:rPr>
              <w:t>5.</w:t>
            </w:r>
            <w:r>
              <w:rPr>
                <w:rFonts w:asciiTheme="minorHAnsi" w:eastAsiaTheme="minorEastAsia" w:hAnsiTheme="minorHAnsi"/>
                <w:noProof/>
                <w:sz w:val="22"/>
                <w:lang w:val="fr-BE" w:eastAsia="fr-BE"/>
              </w:rPr>
              <w:tab/>
            </w:r>
            <w:r>
              <w:rPr>
                <w:rStyle w:val="Hyperlink"/>
                <w:noProof/>
                <w:lang w:val="en-US"/>
              </w:rPr>
              <w:t>Key elements of the Proposal</w:t>
            </w:r>
            <w:r>
              <w:rPr>
                <w:noProof/>
                <w:webHidden/>
              </w:rPr>
              <w:tab/>
            </w:r>
            <w:r>
              <w:rPr>
                <w:noProof/>
                <w:webHidden/>
              </w:rPr>
              <w:fldChar w:fldCharType="begin"/>
            </w:r>
            <w:r>
              <w:rPr>
                <w:noProof/>
                <w:webHidden/>
              </w:rPr>
              <w:instrText xml:space="preserve"> PAGEREF _Toc4</w:instrText>
            </w:r>
            <w:r>
              <w:rPr>
                <w:noProof/>
                <w:webHidden/>
              </w:rPr>
              <w:instrText xml:space="preserve">3376111 \h </w:instrText>
            </w:r>
            <w:r>
              <w:rPr>
                <w:noProof/>
                <w:webHidden/>
              </w:rPr>
            </w:r>
            <w:r>
              <w:rPr>
                <w:noProof/>
                <w:webHidden/>
              </w:rPr>
              <w:fldChar w:fldCharType="separate"/>
            </w:r>
            <w:r>
              <w:rPr>
                <w:noProof/>
                <w:webHidden/>
              </w:rPr>
              <w:t>52</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12" w:history="1">
            <w:r>
              <w:rPr>
                <w:rStyle w:val="Hyperlink"/>
                <w:noProof/>
                <w:lang w:val="en-US"/>
              </w:rPr>
              <w:t>5.1.</w:t>
            </w:r>
            <w:r>
              <w:rPr>
                <w:rFonts w:asciiTheme="minorHAnsi" w:eastAsiaTheme="minorEastAsia" w:hAnsiTheme="minorHAnsi"/>
                <w:noProof/>
                <w:sz w:val="22"/>
                <w:lang w:val="fr-BE" w:eastAsia="fr-BE"/>
              </w:rPr>
              <w:tab/>
            </w:r>
            <w:r>
              <w:rPr>
                <w:rStyle w:val="Hyperlink"/>
                <w:noProof/>
                <w:lang w:val="en-US"/>
              </w:rPr>
              <w:t>Preparatory work for the proposal – consultations and evidence</w:t>
            </w:r>
            <w:r>
              <w:rPr>
                <w:noProof/>
                <w:webHidden/>
              </w:rPr>
              <w:tab/>
            </w:r>
            <w:r>
              <w:rPr>
                <w:noProof/>
                <w:webHidden/>
              </w:rPr>
              <w:fldChar w:fldCharType="begin"/>
            </w:r>
            <w:r>
              <w:rPr>
                <w:noProof/>
                <w:webHidden/>
              </w:rPr>
              <w:instrText xml:space="preserve"> PAGEREF _Toc43376112 \h </w:instrText>
            </w:r>
            <w:r>
              <w:rPr>
                <w:noProof/>
                <w:webHidden/>
              </w:rPr>
            </w:r>
            <w:r>
              <w:rPr>
                <w:noProof/>
                <w:webHidden/>
              </w:rPr>
              <w:fldChar w:fldCharType="separate"/>
            </w:r>
            <w:r>
              <w:rPr>
                <w:noProof/>
                <w:webHidden/>
              </w:rPr>
              <w:t>52</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13" w:history="1">
            <w:r>
              <w:rPr>
                <w:rStyle w:val="Hyperlink"/>
                <w:noProof/>
                <w:lang w:val="en-US"/>
              </w:rPr>
              <w:t>5.2.</w:t>
            </w:r>
            <w:r>
              <w:rPr>
                <w:rFonts w:asciiTheme="minorHAnsi" w:eastAsiaTheme="minorEastAsia" w:hAnsiTheme="minorHAnsi"/>
                <w:noProof/>
                <w:sz w:val="22"/>
                <w:lang w:val="fr-BE" w:eastAsia="fr-BE"/>
              </w:rPr>
              <w:tab/>
            </w:r>
            <w:r>
              <w:rPr>
                <w:rStyle w:val="Hyperlink"/>
                <w:noProof/>
                <w:lang w:val="en-US"/>
              </w:rPr>
              <w:t>Vision and actions for modernization of VET at national level</w:t>
            </w:r>
            <w:r>
              <w:rPr>
                <w:noProof/>
                <w:webHidden/>
              </w:rPr>
              <w:tab/>
            </w:r>
            <w:r>
              <w:rPr>
                <w:noProof/>
                <w:webHidden/>
              </w:rPr>
              <w:fldChar w:fldCharType="begin"/>
            </w:r>
            <w:r>
              <w:rPr>
                <w:noProof/>
                <w:webHidden/>
              </w:rPr>
              <w:instrText xml:space="preserve"> PAGEREF _Toc43376113 \h </w:instrText>
            </w:r>
            <w:r>
              <w:rPr>
                <w:noProof/>
                <w:webHidden/>
              </w:rPr>
            </w:r>
            <w:r>
              <w:rPr>
                <w:noProof/>
                <w:webHidden/>
              </w:rPr>
              <w:fldChar w:fldCharType="separate"/>
            </w:r>
            <w:r>
              <w:rPr>
                <w:noProof/>
                <w:webHidden/>
              </w:rPr>
              <w:t>57</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14" w:history="1">
            <w:r>
              <w:rPr>
                <w:rStyle w:val="Hyperlink"/>
                <w:noProof/>
                <w:lang w:val="en-US"/>
              </w:rPr>
              <w:t>5.3.</w:t>
            </w:r>
            <w:r>
              <w:rPr>
                <w:rFonts w:asciiTheme="minorHAnsi" w:eastAsiaTheme="minorEastAsia" w:hAnsiTheme="minorHAnsi"/>
                <w:noProof/>
                <w:sz w:val="22"/>
                <w:lang w:val="fr-BE" w:eastAsia="fr-BE"/>
              </w:rPr>
              <w:tab/>
            </w:r>
            <w:r>
              <w:rPr>
                <w:rStyle w:val="Hyperlink"/>
                <w:noProof/>
                <w:lang w:val="en-US"/>
              </w:rPr>
              <w:t>Integration of ECVET and EQAVET – future of the tools</w:t>
            </w:r>
            <w:r>
              <w:rPr>
                <w:noProof/>
                <w:webHidden/>
              </w:rPr>
              <w:tab/>
            </w:r>
            <w:r>
              <w:rPr>
                <w:noProof/>
                <w:webHidden/>
              </w:rPr>
              <w:fldChar w:fldCharType="begin"/>
            </w:r>
            <w:r>
              <w:rPr>
                <w:noProof/>
                <w:webHidden/>
              </w:rPr>
              <w:instrText xml:space="preserve"> PAGEREF _Toc43376114 \h </w:instrText>
            </w:r>
            <w:r>
              <w:rPr>
                <w:noProof/>
                <w:webHidden/>
              </w:rPr>
            </w:r>
            <w:r>
              <w:rPr>
                <w:noProof/>
                <w:webHidden/>
              </w:rPr>
              <w:fldChar w:fldCharType="separate"/>
            </w:r>
            <w:r>
              <w:rPr>
                <w:noProof/>
                <w:webHidden/>
              </w:rPr>
              <w:t>61</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15" w:history="1">
            <w:r>
              <w:rPr>
                <w:rStyle w:val="Hyperlink"/>
                <w:noProof/>
              </w:rPr>
              <w:t>5.4.</w:t>
            </w:r>
            <w:r>
              <w:rPr>
                <w:rFonts w:asciiTheme="minorHAnsi" w:eastAsiaTheme="minorEastAsia" w:hAnsiTheme="minorHAnsi"/>
                <w:noProof/>
                <w:sz w:val="22"/>
                <w:lang w:val="fr-BE" w:eastAsia="fr-BE"/>
              </w:rPr>
              <w:tab/>
            </w:r>
            <w:r>
              <w:rPr>
                <w:rStyle w:val="Hyperlink"/>
                <w:noProof/>
              </w:rPr>
              <w:t>EU support initiatives</w:t>
            </w:r>
            <w:r>
              <w:rPr>
                <w:noProof/>
                <w:webHidden/>
              </w:rPr>
              <w:tab/>
            </w:r>
            <w:r>
              <w:rPr>
                <w:noProof/>
                <w:webHidden/>
              </w:rPr>
              <w:fldChar w:fldCharType="begin"/>
            </w:r>
            <w:r>
              <w:rPr>
                <w:noProof/>
                <w:webHidden/>
              </w:rPr>
              <w:instrText xml:space="preserve"> PAGEREF _Toc43376115 \h </w:instrText>
            </w:r>
            <w:r>
              <w:rPr>
                <w:noProof/>
                <w:webHidden/>
              </w:rPr>
            </w:r>
            <w:r>
              <w:rPr>
                <w:noProof/>
                <w:webHidden/>
              </w:rPr>
              <w:fldChar w:fldCharType="separate"/>
            </w:r>
            <w:r>
              <w:rPr>
                <w:noProof/>
                <w:webHidden/>
              </w:rPr>
              <w:t>63</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16" w:history="1">
            <w:r>
              <w:rPr>
                <w:rStyle w:val="Hyperlink"/>
                <w:noProof/>
              </w:rPr>
              <w:t>5.4.1.</w:t>
            </w:r>
            <w:r>
              <w:rPr>
                <w:rFonts w:asciiTheme="minorHAnsi" w:eastAsiaTheme="minorEastAsia" w:hAnsiTheme="minorHAnsi"/>
                <w:noProof/>
                <w:sz w:val="22"/>
                <w:lang w:val="fr-BE" w:eastAsia="fr-BE"/>
              </w:rPr>
              <w:tab/>
            </w:r>
            <w:r>
              <w:rPr>
                <w:rStyle w:val="Hyperlink"/>
                <w:noProof/>
              </w:rPr>
              <w:t>Platforms of Centres of Vocational Excellence</w:t>
            </w:r>
            <w:r>
              <w:rPr>
                <w:noProof/>
                <w:webHidden/>
              </w:rPr>
              <w:tab/>
            </w:r>
            <w:r>
              <w:rPr>
                <w:noProof/>
                <w:webHidden/>
              </w:rPr>
              <w:fldChar w:fldCharType="begin"/>
            </w:r>
            <w:r>
              <w:rPr>
                <w:noProof/>
                <w:webHidden/>
              </w:rPr>
              <w:instrText xml:space="preserve"> PAGEREF _Toc43376116 \</w:instrText>
            </w:r>
            <w:r>
              <w:rPr>
                <w:noProof/>
                <w:webHidden/>
              </w:rPr>
              <w:instrText xml:space="preserve">h </w:instrText>
            </w:r>
            <w:r>
              <w:rPr>
                <w:noProof/>
                <w:webHidden/>
              </w:rPr>
            </w:r>
            <w:r>
              <w:rPr>
                <w:noProof/>
                <w:webHidden/>
              </w:rPr>
              <w:fldChar w:fldCharType="separate"/>
            </w:r>
            <w:r>
              <w:rPr>
                <w:noProof/>
                <w:webHidden/>
              </w:rPr>
              <w:t>63</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17" w:history="1">
            <w:r>
              <w:rPr>
                <w:rStyle w:val="Hyperlink"/>
                <w:noProof/>
              </w:rPr>
              <w:t>5.4.2.</w:t>
            </w:r>
            <w:r>
              <w:rPr>
                <w:rFonts w:asciiTheme="minorHAnsi" w:eastAsiaTheme="minorEastAsia" w:hAnsiTheme="minorHAnsi"/>
                <w:noProof/>
                <w:sz w:val="22"/>
                <w:lang w:val="fr-BE" w:eastAsia="fr-BE"/>
              </w:rPr>
              <w:tab/>
            </w:r>
            <w:r>
              <w:rPr>
                <w:rStyle w:val="Hyperlink"/>
                <w:noProof/>
              </w:rPr>
              <w:t>Support services for VET</w:t>
            </w:r>
            <w:r>
              <w:rPr>
                <w:noProof/>
                <w:webHidden/>
              </w:rPr>
              <w:tab/>
            </w:r>
            <w:r>
              <w:rPr>
                <w:noProof/>
                <w:webHidden/>
              </w:rPr>
              <w:fldChar w:fldCharType="begin"/>
            </w:r>
            <w:r>
              <w:rPr>
                <w:noProof/>
                <w:webHidden/>
              </w:rPr>
              <w:instrText xml:space="preserve"> PAGEREF _Toc43376117 \h </w:instrText>
            </w:r>
            <w:r>
              <w:rPr>
                <w:noProof/>
                <w:webHidden/>
              </w:rPr>
            </w:r>
            <w:r>
              <w:rPr>
                <w:noProof/>
                <w:webHidden/>
              </w:rPr>
              <w:fldChar w:fldCharType="separate"/>
            </w:r>
            <w:r>
              <w:rPr>
                <w:noProof/>
                <w:webHidden/>
              </w:rPr>
              <w:t>69</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18" w:history="1">
            <w:r>
              <w:rPr>
                <w:rStyle w:val="Hyperlink"/>
                <w:noProof/>
              </w:rPr>
              <w:t>5.4.3.</w:t>
            </w:r>
            <w:r>
              <w:rPr>
                <w:rFonts w:asciiTheme="minorHAnsi" w:eastAsiaTheme="minorEastAsia" w:hAnsiTheme="minorHAnsi"/>
                <w:noProof/>
                <w:sz w:val="22"/>
                <w:lang w:val="fr-BE" w:eastAsia="fr-BE"/>
              </w:rPr>
              <w:tab/>
            </w:r>
            <w:r>
              <w:rPr>
                <w:rStyle w:val="Hyperlink"/>
                <w:noProof/>
              </w:rPr>
              <w:t>EQAVET Peer Reviews</w:t>
            </w:r>
            <w:r>
              <w:rPr>
                <w:noProof/>
                <w:webHidden/>
              </w:rPr>
              <w:tab/>
            </w:r>
            <w:r>
              <w:rPr>
                <w:noProof/>
                <w:webHidden/>
              </w:rPr>
              <w:fldChar w:fldCharType="begin"/>
            </w:r>
            <w:r>
              <w:rPr>
                <w:noProof/>
                <w:webHidden/>
              </w:rPr>
              <w:instrText xml:space="preserve"> PAGEREF _Toc43376118 \h </w:instrText>
            </w:r>
            <w:r>
              <w:rPr>
                <w:noProof/>
                <w:webHidden/>
              </w:rPr>
            </w:r>
            <w:r>
              <w:rPr>
                <w:noProof/>
                <w:webHidden/>
              </w:rPr>
              <w:fldChar w:fldCharType="separate"/>
            </w:r>
            <w:r>
              <w:rPr>
                <w:noProof/>
                <w:webHidden/>
              </w:rPr>
              <w:t>70</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19" w:history="1">
            <w:r>
              <w:rPr>
                <w:rStyle w:val="Hyperlink"/>
                <w:noProof/>
              </w:rPr>
              <w:t>5.4.4.</w:t>
            </w:r>
            <w:r>
              <w:rPr>
                <w:rFonts w:asciiTheme="minorHAnsi" w:eastAsiaTheme="minorEastAsia" w:hAnsiTheme="minorHAnsi"/>
                <w:noProof/>
                <w:sz w:val="22"/>
                <w:lang w:val="fr-BE" w:eastAsia="fr-BE"/>
              </w:rPr>
              <w:tab/>
            </w:r>
            <w:r>
              <w:rPr>
                <w:rStyle w:val="Hyperlink"/>
                <w:noProof/>
              </w:rPr>
              <w:t>European Vocational Core Profiles</w:t>
            </w:r>
            <w:r>
              <w:rPr>
                <w:noProof/>
                <w:webHidden/>
              </w:rPr>
              <w:tab/>
            </w:r>
            <w:r>
              <w:rPr>
                <w:noProof/>
                <w:webHidden/>
              </w:rPr>
              <w:fldChar w:fldCharType="begin"/>
            </w:r>
            <w:r>
              <w:rPr>
                <w:noProof/>
                <w:webHidden/>
              </w:rPr>
              <w:instrText xml:space="preserve"> PAGEREF _Toc43376119 \h </w:instrText>
            </w:r>
            <w:r>
              <w:rPr>
                <w:noProof/>
                <w:webHidden/>
              </w:rPr>
            </w:r>
            <w:r>
              <w:rPr>
                <w:noProof/>
                <w:webHidden/>
              </w:rPr>
              <w:fldChar w:fldCharType="separate"/>
            </w:r>
            <w:r>
              <w:rPr>
                <w:noProof/>
                <w:webHidden/>
              </w:rPr>
              <w:t>71</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20" w:history="1">
            <w:r>
              <w:rPr>
                <w:rStyle w:val="Hyperlink"/>
                <w:noProof/>
              </w:rPr>
              <w:t>5.4.5.</w:t>
            </w:r>
            <w:r>
              <w:rPr>
                <w:rFonts w:asciiTheme="minorHAnsi" w:eastAsiaTheme="minorEastAsia" w:hAnsiTheme="minorHAnsi"/>
                <w:noProof/>
                <w:sz w:val="22"/>
                <w:lang w:val="fr-BE" w:eastAsia="fr-BE"/>
              </w:rPr>
              <w:tab/>
            </w:r>
            <w:r>
              <w:rPr>
                <w:rStyle w:val="Hyperlink"/>
                <w:noProof/>
              </w:rPr>
              <w:t>Capacity building of providers of vocational education and training</w:t>
            </w:r>
            <w:r>
              <w:rPr>
                <w:noProof/>
                <w:webHidden/>
              </w:rPr>
              <w:tab/>
            </w:r>
            <w:r>
              <w:rPr>
                <w:noProof/>
                <w:webHidden/>
              </w:rPr>
              <w:fldChar w:fldCharType="begin"/>
            </w:r>
            <w:r>
              <w:rPr>
                <w:noProof/>
                <w:webHidden/>
              </w:rPr>
              <w:instrText xml:space="preserve"> PAGEREF _Toc433761</w:instrText>
            </w:r>
            <w:r>
              <w:rPr>
                <w:noProof/>
                <w:webHidden/>
              </w:rPr>
              <w:instrText xml:space="preserve">20 \h </w:instrText>
            </w:r>
            <w:r>
              <w:rPr>
                <w:noProof/>
                <w:webHidden/>
              </w:rPr>
            </w:r>
            <w:r>
              <w:rPr>
                <w:noProof/>
                <w:webHidden/>
              </w:rPr>
              <w:fldChar w:fldCharType="separate"/>
            </w:r>
            <w:r>
              <w:rPr>
                <w:noProof/>
                <w:webHidden/>
              </w:rPr>
              <w:t>71</w:t>
            </w:r>
            <w:r>
              <w:rPr>
                <w:noProof/>
                <w:webHidden/>
              </w:rPr>
              <w:fldChar w:fldCharType="end"/>
            </w:r>
          </w:hyperlink>
        </w:p>
        <w:p w:rsidR="00620F75" w:rsidRDefault="001F403D">
          <w:pPr>
            <w:pStyle w:val="TOC3"/>
            <w:tabs>
              <w:tab w:val="left" w:pos="1320"/>
              <w:tab w:val="right" w:leader="dot" w:pos="9062"/>
            </w:tabs>
            <w:spacing w:before="60" w:after="60"/>
            <w:rPr>
              <w:rFonts w:asciiTheme="minorHAnsi" w:eastAsiaTheme="minorEastAsia" w:hAnsiTheme="minorHAnsi"/>
              <w:noProof/>
              <w:sz w:val="22"/>
              <w:lang w:val="fr-BE" w:eastAsia="fr-BE"/>
            </w:rPr>
          </w:pPr>
          <w:hyperlink w:anchor="_Toc43376121" w:history="1">
            <w:r>
              <w:rPr>
                <w:rStyle w:val="Hyperlink"/>
                <w:noProof/>
              </w:rPr>
              <w:t>5.4.6.</w:t>
            </w:r>
            <w:r>
              <w:rPr>
                <w:rFonts w:asciiTheme="minorHAnsi" w:eastAsiaTheme="minorEastAsia" w:hAnsiTheme="minorHAnsi"/>
                <w:noProof/>
                <w:sz w:val="22"/>
                <w:lang w:val="fr-BE" w:eastAsia="fr-BE"/>
              </w:rPr>
              <w:tab/>
            </w:r>
            <w:r>
              <w:rPr>
                <w:rStyle w:val="Hyperlink"/>
                <w:noProof/>
              </w:rPr>
              <w:t>SELFIE tool for VET schools and work-based learning</w:t>
            </w:r>
            <w:r>
              <w:rPr>
                <w:noProof/>
                <w:webHidden/>
              </w:rPr>
              <w:tab/>
            </w:r>
            <w:r>
              <w:rPr>
                <w:noProof/>
                <w:webHidden/>
              </w:rPr>
              <w:fldChar w:fldCharType="begin"/>
            </w:r>
            <w:r>
              <w:rPr>
                <w:noProof/>
                <w:webHidden/>
              </w:rPr>
              <w:instrText xml:space="preserve"> PAGEREF _Toc43376121 \h </w:instrText>
            </w:r>
            <w:r>
              <w:rPr>
                <w:noProof/>
                <w:webHidden/>
              </w:rPr>
            </w:r>
            <w:r>
              <w:rPr>
                <w:noProof/>
                <w:webHidden/>
              </w:rPr>
              <w:fldChar w:fldCharType="separate"/>
            </w:r>
            <w:r>
              <w:rPr>
                <w:noProof/>
                <w:webHidden/>
              </w:rPr>
              <w:t>72</w:t>
            </w:r>
            <w:r>
              <w:rPr>
                <w:noProof/>
                <w:webHidden/>
              </w:rPr>
              <w:fldChar w:fldCharType="end"/>
            </w:r>
          </w:hyperlink>
        </w:p>
        <w:p w:rsidR="00620F75" w:rsidRDefault="001F403D">
          <w:pPr>
            <w:pStyle w:val="TOC2"/>
            <w:tabs>
              <w:tab w:val="left" w:pos="880"/>
              <w:tab w:val="right" w:leader="dot" w:pos="9062"/>
            </w:tabs>
            <w:spacing w:before="60" w:after="60"/>
            <w:rPr>
              <w:rFonts w:asciiTheme="minorHAnsi" w:eastAsiaTheme="minorEastAsia" w:hAnsiTheme="minorHAnsi"/>
              <w:noProof/>
              <w:sz w:val="22"/>
              <w:lang w:val="fr-BE" w:eastAsia="fr-BE"/>
            </w:rPr>
          </w:pPr>
          <w:hyperlink w:anchor="_Toc43376122" w:history="1">
            <w:r>
              <w:rPr>
                <w:rStyle w:val="Hyperlink"/>
                <w:noProof/>
                <w:lang w:val="en-US"/>
              </w:rPr>
              <w:t>5.5.</w:t>
            </w:r>
            <w:r>
              <w:rPr>
                <w:rFonts w:asciiTheme="minorHAnsi" w:eastAsiaTheme="minorEastAsia" w:hAnsiTheme="minorHAnsi"/>
                <w:noProof/>
                <w:sz w:val="22"/>
                <w:lang w:val="fr-BE" w:eastAsia="fr-BE"/>
              </w:rPr>
              <w:tab/>
            </w:r>
            <w:r>
              <w:rPr>
                <w:rStyle w:val="Hyperlink"/>
                <w:noProof/>
                <w:lang w:val="en-US"/>
              </w:rPr>
              <w:t>Monitoring and indicators for the VET policy framework</w:t>
            </w:r>
            <w:r>
              <w:rPr>
                <w:noProof/>
                <w:webHidden/>
              </w:rPr>
              <w:tab/>
            </w:r>
            <w:r>
              <w:rPr>
                <w:noProof/>
                <w:webHidden/>
              </w:rPr>
              <w:fldChar w:fldCharType="begin"/>
            </w:r>
            <w:r>
              <w:rPr>
                <w:noProof/>
                <w:webHidden/>
              </w:rPr>
              <w:instrText xml:space="preserve"> PAGEREF _Toc43376122 \h </w:instrText>
            </w:r>
            <w:r>
              <w:rPr>
                <w:noProof/>
                <w:webHidden/>
              </w:rPr>
            </w:r>
            <w:r>
              <w:rPr>
                <w:noProof/>
                <w:webHidden/>
              </w:rPr>
              <w:fldChar w:fldCharType="separate"/>
            </w:r>
            <w:r>
              <w:rPr>
                <w:noProof/>
                <w:webHidden/>
              </w:rPr>
              <w:t>74</w:t>
            </w:r>
            <w:r>
              <w:rPr>
                <w:noProof/>
                <w:webHidden/>
              </w:rPr>
              <w:fldChar w:fldCharType="end"/>
            </w:r>
          </w:hyperlink>
        </w:p>
        <w:p w:rsidR="00620F75" w:rsidRDefault="001F403D">
          <w:pPr>
            <w:pStyle w:val="TOC1"/>
            <w:spacing w:before="60" w:after="60"/>
            <w:rPr>
              <w:rFonts w:asciiTheme="minorHAnsi" w:eastAsiaTheme="minorEastAsia" w:hAnsiTheme="minorHAnsi"/>
              <w:noProof/>
              <w:sz w:val="22"/>
              <w:lang w:val="fr-BE" w:eastAsia="fr-BE"/>
            </w:rPr>
          </w:pPr>
          <w:hyperlink w:anchor="_Toc43376123" w:history="1">
            <w:r>
              <w:rPr>
                <w:rStyle w:val="Hyperlink"/>
                <w:noProof/>
                <w:lang w:val="en-US"/>
              </w:rPr>
              <w:t>6.</w:t>
            </w:r>
            <w:r>
              <w:rPr>
                <w:rFonts w:asciiTheme="minorHAnsi" w:eastAsiaTheme="minorEastAsia" w:hAnsiTheme="minorHAnsi"/>
                <w:noProof/>
                <w:sz w:val="22"/>
                <w:lang w:val="fr-BE" w:eastAsia="fr-BE"/>
              </w:rPr>
              <w:tab/>
            </w:r>
            <w:r>
              <w:rPr>
                <w:rStyle w:val="Hyperlink"/>
                <w:noProof/>
                <w:lang w:val="en-US"/>
              </w:rPr>
              <w:t>Conclusions</w:t>
            </w:r>
            <w:r>
              <w:rPr>
                <w:noProof/>
                <w:webHidden/>
              </w:rPr>
              <w:tab/>
            </w:r>
            <w:r>
              <w:rPr>
                <w:noProof/>
                <w:webHidden/>
              </w:rPr>
              <w:fldChar w:fldCharType="begin"/>
            </w:r>
            <w:r>
              <w:rPr>
                <w:noProof/>
                <w:webHidden/>
              </w:rPr>
              <w:instrText xml:space="preserve"> PAGEREF _Toc43376123 \h </w:instrText>
            </w:r>
            <w:r>
              <w:rPr>
                <w:noProof/>
                <w:webHidden/>
              </w:rPr>
            </w:r>
            <w:r>
              <w:rPr>
                <w:noProof/>
                <w:webHidden/>
              </w:rPr>
              <w:fldChar w:fldCharType="separate"/>
            </w:r>
            <w:r>
              <w:rPr>
                <w:noProof/>
                <w:webHidden/>
              </w:rPr>
              <w:t>81</w:t>
            </w:r>
            <w:r>
              <w:rPr>
                <w:noProof/>
                <w:webHidden/>
              </w:rPr>
              <w:fldChar w:fldCharType="end"/>
            </w:r>
          </w:hyperlink>
        </w:p>
        <w:p w:rsidR="00620F75" w:rsidRDefault="001F403D">
          <w:pPr>
            <w:pStyle w:val="TOC1"/>
            <w:rPr>
              <w:noProof/>
            </w:rPr>
          </w:pPr>
          <w:r>
            <w:rPr>
              <w:noProof/>
            </w:rPr>
            <w:fldChar w:fldCharType="end"/>
          </w:r>
        </w:p>
      </w:sdtContent>
    </w:sdt>
    <w:p w:rsidR="00620F75" w:rsidRDefault="001F403D">
      <w:pPr>
        <w:pStyle w:val="Heading1"/>
        <w:spacing w:line="480" w:lineRule="auto"/>
        <w:rPr>
          <w:noProof/>
        </w:rPr>
      </w:pPr>
      <w:r>
        <w:rPr>
          <w:noProof/>
          <w:lang w:val="en-US"/>
        </w:rPr>
        <w:br w:type="column"/>
      </w:r>
      <w:bookmarkStart w:id="1" w:name="_Toc32997296"/>
      <w:bookmarkStart w:id="2" w:name="_Toc43376092"/>
      <w:bookmarkStart w:id="3" w:name="_Toc34040435"/>
      <w:bookmarkStart w:id="4" w:name="_Toc34041688"/>
      <w:bookmarkStart w:id="5" w:name="_Toc34042194"/>
      <w:bookmarkStart w:id="6" w:name="_Toc34039134"/>
      <w:r>
        <w:rPr>
          <w:noProof/>
        </w:rPr>
        <w:lastRenderedPageBreak/>
        <w:t>Introduction</w:t>
      </w:r>
      <w:bookmarkEnd w:id="1"/>
      <w:bookmarkEnd w:id="2"/>
      <w:r>
        <w:rPr>
          <w:noProof/>
        </w:rPr>
        <w:t xml:space="preserve"> </w:t>
      </w:r>
      <w:bookmarkEnd w:id="3"/>
      <w:bookmarkEnd w:id="4"/>
      <w:bookmarkEnd w:id="5"/>
    </w:p>
    <w:bookmarkEnd w:id="6"/>
    <w:p w:rsidR="00620F75" w:rsidRDefault="001F403D">
      <w:pPr>
        <w:pBdr>
          <w:top w:val="nil"/>
          <w:left w:val="nil"/>
          <w:bottom w:val="nil"/>
          <w:right w:val="nil"/>
          <w:between w:val="nil"/>
          <w:bar w:val="nil"/>
        </w:pBdr>
        <w:spacing w:before="0" w:after="240"/>
        <w:rPr>
          <w:rFonts w:cs="Times New Roman"/>
          <w:noProof/>
          <w:color w:val="000000" w:themeColor="text1"/>
        </w:rPr>
      </w:pPr>
      <w:r>
        <w:rPr>
          <w:rFonts w:cs="Times New Roman"/>
          <w:noProof/>
          <w:color w:val="000000" w:themeColor="text1"/>
        </w:rPr>
        <w:t>Skills are critical to ensure</w:t>
      </w:r>
      <w:r>
        <w:rPr>
          <w:rFonts w:cs="Times New Roman"/>
          <w:noProof/>
          <w:color w:val="000000" w:themeColor="text1"/>
        </w:rPr>
        <w:t xml:space="preserve"> competitiveness, innovation capacity and social cohesion in Europe. Vocational education and training (VET) is the sector of education and training closest to labour market and is at the forefront of providing skills and qualifications, to successfully dr</w:t>
      </w:r>
      <w:r>
        <w:rPr>
          <w:rFonts w:cs="Times New Roman"/>
          <w:noProof/>
          <w:color w:val="000000" w:themeColor="text1"/>
        </w:rPr>
        <w:t>ive forward the digital and green transitions. It supports young people to make the transition to work, and adults to remain employable throughout their working lives and adaptable to changing tasks, work environments and career evolution. Given the overal</w:t>
      </w:r>
      <w:r>
        <w:rPr>
          <w:rFonts w:cs="Times New Roman"/>
          <w:noProof/>
          <w:color w:val="000000" w:themeColor="text1"/>
        </w:rPr>
        <w:t>l economic and societal trends and the EU ambition to become the first climate neutral continent by 2050, the importance of continuing training for the workforce and the need for up-skilling and reskilling is growing.</w:t>
      </w:r>
    </w:p>
    <w:p w:rsidR="00620F75" w:rsidRDefault="001F403D">
      <w:pPr>
        <w:pBdr>
          <w:top w:val="nil"/>
          <w:left w:val="nil"/>
          <w:bottom w:val="nil"/>
          <w:right w:val="nil"/>
          <w:between w:val="nil"/>
          <w:bar w:val="nil"/>
        </w:pBdr>
        <w:spacing w:before="0" w:after="240"/>
        <w:rPr>
          <w:rFonts w:cs="Times New Roman"/>
          <w:noProof/>
          <w:color w:val="000000" w:themeColor="text1"/>
        </w:rPr>
      </w:pPr>
      <w:r>
        <w:rPr>
          <w:rFonts w:cs="Times New Roman"/>
          <w:noProof/>
          <w:color w:val="000000" w:themeColor="text1"/>
        </w:rPr>
        <w:t xml:space="preserve">In 2018, 48.4 % of young Europeans </w:t>
      </w:r>
      <w:r>
        <w:rPr>
          <w:rFonts w:cs="Times New Roman"/>
          <w:noProof/>
          <w:color w:val="000000" w:themeColor="text1"/>
        </w:rPr>
        <w:t>were enrolled in upper-secondary education and training (at upper secondary level). Following a vocational education and training pathway opens up good employability perspectives on the labour market: 80% of VET graduates find their first long-term job wit</w:t>
      </w:r>
      <w:r>
        <w:rPr>
          <w:rFonts w:cs="Times New Roman"/>
          <w:noProof/>
          <w:color w:val="000000" w:themeColor="text1"/>
        </w:rPr>
        <w:t>hin six month of finishing their studies. Meanwhile, all people of working age living in the EU need to engage into further vocational training to keep up with changes on the labour market, but less than half of them do so.</w:t>
      </w:r>
    </w:p>
    <w:p w:rsidR="00620F75" w:rsidRDefault="001F403D">
      <w:pPr>
        <w:pBdr>
          <w:top w:val="nil"/>
          <w:left w:val="nil"/>
          <w:bottom w:val="nil"/>
          <w:right w:val="nil"/>
          <w:between w:val="nil"/>
          <w:bar w:val="nil"/>
        </w:pBdr>
        <w:spacing w:before="0" w:after="240"/>
        <w:rPr>
          <w:rFonts w:cs="Times New Roman"/>
          <w:noProof/>
          <w:color w:val="000000" w:themeColor="text1"/>
        </w:rPr>
      </w:pPr>
      <w:r>
        <w:rPr>
          <w:rFonts w:cs="Times New Roman"/>
          <w:noProof/>
          <w:color w:val="000000" w:themeColor="text1"/>
        </w:rPr>
        <w:t>Traditionally, VET programmes we</w:t>
      </w:r>
      <w:r>
        <w:rPr>
          <w:rFonts w:cs="Times New Roman"/>
          <w:noProof/>
          <w:color w:val="000000" w:themeColor="text1"/>
        </w:rPr>
        <w:t xml:space="preserve">re seen to prepare individuals for jobs in medium-skilled occupations. Even if declining, such occupations continue to represent the largest share of jobs currently available in the labour market. However, the need for higher skills also paved the way for </w:t>
      </w:r>
      <w:r>
        <w:rPr>
          <w:rFonts w:cs="Times New Roman"/>
          <w:noProof/>
          <w:color w:val="000000" w:themeColor="text1"/>
        </w:rPr>
        <w:t>expansion of VET qualifications to higher levels. Based on Cedefop employment projections, job openings requiring medium-level qualification will continue to represent the largest share of all job-openings (46% of all job openings over the period of 2016-2</w:t>
      </w:r>
      <w:r>
        <w:rPr>
          <w:rFonts w:cs="Times New Roman"/>
          <w:noProof/>
          <w:color w:val="000000" w:themeColor="text1"/>
        </w:rPr>
        <w:t>030), closely followed in number by job-openings requiring high-level of qualification (43% of all job-openings).</w:t>
      </w:r>
      <w:r>
        <w:rPr>
          <w:rFonts w:cs="Times New Roman"/>
          <w:noProof/>
          <w:vertAlign w:val="superscript"/>
        </w:rPr>
        <w:footnoteReference w:id="2"/>
      </w:r>
    </w:p>
    <w:p w:rsidR="00620F75" w:rsidRDefault="001F403D">
      <w:pPr>
        <w:pBdr>
          <w:top w:val="nil"/>
          <w:left w:val="nil"/>
          <w:bottom w:val="nil"/>
          <w:right w:val="nil"/>
          <w:between w:val="nil"/>
          <w:bar w:val="nil"/>
        </w:pBdr>
        <w:spacing w:before="0" w:after="240"/>
        <w:rPr>
          <w:rFonts w:cs="Times New Roman"/>
          <w:noProof/>
        </w:rPr>
      </w:pPr>
      <w:r>
        <w:rPr>
          <w:rFonts w:cs="Times New Roman"/>
          <w:noProof/>
          <w:color w:val="000000" w:themeColor="text1"/>
        </w:rPr>
        <w:t xml:space="preserve">However, the </w:t>
      </w:r>
      <w:r>
        <w:rPr>
          <w:rFonts w:cs="Times New Roman"/>
          <w:bCs/>
          <w:noProof/>
          <w:color w:val="000000" w:themeColor="text1"/>
        </w:rPr>
        <w:t>COVID-19 pandemic</w:t>
      </w:r>
      <w:r>
        <w:rPr>
          <w:rFonts w:cs="Times New Roman"/>
          <w:noProof/>
          <w:color w:val="000000" w:themeColor="text1"/>
        </w:rPr>
        <w:t xml:space="preserve"> </w:t>
      </w:r>
      <w:r>
        <w:rPr>
          <w:rFonts w:cs="Times New Roman"/>
          <w:noProof/>
        </w:rPr>
        <w:t>has seriously disrupted standard learning activities in education and training systems including for VET acros</w:t>
      </w:r>
      <w:r>
        <w:rPr>
          <w:rFonts w:cs="Times New Roman"/>
          <w:noProof/>
        </w:rPr>
        <w:t>s Europe. Despite the fact that Member States have quickly moved towards digital learning solutions, the outbreak has put the resilience of the system to a test. The situation in VET was further aggravated by the fact that practical learning – in form of w</w:t>
      </w:r>
      <w:r>
        <w:rPr>
          <w:rFonts w:cs="Times New Roman"/>
          <w:noProof/>
        </w:rPr>
        <w:t>ork-based learning and apprenticeships – has been suspended in most sectors.</w:t>
      </w:r>
      <w:r>
        <w:rPr>
          <w:rFonts w:cs="Times New Roman"/>
          <w:noProof/>
          <w:vertAlign w:val="superscript"/>
        </w:rPr>
        <w:footnoteReference w:id="3"/>
      </w:r>
      <w:r>
        <w:rPr>
          <w:rFonts w:cs="Times New Roman"/>
          <w:noProof/>
        </w:rPr>
        <w:t xml:space="preserve"> </w:t>
      </w:r>
    </w:p>
    <w:p w:rsidR="00620F75" w:rsidRDefault="001F403D">
      <w:pPr>
        <w:rPr>
          <w:rFonts w:cstheme="minorHAnsi"/>
          <w:noProof/>
          <w:color w:val="000000"/>
        </w:rPr>
      </w:pPr>
      <w:r>
        <w:rPr>
          <w:rFonts w:cstheme="minorHAnsi"/>
          <w:noProof/>
          <w:color w:val="000000"/>
        </w:rPr>
        <w:t xml:space="preserve">The transition to a digital and climate-neutral economy will have a massive impact on sectors that traditionally rely on VET graduates, whether in the energy production sector, </w:t>
      </w:r>
      <w:r>
        <w:rPr>
          <w:rFonts w:cstheme="minorHAnsi"/>
          <w:noProof/>
          <w:color w:val="000000"/>
        </w:rPr>
        <w:t xml:space="preserve">transport, construction, or manufacturing, to name just a few. At the same time, forecasts also show positive projections for job creation linked to decarbonisation process both in </w:t>
      </w:r>
      <w:r>
        <w:rPr>
          <w:rFonts w:cstheme="minorHAnsi"/>
          <w:noProof/>
          <w:color w:val="000000"/>
        </w:rPr>
        <w:lastRenderedPageBreak/>
        <w:t>industry and services that employ traditionally VET graduates, including co</w:t>
      </w:r>
      <w:r>
        <w:rPr>
          <w:rFonts w:cstheme="minorHAnsi"/>
          <w:noProof/>
          <w:color w:val="000000"/>
        </w:rPr>
        <w:t>nstruction, waste management.</w:t>
      </w:r>
    </w:p>
    <w:p w:rsidR="00620F75" w:rsidRDefault="001F403D">
      <w:pPr>
        <w:rPr>
          <w:rFonts w:cs="Times New Roman"/>
          <w:noProof/>
        </w:rPr>
      </w:pPr>
      <w:r>
        <w:rPr>
          <w:rFonts w:cstheme="minorHAnsi"/>
          <w:noProof/>
          <w:color w:val="000000"/>
        </w:rPr>
        <w:t>However, current systems do not seem fit to address the skills challenge raised by the deep changes triggered by digitalisation and move to a climate-neutral economy. The numbers of young people choosing VET are decreasing and</w:t>
      </w:r>
      <w:r>
        <w:rPr>
          <w:rFonts w:cstheme="minorHAnsi"/>
          <w:noProof/>
          <w:color w:val="000000"/>
        </w:rPr>
        <w:t xml:space="preserve"> the take up and offer of upskilling and reskilling of the workforce is very low.  Demographic trends show that employers can not rely solely on new generations to take up new job opportunities, but they need to increasingly tap into the talent of all peop</w:t>
      </w:r>
      <w:r>
        <w:rPr>
          <w:rFonts w:cstheme="minorHAnsi"/>
          <w:noProof/>
          <w:color w:val="000000"/>
        </w:rPr>
        <w:t xml:space="preserve">le of working age by supporting their continuing vocational education and training. Investments in continuing vocational education and training are not alligned with </w:t>
      </w:r>
      <w:r>
        <w:rPr>
          <w:rFonts w:cs="Times New Roman"/>
          <w:noProof/>
        </w:rPr>
        <w:t>the scale of the challenge to support the green and digital transitions through upskilling</w:t>
      </w:r>
      <w:r>
        <w:rPr>
          <w:rFonts w:cs="Times New Roman"/>
          <w:noProof/>
        </w:rPr>
        <w:t xml:space="preserve"> and reskilling. Access to quality vocational education and training is uneven and exposure to work based learning seen as a pre-requisite to enhance the labour market relevance of VET programmes is far from being the norm across the EU. The European Semes</w:t>
      </w:r>
      <w:r>
        <w:rPr>
          <w:rFonts w:cs="Times New Roman"/>
          <w:noProof/>
        </w:rPr>
        <w:t>ter put a strong focus year after year on the need to support structural reforms in vocational education and training, and recently</w:t>
      </w:r>
      <w:r>
        <w:rPr>
          <w:rFonts w:cstheme="minorHAnsi"/>
          <w:noProof/>
          <w:color w:val="000000"/>
        </w:rPr>
        <w:t xml:space="preserve"> more attention is put to boost </w:t>
      </w:r>
      <w:r>
        <w:rPr>
          <w:rFonts w:cs="Times New Roman"/>
          <w:noProof/>
        </w:rPr>
        <w:t>continuing vocational education and training.</w:t>
      </w:r>
    </w:p>
    <w:p w:rsidR="00620F75" w:rsidRDefault="00620F75">
      <w:pPr>
        <w:rPr>
          <w:rFonts w:cstheme="minorHAnsi"/>
          <w:noProof/>
          <w:color w:val="000000"/>
        </w:rPr>
      </w:pPr>
    </w:p>
    <w:p w:rsidR="00620F75" w:rsidRDefault="001F403D">
      <w:pPr>
        <w:pBdr>
          <w:top w:val="nil"/>
          <w:left w:val="nil"/>
          <w:bottom w:val="nil"/>
          <w:right w:val="nil"/>
          <w:between w:val="nil"/>
          <w:bar w:val="nil"/>
        </w:pBdr>
        <w:spacing w:before="0" w:after="240"/>
        <w:rPr>
          <w:rFonts w:cs="Times New Roman"/>
          <w:noProof/>
        </w:rPr>
      </w:pPr>
      <w:r>
        <w:rPr>
          <w:rFonts w:cs="Times New Roman"/>
          <w:noProof/>
        </w:rPr>
        <w:t>The economic recovery from the COVID-19 outbre</w:t>
      </w:r>
      <w:r>
        <w:rPr>
          <w:rFonts w:cs="Times New Roman"/>
          <w:noProof/>
        </w:rPr>
        <w:t>ak is an opportunity to accelerate reforms in VET and strengthen its resilience, notably by digitalising learning tools and agile adaptation to changing labour market needs. This includes paying attention to the need to ensure access to digital tools and t</w:t>
      </w:r>
      <w:r>
        <w:rPr>
          <w:rFonts w:cs="Times New Roman"/>
          <w:noProof/>
        </w:rPr>
        <w:t xml:space="preserve">echnologies for every learner, teacher and trainer, as well as appropriate guidance measures. Digital tools such as simulators, virtual and augmented reality have the potential to increase the accessibility and efficiency of training, notably to small and </w:t>
      </w:r>
      <w:r>
        <w:rPr>
          <w:rFonts w:cs="Times New Roman"/>
          <w:noProof/>
        </w:rPr>
        <w:t xml:space="preserve">medium-sized companies providing apprenticeship places. Inter-company training centres and Centres of Vocational Excellence can also play an important role here. </w:t>
      </w:r>
    </w:p>
    <w:p w:rsidR="00620F75" w:rsidRDefault="001F403D">
      <w:pPr>
        <w:widowControl w:val="0"/>
        <w:tabs>
          <w:tab w:val="left" w:pos="-2268"/>
        </w:tabs>
        <w:spacing w:after="120"/>
        <w:rPr>
          <w:rFonts w:cs="Times New Roman"/>
          <w:noProof/>
        </w:rPr>
      </w:pPr>
      <w:r>
        <w:rPr>
          <w:rFonts w:cs="Times New Roman"/>
          <w:noProof/>
          <w:color w:val="000000" w:themeColor="text1"/>
        </w:rPr>
        <w:t>The pandemic is expected to lead to the deepest recession in the EU’s history and young peopl</w:t>
      </w:r>
      <w:r>
        <w:rPr>
          <w:rFonts w:cs="Times New Roman"/>
          <w:noProof/>
          <w:color w:val="000000" w:themeColor="text1"/>
        </w:rPr>
        <w:t>e entering the workforce at this time will find it harder to secure their first job</w:t>
      </w:r>
      <w:r>
        <w:rPr>
          <w:rFonts w:cs="Times New Roman"/>
          <w:noProof/>
          <w:color w:val="000000" w:themeColor="text1"/>
          <w:vertAlign w:val="superscript"/>
        </w:rPr>
        <w:footnoteReference w:id="4"/>
      </w:r>
      <w:r>
        <w:rPr>
          <w:rFonts w:cs="Times New Roman"/>
          <w:noProof/>
          <w:color w:val="000000" w:themeColor="text1"/>
        </w:rPr>
        <w:t xml:space="preserve">. </w:t>
      </w:r>
      <w:r>
        <w:rPr>
          <w:rFonts w:cs="Times New Roman"/>
          <w:noProof/>
        </w:rPr>
        <w:t>Earlier crises have shown that young people are indeed likely to be hit hardest. Further strengthening VET systems is therefore crucial for the recovery from the Covid-19</w:t>
      </w:r>
      <w:r>
        <w:rPr>
          <w:rFonts w:cs="Times New Roman"/>
          <w:noProof/>
        </w:rPr>
        <w:t xml:space="preserve"> crisis, as VET has proven an essential part of the efforts to support youth employment in the previous economic and financial crisis</w:t>
      </w:r>
      <w:r>
        <w:rPr>
          <w:rFonts w:cs="Times New Roman"/>
          <w:noProof/>
          <w:color w:val="000000" w:themeColor="text1"/>
          <w:vertAlign w:val="superscript"/>
        </w:rPr>
        <w:footnoteReference w:id="5"/>
      </w:r>
      <w:r>
        <w:rPr>
          <w:rFonts w:cs="Times New Roman"/>
          <w:noProof/>
          <w:color w:val="000000" w:themeColor="text1"/>
          <w:vertAlign w:val="superscript"/>
        </w:rPr>
        <w:t>.</w:t>
      </w:r>
      <w:r>
        <w:rPr>
          <w:rFonts w:cs="Times New Roman"/>
          <w:noProof/>
        </w:rPr>
        <w:t xml:space="preserve"> Notably apprenticeships, work-based learning, but also short-term VET programmes targeting unemployed, proved to be a pa</w:t>
      </w:r>
      <w:r>
        <w:rPr>
          <w:rFonts w:cs="Times New Roman"/>
          <w:noProof/>
        </w:rPr>
        <w:t xml:space="preserve">thway to increased employability and easier access or return to the labour market. The present proposal contributes to a high quality of the offers, in particular, for apprenticeships and other vocational programmes, made under the </w:t>
      </w:r>
      <w:r>
        <w:rPr>
          <w:rFonts w:cs="Times New Roman"/>
          <w:bCs/>
          <w:noProof/>
        </w:rPr>
        <w:t>Youth Guarantee</w:t>
      </w:r>
      <w:r>
        <w:rPr>
          <w:rFonts w:cs="Times New Roman"/>
          <w:noProof/>
        </w:rPr>
        <w:t xml:space="preserve"> by ensur</w:t>
      </w:r>
      <w:r>
        <w:rPr>
          <w:rFonts w:cs="Times New Roman"/>
          <w:noProof/>
        </w:rPr>
        <w:t>ing labour market relevance, digitalisation and environmental sustainability of VET. It will also call for reinforced support for apprenticeships reforms and European Alliance for Apprenticeships to renew and boost commitments for quality and affective app</w:t>
      </w:r>
      <w:r>
        <w:rPr>
          <w:rFonts w:cs="Times New Roman"/>
          <w:noProof/>
        </w:rPr>
        <w:t>renticeships opportunities.</w:t>
      </w:r>
    </w:p>
    <w:p w:rsidR="00620F75" w:rsidRDefault="001F403D">
      <w:pPr>
        <w:spacing w:before="0" w:after="240"/>
        <w:rPr>
          <w:rFonts w:cs="Times New Roman"/>
          <w:noProof/>
          <w:color w:val="000000" w:themeColor="text1"/>
        </w:rPr>
      </w:pPr>
      <w:r>
        <w:rPr>
          <w:rFonts w:cs="Times New Roman"/>
          <w:noProof/>
          <w:color w:val="000000" w:themeColor="text1"/>
        </w:rPr>
        <w:t xml:space="preserve">Modernisation of VET systems is also warranted as the </w:t>
      </w:r>
      <w:r>
        <w:rPr>
          <w:rFonts w:cs="Times New Roman"/>
          <w:bCs/>
          <w:noProof/>
          <w:color w:val="000000" w:themeColor="text1"/>
        </w:rPr>
        <w:t>world of work and skills is changing</w:t>
      </w:r>
      <w:r>
        <w:rPr>
          <w:rFonts w:cs="Times New Roman"/>
          <w:noProof/>
          <w:color w:val="000000" w:themeColor="text1"/>
        </w:rPr>
        <w:t>. On-going developments such as automation and digitalisation of production and services continue to reshape the labour markets. In additi</w:t>
      </w:r>
      <w:r>
        <w:rPr>
          <w:rFonts w:cs="Times New Roman"/>
          <w:noProof/>
          <w:color w:val="000000" w:themeColor="text1"/>
        </w:rPr>
        <w:t xml:space="preserve">on, the broader twin transitions towards a </w:t>
      </w:r>
      <w:r>
        <w:rPr>
          <w:rFonts w:cs="Times New Roman"/>
          <w:bCs/>
          <w:noProof/>
          <w:color w:val="000000" w:themeColor="text1"/>
        </w:rPr>
        <w:lastRenderedPageBreak/>
        <w:t>more digital and</w:t>
      </w:r>
      <w:r>
        <w:rPr>
          <w:rFonts w:cs="Times New Roman"/>
          <w:noProof/>
          <w:color w:val="000000" w:themeColor="text1"/>
        </w:rPr>
        <w:t xml:space="preserve"> </w:t>
      </w:r>
      <w:r>
        <w:rPr>
          <w:rFonts w:cs="Times New Roman"/>
          <w:bCs/>
          <w:noProof/>
          <w:color w:val="000000" w:themeColor="text1"/>
        </w:rPr>
        <w:t>greener economy</w:t>
      </w:r>
      <w:r>
        <w:rPr>
          <w:rFonts w:cs="Times New Roman"/>
          <w:noProof/>
          <w:color w:val="000000" w:themeColor="text1"/>
        </w:rPr>
        <w:t xml:space="preserve"> will require VET to adapt to ensure that VET learners acquire the skills needed for the green and digital transitions</w:t>
      </w:r>
      <w:r>
        <w:rPr>
          <w:rFonts w:cs="Times New Roman"/>
          <w:noProof/>
        </w:rPr>
        <w:t xml:space="preserve"> while also reconfirming and strengthening the central role of </w:t>
      </w:r>
      <w:r>
        <w:rPr>
          <w:rFonts w:cs="Times New Roman"/>
          <w:noProof/>
        </w:rPr>
        <w:t xml:space="preserve">VET in the lifelong learning continuum. </w:t>
      </w:r>
    </w:p>
    <w:p w:rsidR="00620F75" w:rsidRDefault="001F403D">
      <w:pPr>
        <w:rPr>
          <w:rFonts w:cstheme="minorHAnsi"/>
          <w:noProof/>
          <w:color w:val="000000"/>
        </w:rPr>
      </w:pPr>
      <w:r>
        <w:rPr>
          <w:rFonts w:cstheme="minorHAnsi"/>
          <w:noProof/>
          <w:color w:val="000000"/>
        </w:rPr>
        <w:t>The Common Union vocational training policy as defined in the Treaty of Rome, has been taken forward by the launch of the Copenhagen process in 2002 bringing together Member States, social partners, Commission and s</w:t>
      </w:r>
      <w:r>
        <w:rPr>
          <w:rFonts w:cstheme="minorHAnsi"/>
          <w:noProof/>
          <w:color w:val="000000"/>
        </w:rPr>
        <w:t>upported also by associations of providers of vocational education and training. The enhanced cooperation on vocational education and training has been driven by series of Ministerial meetings which have defined priorities in a form of Declarations and Com</w:t>
      </w:r>
      <w:r>
        <w:rPr>
          <w:rFonts w:cstheme="minorHAnsi"/>
          <w:noProof/>
          <w:color w:val="000000"/>
        </w:rPr>
        <w:t xml:space="preserve">muniqués, notably the 2010 Bruges Communiqué and the 2015 Riga Conclusions. The aims and priorities pursued under this process contributed to the objectives set out in the Strategic framework for education and training (ET2020), and the 2016 Skills Agenda </w:t>
      </w:r>
      <w:r>
        <w:rPr>
          <w:rFonts w:cstheme="minorHAnsi"/>
          <w:noProof/>
          <w:color w:val="000000"/>
        </w:rPr>
        <w:t xml:space="preserve">gave a further strong boost to the Union VET policy. </w:t>
      </w:r>
    </w:p>
    <w:p w:rsidR="00620F75" w:rsidRDefault="001F403D">
      <w:pPr>
        <w:rPr>
          <w:rFonts w:cstheme="minorHAnsi"/>
          <w:noProof/>
          <w:color w:val="000000"/>
        </w:rPr>
      </w:pPr>
      <w:r>
        <w:rPr>
          <w:rFonts w:cstheme="minorHAnsi"/>
          <w:noProof/>
          <w:color w:val="000000"/>
        </w:rPr>
        <w:t>In addition, as part of the VET policy framework, two specific VET instruments have been developed and implemented since 2009 to support Member States in improving the quality of their VET systems (</w:t>
      </w:r>
      <w:r>
        <w:rPr>
          <w:noProof/>
        </w:rPr>
        <w:t xml:space="preserve">the </w:t>
      </w:r>
      <w:r>
        <w:rPr>
          <w:noProof/>
        </w:rPr>
        <w:t xml:space="preserve">European Quality Assurance Reference Framework in Vocational Education and Training  - </w:t>
      </w:r>
      <w:r>
        <w:rPr>
          <w:rFonts w:cstheme="minorHAnsi"/>
          <w:noProof/>
          <w:color w:val="000000"/>
        </w:rPr>
        <w:t>EQAVET) and in making VET more flexible (</w:t>
      </w:r>
      <w:r>
        <w:rPr>
          <w:noProof/>
        </w:rPr>
        <w:t xml:space="preserve">the European Credit System for Vocational Education and Training - </w:t>
      </w:r>
      <w:r>
        <w:rPr>
          <w:rFonts w:cstheme="minorHAnsi"/>
          <w:noProof/>
          <w:color w:val="000000"/>
        </w:rPr>
        <w:t>ECVET). Recent evaluation of these two instruments show areas</w:t>
      </w:r>
      <w:r>
        <w:rPr>
          <w:rFonts w:cstheme="minorHAnsi"/>
          <w:noProof/>
          <w:color w:val="000000"/>
        </w:rPr>
        <w:t xml:space="preserve"> where they have had a positive impact and areas where their impact has been more limited. They also indicate the need to enhance the articulation between these two instruments and the overarching VET policy agenda as well as the broader skills and qualifi</w:t>
      </w:r>
      <w:r>
        <w:rPr>
          <w:rFonts w:cstheme="minorHAnsi"/>
          <w:noProof/>
          <w:color w:val="000000"/>
        </w:rPr>
        <w:t>cations instruments such as the European Qualifications Framework (EQF) and the Europass.</w:t>
      </w:r>
    </w:p>
    <w:p w:rsidR="00620F75" w:rsidRDefault="00620F75">
      <w:pPr>
        <w:rPr>
          <w:rFonts w:cstheme="minorHAnsi"/>
          <w:noProof/>
          <w:color w:val="000000"/>
        </w:rPr>
      </w:pPr>
    </w:p>
    <w:p w:rsidR="00620F75" w:rsidRDefault="001F403D">
      <w:pPr>
        <w:spacing w:before="0" w:after="240"/>
        <w:rPr>
          <w:rFonts w:cs="Times New Roman"/>
          <w:noProof/>
        </w:rPr>
      </w:pPr>
      <w:r>
        <w:rPr>
          <w:rFonts w:cs="Times New Roman"/>
          <w:noProof/>
        </w:rPr>
        <w:t xml:space="preserve">With the policy framework for European cooperation in education and training and specific priorities for VET ending in 2020, there is an opportunity to define a new </w:t>
      </w:r>
      <w:r>
        <w:rPr>
          <w:rFonts w:cs="Times New Roman"/>
          <w:noProof/>
        </w:rPr>
        <w:t xml:space="preserve">and more ambitious Union policy on VET that responds to the challenges described above. </w:t>
      </w:r>
      <w:r>
        <w:rPr>
          <w:noProof/>
        </w:rPr>
        <w:t>The overall objective should be to modernise the EU’s VET policy to meet the large upskilling and reskilling needs driven by the common ambition to be fit for the chall</w:t>
      </w:r>
      <w:r>
        <w:rPr>
          <w:noProof/>
        </w:rPr>
        <w:t>enges of the 21</w:t>
      </w:r>
      <w:r>
        <w:rPr>
          <w:noProof/>
          <w:vertAlign w:val="superscript"/>
        </w:rPr>
        <w:t>st</w:t>
      </w:r>
      <w:r>
        <w:rPr>
          <w:noProof/>
        </w:rPr>
        <w:t xml:space="preserve"> century, in particular to become a climate neutral Europe and to support the recovery from the COVID-19 pandemic.</w:t>
      </w:r>
    </w:p>
    <w:p w:rsidR="00620F75" w:rsidRDefault="001F403D">
      <w:pPr>
        <w:spacing w:before="0" w:after="240"/>
        <w:rPr>
          <w:rFonts w:cs="Times New Roman"/>
          <w:noProof/>
          <w:color w:val="000000" w:themeColor="text1"/>
        </w:rPr>
      </w:pPr>
      <w:r>
        <w:rPr>
          <w:rFonts w:cs="Times New Roman"/>
          <w:noProof/>
          <w:color w:val="000000" w:themeColor="text1"/>
        </w:rPr>
        <w:t>The proposal for a Council Recommendation on vocational education and training (VET) for sustainable competitiveness, social</w:t>
      </w:r>
      <w:r>
        <w:rPr>
          <w:rFonts w:cs="Times New Roman"/>
          <w:noProof/>
          <w:color w:val="000000" w:themeColor="text1"/>
        </w:rPr>
        <w:t xml:space="preserve"> fairness and resilience was announced in the Communication "</w:t>
      </w:r>
      <w:hyperlink r:id="rId15" w:history="1">
        <w:r>
          <w:rPr>
            <w:rFonts w:cs="Times New Roman"/>
            <w:noProof/>
            <w:color w:val="000000" w:themeColor="text1"/>
          </w:rPr>
          <w:t>A Strong Social Europe for Just Transitions</w:t>
        </w:r>
      </w:hyperlink>
      <w:r>
        <w:rPr>
          <w:rFonts w:cs="Times New Roman"/>
          <w:noProof/>
          <w:color w:val="000000" w:themeColor="text1"/>
        </w:rPr>
        <w:t>" of 14</w:t>
      </w:r>
      <w:r>
        <w:rPr>
          <w:rFonts w:ascii="Calibri" w:hAnsi="Calibri" w:cs="Calibri"/>
          <w:noProof/>
          <w:color w:val="000000" w:themeColor="text1"/>
        </w:rPr>
        <w:t> </w:t>
      </w:r>
      <w:r>
        <w:rPr>
          <w:rFonts w:cs="Times New Roman"/>
          <w:noProof/>
          <w:color w:val="000000" w:themeColor="text1"/>
        </w:rPr>
        <w:t>January 2020</w:t>
      </w:r>
      <w:r>
        <w:rPr>
          <w:rFonts w:cs="Times New Roman"/>
          <w:noProof/>
          <w:color w:val="000000" w:themeColor="text1"/>
          <w:vertAlign w:val="superscript"/>
        </w:rPr>
        <w:footnoteReference w:id="6"/>
      </w:r>
      <w:r>
        <w:rPr>
          <w:rFonts w:cs="Times New Roman"/>
          <w:noProof/>
          <w:color w:val="000000" w:themeColor="text1"/>
        </w:rPr>
        <w:t>. It is an important part of the ongoing implementati</w:t>
      </w:r>
      <w:r>
        <w:rPr>
          <w:rFonts w:cs="Times New Roman"/>
          <w:noProof/>
          <w:color w:val="000000" w:themeColor="text1"/>
        </w:rPr>
        <w:t xml:space="preserve">on of the </w:t>
      </w:r>
      <w:r>
        <w:rPr>
          <w:rFonts w:cs="Times New Roman"/>
          <w:bCs/>
          <w:noProof/>
          <w:color w:val="000000" w:themeColor="text1"/>
        </w:rPr>
        <w:t>European Pillar of Social Rights</w:t>
      </w:r>
      <w:r>
        <w:rPr>
          <w:rFonts w:cs="Times New Roman"/>
          <w:noProof/>
          <w:color w:val="000000" w:themeColor="text1"/>
        </w:rPr>
        <w:t xml:space="preserve"> strengthening principle 1 “education, training and lifelong learning”.</w:t>
      </w:r>
    </w:p>
    <w:p w:rsidR="00620F75" w:rsidRDefault="001F403D">
      <w:pPr>
        <w:pBdr>
          <w:top w:val="nil"/>
          <w:left w:val="nil"/>
          <w:bottom w:val="nil"/>
          <w:right w:val="nil"/>
          <w:between w:val="nil"/>
          <w:bar w:val="nil"/>
        </w:pBdr>
        <w:spacing w:before="0" w:after="240"/>
        <w:rPr>
          <w:rFonts w:cs="Times New Roman"/>
          <w:noProof/>
        </w:rPr>
      </w:pPr>
      <w:r>
        <w:rPr>
          <w:rFonts w:cstheme="minorHAnsi"/>
          <w:noProof/>
          <w:color w:val="000000"/>
        </w:rPr>
        <w:t xml:space="preserve">The new VET policy agenda places VET at the core of the lifelong learning continuum, strongly interlinked to all other education and training </w:t>
      </w:r>
      <w:r>
        <w:rPr>
          <w:rFonts w:cstheme="minorHAnsi"/>
          <w:noProof/>
          <w:color w:val="000000"/>
        </w:rPr>
        <w:t xml:space="preserve">sectors, while also being a driver for innovation, competitiveness, employment and social cohesion policies. Therefore, </w:t>
      </w:r>
      <w:r>
        <w:rPr>
          <w:rFonts w:cs="Times New Roman"/>
          <w:noProof/>
        </w:rPr>
        <w:t xml:space="preserve">the proposal is firmly embedded in other upcoming Commission’s policy initiatives, notably the Commission Communication on the European </w:t>
      </w:r>
      <w:r>
        <w:rPr>
          <w:rFonts w:cs="Times New Roman"/>
          <w:noProof/>
        </w:rPr>
        <w:t xml:space="preserve">Skills Agenda for sustainable </w:t>
      </w:r>
      <w:r>
        <w:rPr>
          <w:rFonts w:cs="Times New Roman"/>
          <w:noProof/>
        </w:rPr>
        <w:lastRenderedPageBreak/>
        <w:t>competitiveness, social fairness and resilience</w:t>
      </w:r>
      <w:r>
        <w:rPr>
          <w:rFonts w:cs="Times New Roman"/>
          <w:noProof/>
          <w:vertAlign w:val="superscript"/>
        </w:rPr>
        <w:footnoteReference w:id="7"/>
      </w:r>
      <w:r>
        <w:rPr>
          <w:rFonts w:cs="Times New Roman"/>
          <w:noProof/>
        </w:rPr>
        <w:t>, on the Communication on Youth Employment Support - A Bridge to Jobs for the next generation</w:t>
      </w:r>
      <w:r>
        <w:rPr>
          <w:rFonts w:cs="Times New Roman"/>
          <w:noProof/>
          <w:vertAlign w:val="superscript"/>
        </w:rPr>
        <w:footnoteReference w:id="8"/>
      </w:r>
      <w:r>
        <w:rPr>
          <w:rFonts w:cs="Times New Roman"/>
          <w:noProof/>
        </w:rPr>
        <w:t>, the Digital Education Action Plan, the strategic framework for European cooperatio</w:t>
      </w:r>
      <w:r>
        <w:rPr>
          <w:rFonts w:cs="Times New Roman"/>
          <w:noProof/>
        </w:rPr>
        <w:t>n in education and training (ET 2020), and the European Education Area, which cover all levels and types of education and training.</w:t>
      </w:r>
    </w:p>
    <w:p w:rsidR="00620F75" w:rsidRDefault="001F403D">
      <w:pPr>
        <w:rPr>
          <w:rFonts w:cstheme="minorHAnsi"/>
          <w:noProof/>
          <w:color w:val="000000"/>
        </w:rPr>
      </w:pPr>
      <w:r>
        <w:rPr>
          <w:rFonts w:cstheme="minorHAnsi"/>
          <w:noProof/>
          <w:color w:val="000000"/>
        </w:rPr>
        <w:t>At the same time it is an opportunity to consolidate the existing VET policy framework at European level by integrating poli</w:t>
      </w:r>
      <w:r>
        <w:rPr>
          <w:rFonts w:cstheme="minorHAnsi"/>
          <w:noProof/>
          <w:color w:val="000000"/>
        </w:rPr>
        <w:t>cy agenda, EU VET instruments, governance structures and working methods in one single legal act. This will increase the visibility of VET policy at European level and serve as a single point of reference and a blueprint for VET modernisation.</w:t>
      </w:r>
    </w:p>
    <w:p w:rsidR="00620F75" w:rsidRDefault="001F403D">
      <w:pPr>
        <w:rPr>
          <w:rFonts w:cstheme="minorHAnsi"/>
          <w:noProof/>
          <w:color w:val="000000"/>
        </w:rPr>
      </w:pPr>
      <w:r>
        <w:rPr>
          <w:rFonts w:cstheme="minorHAnsi"/>
          <w:noProof/>
          <w:color w:val="000000"/>
        </w:rPr>
        <w:t>The proposal</w:t>
      </w:r>
      <w:r>
        <w:rPr>
          <w:rFonts w:cstheme="minorHAnsi"/>
          <w:noProof/>
          <w:color w:val="000000"/>
        </w:rPr>
        <w:t xml:space="preserve"> also responds to a call addressed to the European Commission from Member States and social partners in the Opinion of the Advisory Committee on Vocational Training to prepare a proposal to streamline and consolidate the EU VET policy framework, governance</w:t>
      </w:r>
      <w:r>
        <w:rPr>
          <w:rFonts w:cstheme="minorHAnsi"/>
          <w:noProof/>
          <w:color w:val="000000"/>
        </w:rPr>
        <w:t xml:space="preserve"> and existing EU instruments in a form of an overarching Council Recommendation on VET.  </w:t>
      </w:r>
    </w:p>
    <w:p w:rsidR="00620F75" w:rsidRDefault="001F403D">
      <w:pPr>
        <w:rPr>
          <w:rFonts w:cstheme="minorHAnsi"/>
          <w:b/>
          <w:noProof/>
          <w:color w:val="365F91" w:themeColor="accent1" w:themeShade="BF"/>
          <w:lang w:val="en-US"/>
        </w:rPr>
      </w:pPr>
      <w:r>
        <w:rPr>
          <w:rFonts w:cstheme="minorHAnsi"/>
          <w:b/>
          <w:noProof/>
          <w:color w:val="365F91" w:themeColor="accent1" w:themeShade="BF"/>
        </w:rPr>
        <w:t>Scope of the proposal</w:t>
      </w:r>
    </w:p>
    <w:p w:rsidR="00620F75" w:rsidRDefault="001F403D">
      <w:pPr>
        <w:rPr>
          <w:rFonts w:cstheme="minorHAnsi"/>
          <w:noProof/>
          <w:color w:val="000000"/>
        </w:rPr>
      </w:pPr>
      <w:r>
        <w:rPr>
          <w:rFonts w:cstheme="minorHAnsi"/>
          <w:noProof/>
          <w:color w:val="000000"/>
        </w:rPr>
        <w:t>The Commission Proposal for a Council Recommendation on VET for sustainable competitiveness, social fairness and resilience aims at renewing the</w:t>
      </w:r>
      <w:r>
        <w:rPr>
          <w:rFonts w:cstheme="minorHAnsi"/>
          <w:noProof/>
          <w:color w:val="000000"/>
        </w:rPr>
        <w:t xml:space="preserve"> EU’s VET policy by:</w:t>
      </w:r>
    </w:p>
    <w:p w:rsidR="00620F75" w:rsidRDefault="001F403D">
      <w:pPr>
        <w:pStyle w:val="ListParagraph"/>
        <w:numPr>
          <w:ilvl w:val="0"/>
          <w:numId w:val="54"/>
        </w:numPr>
        <w:rPr>
          <w:rFonts w:cstheme="minorHAnsi"/>
          <w:noProof/>
          <w:color w:val="000000"/>
        </w:rPr>
      </w:pPr>
      <w:r>
        <w:rPr>
          <w:rFonts w:cstheme="minorHAnsi"/>
          <w:b/>
          <w:bCs/>
          <w:noProof/>
          <w:color w:val="000000"/>
        </w:rPr>
        <w:t>modernising the Union policy on VET</w:t>
      </w:r>
      <w:r>
        <w:rPr>
          <w:rFonts w:cstheme="minorHAnsi"/>
          <w:noProof/>
          <w:color w:val="000000"/>
        </w:rPr>
        <w:t xml:space="preserve"> supporting the transitions to a green and digital economy in times of demographic change as well as upward convergence of national VET systems. Given the crucial role VET and, in particular, apprenti</w:t>
      </w:r>
      <w:r>
        <w:rPr>
          <w:rFonts w:cstheme="minorHAnsi"/>
          <w:noProof/>
          <w:color w:val="000000"/>
        </w:rPr>
        <w:t xml:space="preserve">ceships play in improving employability, the proposed modernisation will equally </w:t>
      </w:r>
      <w:r>
        <w:rPr>
          <w:rFonts w:cstheme="minorHAnsi"/>
          <w:b/>
          <w:bCs/>
          <w:noProof/>
          <w:color w:val="000000"/>
        </w:rPr>
        <w:t>support the fight against youth unemployment</w:t>
      </w:r>
      <w:r>
        <w:rPr>
          <w:rFonts w:cstheme="minorHAnsi"/>
          <w:noProof/>
          <w:color w:val="000000"/>
        </w:rPr>
        <w:t>. It will also include the increased use of digital tools and continued digitalisation of VET systems, which will contribute to inc</w:t>
      </w:r>
      <w:r>
        <w:rPr>
          <w:rFonts w:cstheme="minorHAnsi"/>
          <w:noProof/>
          <w:color w:val="000000"/>
        </w:rPr>
        <w:t>reasing their resilience.</w:t>
      </w:r>
    </w:p>
    <w:p w:rsidR="00620F75" w:rsidRDefault="001F403D">
      <w:pPr>
        <w:pStyle w:val="ListParagraph"/>
        <w:numPr>
          <w:ilvl w:val="0"/>
          <w:numId w:val="54"/>
        </w:numPr>
        <w:rPr>
          <w:rFonts w:cstheme="minorHAnsi"/>
          <w:noProof/>
          <w:color w:val="000000"/>
        </w:rPr>
      </w:pPr>
      <w:r>
        <w:rPr>
          <w:rFonts w:cstheme="minorHAnsi"/>
          <w:b/>
          <w:noProof/>
          <w:color w:val="000000"/>
        </w:rPr>
        <w:t>confirming the central role of VET in the lifelong learning continuum</w:t>
      </w:r>
      <w:r>
        <w:rPr>
          <w:rFonts w:cstheme="minorHAnsi"/>
          <w:noProof/>
          <w:color w:val="000000"/>
        </w:rPr>
        <w:t xml:space="preserve"> and its strong links to all education and training sectors, which calls for permeability and transparency,</w:t>
      </w:r>
    </w:p>
    <w:p w:rsidR="00620F75" w:rsidRDefault="001F403D">
      <w:pPr>
        <w:pStyle w:val="ListParagraph"/>
        <w:numPr>
          <w:ilvl w:val="0"/>
          <w:numId w:val="54"/>
        </w:numPr>
        <w:rPr>
          <w:rFonts w:cstheme="minorHAnsi"/>
          <w:noProof/>
          <w:color w:val="000000"/>
        </w:rPr>
      </w:pPr>
      <w:r>
        <w:rPr>
          <w:rFonts w:cstheme="minorHAnsi"/>
          <w:b/>
          <w:noProof/>
          <w:color w:val="000000"/>
        </w:rPr>
        <w:t>streamlining the European cooperation process</w:t>
      </w:r>
      <w:r>
        <w:rPr>
          <w:rFonts w:cstheme="minorHAnsi"/>
          <w:noProof/>
          <w:color w:val="000000"/>
        </w:rPr>
        <w:t xml:space="preserve"> in the field of VET by integrating and adapting the instruments for VET quality assurance (EQAVET) and flexibility and tailored provision (ECVET), </w:t>
      </w:r>
    </w:p>
    <w:p w:rsidR="00620F75" w:rsidRDefault="001F403D">
      <w:pPr>
        <w:pStyle w:val="ListParagraph"/>
        <w:numPr>
          <w:ilvl w:val="0"/>
          <w:numId w:val="54"/>
        </w:numPr>
        <w:rPr>
          <w:rFonts w:cstheme="minorHAnsi"/>
          <w:noProof/>
          <w:color w:val="000000"/>
        </w:rPr>
      </w:pPr>
      <w:r>
        <w:rPr>
          <w:rFonts w:cstheme="minorHAnsi"/>
          <w:b/>
          <w:noProof/>
          <w:color w:val="000000"/>
        </w:rPr>
        <w:t>simplifying VET governance at Union level</w:t>
      </w:r>
      <w:r>
        <w:rPr>
          <w:rFonts w:cstheme="minorHAnsi"/>
          <w:noProof/>
          <w:color w:val="000000"/>
        </w:rPr>
        <w:t xml:space="preserve"> (related to integrated ECVET and EQAVET Recommendations) and defi</w:t>
      </w:r>
      <w:r>
        <w:rPr>
          <w:rFonts w:cstheme="minorHAnsi"/>
          <w:noProof/>
          <w:color w:val="000000"/>
        </w:rPr>
        <w:t>ning the working methods, types of support activities at Union level and a monitoring framework to assess progress towards the implementation of this Recommendation, in full coherence with the broader governance framework for education and training,</w:t>
      </w:r>
    </w:p>
    <w:p w:rsidR="00620F75" w:rsidRDefault="001F403D">
      <w:pPr>
        <w:rPr>
          <w:rFonts w:cstheme="minorHAnsi"/>
          <w:noProof/>
          <w:color w:val="000000"/>
        </w:rPr>
      </w:pPr>
      <w:r>
        <w:rPr>
          <w:rFonts w:cstheme="minorHAnsi"/>
          <w:noProof/>
          <w:color w:val="000000"/>
        </w:rPr>
        <w:t>Concre</w:t>
      </w:r>
      <w:r>
        <w:rPr>
          <w:rFonts w:cstheme="minorHAnsi"/>
          <w:noProof/>
          <w:color w:val="000000"/>
        </w:rPr>
        <w:t xml:space="preserve">tely, for actions to be taken </w:t>
      </w:r>
      <w:r>
        <w:rPr>
          <w:rFonts w:cstheme="minorHAnsi"/>
          <w:b/>
          <w:noProof/>
          <w:color w:val="000000"/>
        </w:rPr>
        <w:t>at national level</w:t>
      </w:r>
      <w:r>
        <w:rPr>
          <w:rFonts w:cstheme="minorHAnsi"/>
          <w:noProof/>
          <w:color w:val="000000"/>
        </w:rPr>
        <w:t>, the new elements are the following:</w:t>
      </w:r>
    </w:p>
    <w:p w:rsidR="00620F75" w:rsidRDefault="001F403D">
      <w:pPr>
        <w:pStyle w:val="ListParagraph"/>
        <w:numPr>
          <w:ilvl w:val="0"/>
          <w:numId w:val="64"/>
        </w:numPr>
        <w:rPr>
          <w:rFonts w:cstheme="minorHAnsi"/>
          <w:noProof/>
          <w:color w:val="000000"/>
        </w:rPr>
      </w:pPr>
      <w:r>
        <w:rPr>
          <w:rFonts w:cstheme="minorHAnsi"/>
          <w:b/>
          <w:noProof/>
          <w:color w:val="000000"/>
        </w:rPr>
        <w:t>Underlining the crucial role VET systems play for the young people</w:t>
      </w:r>
      <w:r>
        <w:rPr>
          <w:rFonts w:cstheme="minorHAnsi"/>
          <w:noProof/>
          <w:color w:val="000000"/>
        </w:rPr>
        <w:t xml:space="preserve"> entering the labour market and adding that VET systems should play an equally important role for the adu</w:t>
      </w:r>
      <w:r>
        <w:rPr>
          <w:rFonts w:cstheme="minorHAnsi"/>
          <w:noProof/>
          <w:color w:val="000000"/>
        </w:rPr>
        <w:t>lts in need of continous up- and reskilling;</w:t>
      </w:r>
    </w:p>
    <w:p w:rsidR="00620F75" w:rsidRDefault="001F403D">
      <w:pPr>
        <w:pStyle w:val="ListParagraph"/>
        <w:numPr>
          <w:ilvl w:val="0"/>
          <w:numId w:val="64"/>
        </w:numPr>
        <w:rPr>
          <w:rFonts w:cstheme="minorHAnsi"/>
          <w:noProof/>
          <w:color w:val="000000"/>
        </w:rPr>
      </w:pPr>
      <w:r>
        <w:rPr>
          <w:rFonts w:cstheme="minorHAnsi"/>
          <w:b/>
          <w:noProof/>
          <w:color w:val="000000"/>
        </w:rPr>
        <w:lastRenderedPageBreak/>
        <w:t>Granting VET providers a level of autonomy</w:t>
      </w:r>
      <w:r>
        <w:rPr>
          <w:rFonts w:cstheme="minorHAnsi"/>
          <w:noProof/>
          <w:color w:val="000000"/>
        </w:rPr>
        <w:t xml:space="preserve"> to allow them to react quickly to skills challenges, offer fast reskilling programmes and work in close partnerships with employers; </w:t>
      </w:r>
    </w:p>
    <w:p w:rsidR="00620F75" w:rsidRDefault="001F403D">
      <w:pPr>
        <w:pStyle w:val="ListParagraph"/>
        <w:numPr>
          <w:ilvl w:val="0"/>
          <w:numId w:val="64"/>
        </w:numPr>
        <w:rPr>
          <w:rFonts w:cstheme="minorHAnsi"/>
          <w:noProof/>
          <w:color w:val="000000"/>
        </w:rPr>
      </w:pPr>
      <w:r>
        <w:rPr>
          <w:rFonts w:cstheme="minorHAnsi"/>
          <w:b/>
          <w:noProof/>
          <w:color w:val="000000"/>
        </w:rPr>
        <w:t>Modularising VET programmes</w:t>
      </w:r>
      <w:r>
        <w:rPr>
          <w:rFonts w:cstheme="minorHAnsi"/>
          <w:noProof/>
          <w:color w:val="000000"/>
        </w:rPr>
        <w:t xml:space="preserve"> and ex</w:t>
      </w:r>
      <w:r>
        <w:rPr>
          <w:rFonts w:cstheme="minorHAnsi"/>
          <w:noProof/>
          <w:color w:val="000000"/>
        </w:rPr>
        <w:t>panding them to higher levels of qualifications and microcredentials;</w:t>
      </w:r>
    </w:p>
    <w:p w:rsidR="00620F75" w:rsidRDefault="001F403D">
      <w:pPr>
        <w:pStyle w:val="ListParagraph"/>
        <w:numPr>
          <w:ilvl w:val="0"/>
          <w:numId w:val="64"/>
        </w:numPr>
        <w:rPr>
          <w:rFonts w:cstheme="minorHAnsi"/>
          <w:noProof/>
          <w:color w:val="000000"/>
        </w:rPr>
      </w:pPr>
      <w:r>
        <w:rPr>
          <w:rFonts w:cstheme="minorHAnsi"/>
          <w:b/>
          <w:noProof/>
          <w:color w:val="000000"/>
        </w:rPr>
        <w:t>Linking VET to forward-looking economic strategies and innovation systems</w:t>
      </w:r>
      <w:r>
        <w:rPr>
          <w:rFonts w:cstheme="minorHAnsi"/>
          <w:noProof/>
          <w:color w:val="000000"/>
        </w:rPr>
        <w:t>;</w:t>
      </w:r>
    </w:p>
    <w:p w:rsidR="00620F75" w:rsidRDefault="001F403D">
      <w:pPr>
        <w:pStyle w:val="ListParagraph"/>
        <w:numPr>
          <w:ilvl w:val="0"/>
          <w:numId w:val="64"/>
        </w:numPr>
        <w:rPr>
          <w:rFonts w:cstheme="minorHAnsi"/>
          <w:noProof/>
          <w:color w:val="000000"/>
        </w:rPr>
      </w:pPr>
      <w:r>
        <w:rPr>
          <w:rFonts w:cstheme="minorHAnsi"/>
          <w:b/>
          <w:bCs/>
          <w:noProof/>
          <w:color w:val="000000"/>
        </w:rPr>
        <w:t xml:space="preserve">Promoting Centres of Vocational Excellence </w:t>
      </w:r>
      <w:r>
        <w:rPr>
          <w:rFonts w:cstheme="minorHAnsi"/>
          <w:bCs/>
          <w:noProof/>
          <w:color w:val="000000"/>
        </w:rPr>
        <w:t>(through Erasmus+)</w:t>
      </w:r>
      <w:r>
        <w:rPr>
          <w:rFonts w:cstheme="minorHAnsi"/>
          <w:noProof/>
          <w:color w:val="000000"/>
        </w:rPr>
        <w:t xml:space="preserve"> linked to smart specialisation strategies and off</w:t>
      </w:r>
      <w:r>
        <w:rPr>
          <w:rFonts w:cstheme="minorHAnsi"/>
          <w:noProof/>
          <w:color w:val="000000"/>
        </w:rPr>
        <w:t>ering innovative services that include business incubators, support to start ups and technology diffusion in particular for small and medium-sized enterprises (SMEs), to make VET resilient and fit for increased digitalisation,  digital readiness and to fos</w:t>
      </w:r>
      <w:r>
        <w:rPr>
          <w:rFonts w:cstheme="minorHAnsi"/>
          <w:noProof/>
          <w:color w:val="000000"/>
        </w:rPr>
        <w:t>ter transition from sectors that are in decline to new growing sectors;</w:t>
      </w:r>
    </w:p>
    <w:p w:rsidR="00620F75" w:rsidRDefault="001F403D">
      <w:pPr>
        <w:pStyle w:val="ListParagraph"/>
        <w:numPr>
          <w:ilvl w:val="0"/>
          <w:numId w:val="64"/>
        </w:numPr>
        <w:rPr>
          <w:rFonts w:cstheme="minorHAnsi"/>
          <w:noProof/>
          <w:color w:val="000000"/>
        </w:rPr>
      </w:pPr>
      <w:r>
        <w:rPr>
          <w:rFonts w:cstheme="minorHAnsi"/>
          <w:b/>
          <w:noProof/>
          <w:color w:val="000000"/>
        </w:rPr>
        <w:t>Embedding environmental and social sustainability</w:t>
      </w:r>
      <w:r>
        <w:rPr>
          <w:rFonts w:cstheme="minorHAnsi"/>
          <w:noProof/>
          <w:color w:val="000000"/>
        </w:rPr>
        <w:t xml:space="preserve"> into VET curricula and organisational management;</w:t>
      </w:r>
    </w:p>
    <w:p w:rsidR="00620F75" w:rsidRDefault="001F403D">
      <w:pPr>
        <w:pStyle w:val="ListParagraph"/>
        <w:numPr>
          <w:ilvl w:val="0"/>
          <w:numId w:val="64"/>
        </w:numPr>
        <w:rPr>
          <w:rFonts w:cstheme="minorHAnsi"/>
          <w:noProof/>
          <w:color w:val="000000"/>
        </w:rPr>
      </w:pPr>
      <w:r>
        <w:rPr>
          <w:rFonts w:cstheme="minorHAnsi"/>
          <w:b/>
          <w:noProof/>
          <w:color w:val="000000"/>
        </w:rPr>
        <w:t>Ensuring better permeability</w:t>
      </w:r>
      <w:r>
        <w:rPr>
          <w:rFonts w:cstheme="minorHAnsi"/>
          <w:noProof/>
          <w:color w:val="000000"/>
        </w:rPr>
        <w:t xml:space="preserve"> between the systems of education and training;</w:t>
      </w:r>
    </w:p>
    <w:p w:rsidR="00620F75" w:rsidRDefault="001F403D">
      <w:pPr>
        <w:pStyle w:val="ListParagraph"/>
        <w:numPr>
          <w:ilvl w:val="0"/>
          <w:numId w:val="64"/>
        </w:numPr>
        <w:rPr>
          <w:rFonts w:cstheme="minorHAnsi"/>
          <w:noProof/>
          <w:color w:val="000000"/>
        </w:rPr>
      </w:pPr>
      <w:r>
        <w:rPr>
          <w:rFonts w:cstheme="minorHAnsi"/>
          <w:noProof/>
          <w:color w:val="000000"/>
        </w:rPr>
        <w:t xml:space="preserve">Against </w:t>
      </w:r>
      <w:r>
        <w:rPr>
          <w:rFonts w:cstheme="minorHAnsi"/>
          <w:noProof/>
          <w:color w:val="000000"/>
        </w:rPr>
        <w:t xml:space="preserve">the backdrop of the COVID-19 pandemic, </w:t>
      </w:r>
      <w:r>
        <w:rPr>
          <w:rFonts w:cstheme="minorHAnsi"/>
          <w:b/>
          <w:noProof/>
          <w:color w:val="000000"/>
        </w:rPr>
        <w:t>increasing the digital readiness of VET institutions</w:t>
      </w:r>
      <w:r>
        <w:rPr>
          <w:rFonts w:cstheme="minorHAnsi"/>
          <w:noProof/>
          <w:color w:val="000000"/>
        </w:rPr>
        <w:t>, by promoting new learning environments, tools and pedagogies in particular linked to digitalisation, catering for both VET specific and transversal curricula and c</w:t>
      </w:r>
      <w:r>
        <w:rPr>
          <w:rFonts w:cstheme="minorHAnsi"/>
          <w:noProof/>
          <w:color w:val="000000"/>
        </w:rPr>
        <w:t>ontent, and by including the digitalisation aspect in the EQAVET framework;</w:t>
      </w:r>
    </w:p>
    <w:p w:rsidR="00620F75" w:rsidRDefault="001F403D">
      <w:pPr>
        <w:pStyle w:val="ListParagraph"/>
        <w:numPr>
          <w:ilvl w:val="0"/>
          <w:numId w:val="64"/>
        </w:numPr>
        <w:rPr>
          <w:rFonts w:cstheme="minorHAnsi"/>
          <w:noProof/>
          <w:color w:val="000000"/>
        </w:rPr>
      </w:pPr>
      <w:r>
        <w:rPr>
          <w:rFonts w:cstheme="minorHAnsi"/>
          <w:b/>
          <w:bCs/>
          <w:noProof/>
          <w:color w:val="000000"/>
        </w:rPr>
        <w:t>Increasing attractiveness of VET</w:t>
      </w:r>
      <w:r>
        <w:rPr>
          <w:rFonts w:cstheme="minorHAnsi"/>
          <w:noProof/>
          <w:color w:val="000000"/>
        </w:rPr>
        <w:t xml:space="preserve"> for learners and companies, including micro, small and medium-sized, including through internationalisation and increased opportunities for mobilit</w:t>
      </w:r>
      <w:r>
        <w:rPr>
          <w:rFonts w:cstheme="minorHAnsi"/>
          <w:noProof/>
          <w:color w:val="000000"/>
        </w:rPr>
        <w:t>y of learners and staff through the Erasmus+ programme and other funding opportunities;</w:t>
      </w:r>
    </w:p>
    <w:p w:rsidR="00620F75" w:rsidRDefault="001F403D">
      <w:pPr>
        <w:pStyle w:val="ListParagraph"/>
        <w:numPr>
          <w:ilvl w:val="0"/>
          <w:numId w:val="64"/>
        </w:numPr>
        <w:rPr>
          <w:rFonts w:cstheme="minorHAnsi"/>
          <w:noProof/>
          <w:color w:val="000000"/>
        </w:rPr>
      </w:pPr>
      <w:r>
        <w:rPr>
          <w:rFonts w:cstheme="minorHAnsi"/>
          <w:noProof/>
          <w:color w:val="000000"/>
        </w:rPr>
        <w:t xml:space="preserve">Addressing </w:t>
      </w:r>
      <w:r>
        <w:rPr>
          <w:rFonts w:cstheme="minorHAnsi"/>
          <w:b/>
          <w:noProof/>
          <w:color w:val="000000"/>
        </w:rPr>
        <w:t>gender</w:t>
      </w:r>
      <w:r>
        <w:rPr>
          <w:rFonts w:cstheme="minorHAnsi"/>
          <w:noProof/>
          <w:color w:val="000000"/>
        </w:rPr>
        <w:t xml:space="preserve"> bias and gender stereotypical choices and supporting diversity and inclusiveness;</w:t>
      </w:r>
    </w:p>
    <w:p w:rsidR="00620F75" w:rsidRDefault="001F403D">
      <w:pPr>
        <w:pStyle w:val="ListParagraph"/>
        <w:numPr>
          <w:ilvl w:val="0"/>
          <w:numId w:val="64"/>
        </w:numPr>
        <w:rPr>
          <w:rFonts w:cstheme="minorHAnsi"/>
          <w:noProof/>
          <w:color w:val="000000"/>
        </w:rPr>
      </w:pPr>
      <w:r>
        <w:rPr>
          <w:rFonts w:cstheme="minorHAnsi"/>
          <w:b/>
          <w:noProof/>
          <w:color w:val="000000"/>
        </w:rPr>
        <w:t>Defining a set of indicators and objectives</w:t>
      </w:r>
      <w:r>
        <w:rPr>
          <w:rFonts w:cstheme="minorHAnsi"/>
          <w:noProof/>
          <w:color w:val="000000"/>
        </w:rPr>
        <w:t xml:space="preserve"> to enable both quantitat</w:t>
      </w:r>
      <w:r>
        <w:rPr>
          <w:rFonts w:cstheme="minorHAnsi"/>
          <w:noProof/>
          <w:color w:val="000000"/>
        </w:rPr>
        <w:t>ive and qualitative monitoring of performance of vocational education and training systems.</w:t>
      </w:r>
    </w:p>
    <w:p w:rsidR="00620F75" w:rsidRDefault="001F403D">
      <w:pPr>
        <w:rPr>
          <w:noProof/>
        </w:rPr>
      </w:pPr>
      <w:r>
        <w:rPr>
          <w:noProof/>
        </w:rPr>
        <w:t xml:space="preserve">In addition to reconfirming the role of the tripartite Advisory Committee on Vocational Training (ACVT), the proposal also puts forward the following </w:t>
      </w:r>
      <w:r>
        <w:rPr>
          <w:b/>
          <w:noProof/>
        </w:rPr>
        <w:t>new elements a</w:t>
      </w:r>
      <w:r>
        <w:rPr>
          <w:b/>
          <w:noProof/>
        </w:rPr>
        <w:t>t EU</w:t>
      </w:r>
      <w:r>
        <w:rPr>
          <w:noProof/>
        </w:rPr>
        <w:t>:</w:t>
      </w:r>
    </w:p>
    <w:p w:rsidR="00620F75" w:rsidRDefault="001F403D">
      <w:pPr>
        <w:pStyle w:val="ListParagraph"/>
        <w:numPr>
          <w:ilvl w:val="0"/>
          <w:numId w:val="64"/>
        </w:numPr>
        <w:rPr>
          <w:rFonts w:cstheme="minorHAnsi"/>
          <w:b/>
          <w:noProof/>
          <w:color w:val="000000"/>
        </w:rPr>
      </w:pPr>
      <w:r>
        <w:rPr>
          <w:rFonts w:cstheme="minorHAnsi"/>
          <w:b/>
          <w:noProof/>
          <w:color w:val="000000"/>
        </w:rPr>
        <w:t xml:space="preserve">Providing support service </w:t>
      </w:r>
      <w:r>
        <w:rPr>
          <w:rFonts w:cstheme="minorHAnsi"/>
          <w:noProof/>
          <w:color w:val="000000"/>
        </w:rPr>
        <w:t>that caters for the various dimensions of VET systems (e.g. apprenticeships, Centres of Vocational Excellence, continuing vocational education and training, quality assurance), bringing together the management of several sep</w:t>
      </w:r>
      <w:r>
        <w:rPr>
          <w:rFonts w:cstheme="minorHAnsi"/>
          <w:noProof/>
          <w:color w:val="000000"/>
        </w:rPr>
        <w:t>arate support structures (EQAVET and ECVET secretariats, apprenticeship support services, expert working groups;</w:t>
      </w:r>
    </w:p>
    <w:p w:rsidR="00620F75" w:rsidRDefault="001F403D">
      <w:pPr>
        <w:pStyle w:val="ListParagraph"/>
        <w:numPr>
          <w:ilvl w:val="0"/>
          <w:numId w:val="64"/>
        </w:numPr>
        <w:rPr>
          <w:rFonts w:cstheme="minorHAnsi"/>
          <w:b/>
          <w:noProof/>
          <w:color w:val="000000"/>
        </w:rPr>
      </w:pPr>
      <w:r>
        <w:rPr>
          <w:rFonts w:cstheme="minorHAnsi"/>
          <w:b/>
          <w:noProof/>
          <w:color w:val="000000"/>
        </w:rPr>
        <w:t xml:space="preserve">Supporting the digital readiness of VET institutions </w:t>
      </w:r>
      <w:r>
        <w:rPr>
          <w:rFonts w:cstheme="minorHAnsi"/>
          <w:noProof/>
          <w:color w:val="000000"/>
        </w:rPr>
        <w:t>through the reinforced deployment of the SELFIE tool and its gradual extension to cater fo</w:t>
      </w:r>
      <w:r>
        <w:rPr>
          <w:rFonts w:cstheme="minorHAnsi"/>
          <w:noProof/>
          <w:color w:val="000000"/>
        </w:rPr>
        <w:t xml:space="preserve">r work based learning </w:t>
      </w:r>
      <w:bookmarkStart w:id="7" w:name="_Hlk42014418"/>
      <w:r>
        <w:rPr>
          <w:rFonts w:cs="Times New Roman"/>
          <w:noProof/>
          <w:color w:val="000000" w:themeColor="text1"/>
          <w:vertAlign w:val="superscript"/>
        </w:rPr>
        <w:footnoteReference w:id="9"/>
      </w:r>
      <w:bookmarkEnd w:id="7"/>
      <w:r>
        <w:rPr>
          <w:rFonts w:cs="Times New Roman"/>
          <w:noProof/>
          <w:color w:val="000000" w:themeColor="text1"/>
          <w:vertAlign w:val="superscript"/>
        </w:rPr>
        <w:t>;</w:t>
      </w:r>
      <w:r>
        <w:rPr>
          <w:rFonts w:cstheme="minorHAnsi"/>
          <w:b/>
          <w:noProof/>
          <w:color w:val="000000"/>
        </w:rPr>
        <w:t xml:space="preserve"> </w:t>
      </w:r>
    </w:p>
    <w:p w:rsidR="00620F75" w:rsidRDefault="001F403D">
      <w:pPr>
        <w:pStyle w:val="ListParagraph"/>
        <w:numPr>
          <w:ilvl w:val="0"/>
          <w:numId w:val="64"/>
        </w:numPr>
        <w:rPr>
          <w:rFonts w:cstheme="minorHAnsi"/>
          <w:noProof/>
          <w:color w:val="000000"/>
        </w:rPr>
      </w:pPr>
      <w:r>
        <w:rPr>
          <w:rFonts w:cstheme="minorHAnsi"/>
          <w:b/>
          <w:noProof/>
          <w:color w:val="000000"/>
        </w:rPr>
        <w:lastRenderedPageBreak/>
        <w:t xml:space="preserve">Promoting European VET as a global reference point in skills development </w:t>
      </w:r>
      <w:r>
        <w:rPr>
          <w:rFonts w:cstheme="minorHAnsi"/>
          <w:noProof/>
          <w:color w:val="000000"/>
        </w:rPr>
        <w:t>and boosting mobility and recognition of vocational education and training qualifications/diplomas and the outcomes of learning periods abroad, including through development of the concept of the European Vocational Core Profiles as part of Europass platfo</w:t>
      </w:r>
      <w:r>
        <w:rPr>
          <w:rFonts w:cstheme="minorHAnsi"/>
          <w:noProof/>
          <w:color w:val="000000"/>
        </w:rPr>
        <w:t xml:space="preserve">rm and complemented, where possible, by vocational digital content; </w:t>
      </w:r>
    </w:p>
    <w:p w:rsidR="00620F75" w:rsidRDefault="001F403D">
      <w:pPr>
        <w:pStyle w:val="ListParagraph"/>
        <w:numPr>
          <w:ilvl w:val="0"/>
          <w:numId w:val="64"/>
        </w:numPr>
        <w:rPr>
          <w:rFonts w:cstheme="minorHAnsi"/>
          <w:b/>
          <w:noProof/>
          <w:color w:val="000000"/>
        </w:rPr>
      </w:pPr>
      <w:r>
        <w:rPr>
          <w:rFonts w:cstheme="minorHAnsi"/>
          <w:b/>
          <w:noProof/>
          <w:color w:val="000000"/>
        </w:rPr>
        <w:t xml:space="preserve">Introducing a peer review process on quality assurance in VET </w:t>
      </w:r>
      <w:r>
        <w:rPr>
          <w:rFonts w:cstheme="minorHAnsi"/>
          <w:noProof/>
          <w:color w:val="000000"/>
        </w:rPr>
        <w:t>to support upward convergence in quality, transparency and mutual trust.</w:t>
      </w:r>
    </w:p>
    <w:p w:rsidR="00620F75" w:rsidRDefault="001F403D">
      <w:pPr>
        <w:pStyle w:val="Heading1"/>
        <w:rPr>
          <w:noProof/>
        </w:rPr>
      </w:pPr>
      <w:bookmarkStart w:id="8" w:name="_Toc34039135"/>
      <w:bookmarkStart w:id="9" w:name="_Toc34040436"/>
      <w:bookmarkStart w:id="10" w:name="_Toc34041689"/>
      <w:bookmarkStart w:id="11" w:name="_Toc34042195"/>
      <w:bookmarkStart w:id="12" w:name="_Toc32997297"/>
      <w:bookmarkStart w:id="13" w:name="_Toc43376093"/>
      <w:r>
        <w:rPr>
          <w:noProof/>
        </w:rPr>
        <w:t>Political context</w:t>
      </w:r>
      <w:bookmarkEnd w:id="8"/>
      <w:bookmarkEnd w:id="9"/>
      <w:bookmarkEnd w:id="10"/>
      <w:bookmarkEnd w:id="11"/>
      <w:bookmarkEnd w:id="12"/>
      <w:bookmarkEnd w:id="13"/>
      <w:r>
        <w:rPr>
          <w:noProof/>
        </w:rPr>
        <w:t xml:space="preserve"> </w:t>
      </w:r>
    </w:p>
    <w:p w:rsidR="00620F75" w:rsidRDefault="001F403D">
      <w:pPr>
        <w:rPr>
          <w:noProof/>
        </w:rPr>
      </w:pPr>
      <w:r>
        <w:rPr>
          <w:noProof/>
        </w:rPr>
        <w:t>Climate change, environmental deg</w:t>
      </w:r>
      <w:r>
        <w:rPr>
          <w:noProof/>
        </w:rPr>
        <w:t>radation and tehcnological development will have a major impact on our societies and our way of life, which will lead to radical transpormations. These transformations present both opportunities and challenges for the EU’s economy, industry and citizens: j</w:t>
      </w:r>
      <w:r>
        <w:rPr>
          <w:noProof/>
        </w:rPr>
        <w:t>obs will disappear and new ones will be created, and the existing ones will undergo change requiring new skills and a high degree of adaptability from the individuals. At the same time, the European population is aging and is becoming more and more diverse</w:t>
      </w:r>
      <w:r>
        <w:rPr>
          <w:noProof/>
        </w:rPr>
        <w:t>. Employment increasingly concentrated in urban centres and rural depopulation create difficulties in optimal provision of services including education and training and infrastructures (e.g. broadband) in remote areas. Opportunities for continuing learning</w:t>
      </w:r>
      <w:r>
        <w:rPr>
          <w:noProof/>
        </w:rPr>
        <w:t xml:space="preserve">, beyond the initial education and training, are critical to cope with the changing nature of and fluctuating demand for work. </w:t>
      </w:r>
    </w:p>
    <w:p w:rsidR="00620F75" w:rsidRDefault="001F403D">
      <w:pPr>
        <w:rPr>
          <w:noProof/>
        </w:rPr>
      </w:pPr>
      <w:r>
        <w:rPr>
          <w:noProof/>
        </w:rPr>
        <w:t>Vocational education and training (VET) is the sector of education and training closest to labour market and is the most importa</w:t>
      </w:r>
      <w:r>
        <w:rPr>
          <w:noProof/>
        </w:rPr>
        <w:t>nt sector in providing labour market relevant skills and qualifications to both young people to make the transition to work and to adults throughout their working life to remain employable and adaptable to changing tasks, work environments and career deman</w:t>
      </w:r>
      <w:r>
        <w:rPr>
          <w:noProof/>
        </w:rPr>
        <w:t>ds. With the overall economic and societal trends and challenges, the importance of continuing training for the workforce and the need for up-skilling and reskilling is growing.</w:t>
      </w:r>
    </w:p>
    <w:p w:rsidR="00620F75" w:rsidRDefault="001F403D">
      <w:pPr>
        <w:rPr>
          <w:noProof/>
        </w:rPr>
      </w:pPr>
      <w:r>
        <w:rPr>
          <w:noProof/>
        </w:rPr>
        <w:t>The scale of the challenge is significant. The numbers of young people choosin</w:t>
      </w:r>
      <w:r>
        <w:rPr>
          <w:noProof/>
        </w:rPr>
        <w:t>g VET is decreasing, while the EU is far from attaining its current very modest participation target of 15% of 25-64 year olds engaging in learning in the past four weeks. There is therefore a need to define a new and more ambitious policy agenda for the n</w:t>
      </w:r>
      <w:r>
        <w:rPr>
          <w:noProof/>
        </w:rPr>
        <w:t>ext decade to help the EU remain competitive and socially cohesive, to meet the goals of its industrial, green, innovation and digital strategies, and to achieve the UN Sustainable Development Goals.</w:t>
      </w:r>
    </w:p>
    <w:p w:rsidR="00620F75" w:rsidRDefault="001F403D">
      <w:pPr>
        <w:widowControl w:val="0"/>
        <w:tabs>
          <w:tab w:val="left" w:pos="-2268"/>
        </w:tabs>
        <w:spacing w:after="120"/>
        <w:rPr>
          <w:rFonts w:cs="Times New Roman"/>
          <w:noProof/>
          <w:szCs w:val="24"/>
        </w:rPr>
      </w:pPr>
      <w:r>
        <w:rPr>
          <w:rFonts w:cs="Times New Roman"/>
          <w:noProof/>
          <w:szCs w:val="24"/>
        </w:rPr>
        <w:t xml:space="preserve">In response to the COVID-19 crisis, the Commission has proposed a bold and comprehensive </w:t>
      </w:r>
      <w:r>
        <w:rPr>
          <w:rFonts w:cs="Times New Roman"/>
          <w:b/>
          <w:bCs/>
          <w:noProof/>
          <w:szCs w:val="24"/>
        </w:rPr>
        <w:t>plan to repair and prepare for the next generation</w:t>
      </w:r>
      <w:r>
        <w:rPr>
          <w:rFonts w:cs="Times New Roman"/>
          <w:noProof/>
          <w:szCs w:val="24"/>
        </w:rPr>
        <w:t>. The plan presents a roadmap on how to kick-start the European economy, protect and create jobs, boost the green and</w:t>
      </w:r>
      <w:r>
        <w:rPr>
          <w:rFonts w:cs="Times New Roman"/>
          <w:noProof/>
          <w:szCs w:val="24"/>
        </w:rPr>
        <w:t xml:space="preserve"> digital transitions, and make it fairer, more resilient and more sustainable for </w:t>
      </w:r>
      <w:r>
        <w:rPr>
          <w:rFonts w:cs="Times New Roman"/>
          <w:noProof/>
          <w:szCs w:val="24"/>
        </w:rPr>
        <w:lastRenderedPageBreak/>
        <w:t xml:space="preserve">future generations. It underlines that improving and adapting skills, knowledge and competences has become all the more important. </w:t>
      </w:r>
    </w:p>
    <w:p w:rsidR="00620F75" w:rsidRDefault="001F403D">
      <w:pPr>
        <w:widowControl w:val="0"/>
        <w:tabs>
          <w:tab w:val="left" w:pos="-2268"/>
        </w:tabs>
        <w:spacing w:after="120"/>
        <w:rPr>
          <w:rFonts w:cs="Times New Roman"/>
          <w:noProof/>
          <w:szCs w:val="24"/>
        </w:rPr>
      </w:pPr>
      <w:r>
        <w:rPr>
          <w:rFonts w:cs="Times New Roman"/>
          <w:noProof/>
          <w:szCs w:val="24"/>
        </w:rPr>
        <w:t>The Next Generation EU</w:t>
      </w:r>
      <w:r>
        <w:rPr>
          <w:rFonts w:cs="Times New Roman"/>
          <w:noProof/>
          <w:szCs w:val="24"/>
          <w:vertAlign w:val="superscript"/>
        </w:rPr>
        <w:footnoteReference w:id="10"/>
      </w:r>
      <w:r>
        <w:rPr>
          <w:rFonts w:cs="Times New Roman"/>
          <w:noProof/>
          <w:szCs w:val="24"/>
        </w:rPr>
        <w:t xml:space="preserve"> will raise new fin</w:t>
      </w:r>
      <w:r>
        <w:rPr>
          <w:rFonts w:cs="Times New Roman"/>
          <w:noProof/>
          <w:szCs w:val="24"/>
        </w:rPr>
        <w:t xml:space="preserve">anciing on the financial markets for 2021-2024 for the the newly proposed </w:t>
      </w:r>
      <w:r>
        <w:rPr>
          <w:rFonts w:cs="Times New Roman"/>
          <w:b/>
          <w:bCs/>
          <w:noProof/>
          <w:szCs w:val="24"/>
        </w:rPr>
        <w:t>Recovery and Resilience Facility</w:t>
      </w:r>
      <w:r>
        <w:rPr>
          <w:rFonts w:cs="Times New Roman"/>
          <w:noProof/>
          <w:szCs w:val="24"/>
          <w:vertAlign w:val="superscript"/>
        </w:rPr>
        <w:footnoteReference w:id="11"/>
      </w:r>
      <w:r>
        <w:rPr>
          <w:rFonts w:cs="Times New Roman"/>
          <w:noProof/>
          <w:szCs w:val="24"/>
        </w:rPr>
        <w:t xml:space="preserve"> and </w:t>
      </w:r>
      <w:r>
        <w:rPr>
          <w:rFonts w:cs="Times New Roman"/>
          <w:b/>
          <w:bCs/>
          <w:noProof/>
          <w:szCs w:val="24"/>
        </w:rPr>
        <w:t>REACT-EU</w:t>
      </w:r>
      <w:r>
        <w:rPr>
          <w:rFonts w:cs="Times New Roman"/>
          <w:noProof/>
          <w:szCs w:val="24"/>
          <w:vertAlign w:val="superscript"/>
        </w:rPr>
        <w:footnoteReference w:id="12"/>
      </w:r>
      <w:r>
        <w:rPr>
          <w:rFonts w:cs="Times New Roman"/>
          <w:b/>
          <w:bCs/>
          <w:noProof/>
          <w:szCs w:val="24"/>
        </w:rPr>
        <w:t xml:space="preserve">. </w:t>
      </w:r>
      <w:r>
        <w:rPr>
          <w:rFonts w:cs="Times New Roman"/>
          <w:noProof/>
          <w:szCs w:val="24"/>
        </w:rPr>
        <w:t xml:space="preserve">Both programme will include investments in </w:t>
      </w:r>
      <w:r>
        <w:rPr>
          <w:rFonts w:cs="Times New Roman"/>
          <w:b/>
          <w:bCs/>
          <w:noProof/>
          <w:szCs w:val="24"/>
        </w:rPr>
        <w:t>skills, education and training</w:t>
      </w:r>
      <w:r>
        <w:rPr>
          <w:rFonts w:cs="Times New Roman"/>
          <w:noProof/>
          <w:szCs w:val="24"/>
        </w:rPr>
        <w:t xml:space="preserve"> to lay the basis for a green, digital and resilient recover</w:t>
      </w:r>
      <w:r>
        <w:rPr>
          <w:rFonts w:cs="Times New Roman"/>
          <w:noProof/>
          <w:szCs w:val="24"/>
        </w:rPr>
        <w:t xml:space="preserve">y. The Commission has also adjusted its proposals for the future European Social Fund Plus to give even stronger support to for </w:t>
      </w:r>
      <w:r>
        <w:rPr>
          <w:rFonts w:cs="Times New Roman"/>
          <w:b/>
          <w:bCs/>
          <w:noProof/>
          <w:szCs w:val="24"/>
        </w:rPr>
        <w:t>youth employment measures and education and skills</w:t>
      </w:r>
      <w:r>
        <w:rPr>
          <w:rFonts w:cs="Times New Roman"/>
          <w:noProof/>
          <w:szCs w:val="24"/>
        </w:rPr>
        <w:t>.</w:t>
      </w:r>
    </w:p>
    <w:p w:rsidR="00620F75" w:rsidRDefault="001F403D">
      <w:pPr>
        <w:widowControl w:val="0"/>
        <w:tabs>
          <w:tab w:val="left" w:pos="-2268"/>
        </w:tabs>
        <w:spacing w:after="120"/>
        <w:rPr>
          <w:rFonts w:cs="Times New Roman"/>
          <w:noProof/>
          <w:szCs w:val="24"/>
        </w:rPr>
      </w:pPr>
      <w:r>
        <w:rPr>
          <w:rFonts w:cs="Times New Roman"/>
          <w:noProof/>
          <w:szCs w:val="24"/>
        </w:rPr>
        <w:t>As part of the Recovery Strategy, the Commission has also proposed to provid</w:t>
      </w:r>
      <w:r>
        <w:rPr>
          <w:rFonts w:cs="Times New Roman"/>
          <w:noProof/>
          <w:szCs w:val="24"/>
        </w:rPr>
        <w:t xml:space="preserve">e substantial additional funding of EUR 30 billion for the </w:t>
      </w:r>
      <w:r>
        <w:rPr>
          <w:rFonts w:cs="Times New Roman"/>
          <w:b/>
          <w:bCs/>
          <w:noProof/>
          <w:szCs w:val="24"/>
        </w:rPr>
        <w:t>Just Transition Fund</w:t>
      </w:r>
      <w:r>
        <w:rPr>
          <w:rFonts w:cs="Times New Roman"/>
          <w:noProof/>
          <w:szCs w:val="24"/>
        </w:rPr>
        <w:t>, bringing the total to EUR 40 billion. This funding will be used to alleviate the socio-economic impacts of the transition towards climate neutrality in the regions most affect</w:t>
      </w:r>
      <w:r>
        <w:rPr>
          <w:rFonts w:cs="Times New Roman"/>
          <w:noProof/>
          <w:szCs w:val="24"/>
        </w:rPr>
        <w:t>ed, for example, by supporting the re-skilling of workers.</w:t>
      </w:r>
      <w:r>
        <w:rPr>
          <w:rFonts w:cs="Times New Roman"/>
          <w:noProof/>
          <w:szCs w:val="24"/>
          <w:vertAlign w:val="superscript"/>
        </w:rPr>
        <w:footnoteReference w:id="13"/>
      </w:r>
    </w:p>
    <w:p w:rsidR="00620F75" w:rsidRDefault="001F403D">
      <w:pPr>
        <w:widowControl w:val="0"/>
        <w:tabs>
          <w:tab w:val="left" w:pos="-2268"/>
        </w:tabs>
        <w:spacing w:after="120"/>
        <w:rPr>
          <w:rFonts w:cs="Times New Roman"/>
          <w:noProof/>
          <w:szCs w:val="24"/>
        </w:rPr>
      </w:pPr>
      <w:r>
        <w:rPr>
          <w:rFonts w:cs="Times New Roman"/>
          <w:noProof/>
          <w:szCs w:val="24"/>
        </w:rPr>
        <w:t>This links in with the</w:t>
      </w:r>
      <w:r>
        <w:rPr>
          <w:rFonts w:cs="Times New Roman"/>
          <w:b/>
          <w:bCs/>
          <w:noProof/>
          <w:szCs w:val="24"/>
        </w:rPr>
        <w:t xml:space="preserve"> European Green Deal</w:t>
      </w:r>
      <w:r>
        <w:rPr>
          <w:rFonts w:cs="Times New Roman"/>
          <w:noProof/>
          <w:szCs w:val="24"/>
        </w:rPr>
        <w:t>, which is the EU’s new growth strategy that aims to transform the EU into a fair and prosperous society, with a modern, resource-efficient and competitiv</w:t>
      </w:r>
      <w:r>
        <w:rPr>
          <w:rFonts w:cs="Times New Roman"/>
          <w:noProof/>
          <w:szCs w:val="24"/>
        </w:rPr>
        <w:t xml:space="preserve">e economy where there are no net emissions of greenhouse gases in 2050 and where economic growth is decoupled from resource use. Investing in a </w:t>
      </w:r>
      <w:r>
        <w:rPr>
          <w:rFonts w:cs="Times New Roman"/>
          <w:b/>
          <w:bCs/>
          <w:noProof/>
          <w:szCs w:val="24"/>
        </w:rPr>
        <w:t xml:space="preserve">more circular economy </w:t>
      </w:r>
      <w:r>
        <w:rPr>
          <w:rFonts w:cs="Times New Roman"/>
          <w:noProof/>
          <w:szCs w:val="24"/>
        </w:rPr>
        <w:t>has the potential to create at least 700,000 new jobs by 2030 and help the EU to reduce it</w:t>
      </w:r>
      <w:r>
        <w:rPr>
          <w:rFonts w:cs="Times New Roman"/>
          <w:noProof/>
          <w:szCs w:val="24"/>
        </w:rPr>
        <w:t xml:space="preserve">s dependency on external suppliers and increase its resilience to global supply issues. The upcoming </w:t>
      </w:r>
      <w:r>
        <w:rPr>
          <w:rFonts w:cs="Times New Roman"/>
          <w:b/>
          <w:bCs/>
          <w:noProof/>
          <w:szCs w:val="24"/>
        </w:rPr>
        <w:t xml:space="preserve">Renovation Wave </w:t>
      </w:r>
      <w:r>
        <w:rPr>
          <w:rFonts w:cs="Times New Roman"/>
          <w:noProof/>
          <w:szCs w:val="24"/>
        </w:rPr>
        <w:t>will focus on creating jobs in construction, renovation and other labour-intensive industries.</w:t>
      </w:r>
      <w:r>
        <w:rPr>
          <w:rFonts w:cs="Times New Roman"/>
          <w:noProof/>
          <w:szCs w:val="24"/>
          <w:vertAlign w:val="superscript"/>
        </w:rPr>
        <w:footnoteReference w:id="14"/>
      </w:r>
      <w:r>
        <w:rPr>
          <w:rFonts w:cs="Times New Roman"/>
          <w:noProof/>
          <w:szCs w:val="24"/>
        </w:rPr>
        <w:t xml:space="preserve"> The transitions in these areas lead to an i</w:t>
      </w:r>
      <w:r>
        <w:rPr>
          <w:rFonts w:cs="Times New Roman"/>
          <w:noProof/>
          <w:szCs w:val="24"/>
        </w:rPr>
        <w:t xml:space="preserve">ncreased need in re- and upskilling. VET programmes can play a key role in delivering on these skills. </w:t>
      </w:r>
    </w:p>
    <w:p w:rsidR="00620F75" w:rsidRDefault="001F403D">
      <w:pPr>
        <w:widowControl w:val="0"/>
        <w:tabs>
          <w:tab w:val="left" w:pos="-2268"/>
        </w:tabs>
        <w:spacing w:after="120"/>
        <w:rPr>
          <w:rFonts w:cs="Times New Roman"/>
          <w:noProof/>
          <w:szCs w:val="24"/>
        </w:rPr>
      </w:pPr>
      <w:r>
        <w:rPr>
          <w:rFonts w:cs="Times New Roman"/>
          <w:noProof/>
          <w:szCs w:val="24"/>
        </w:rPr>
        <w:t xml:space="preserve">The Commission also adopted </w:t>
      </w:r>
      <w:r>
        <w:rPr>
          <w:rFonts w:cs="Times New Roman"/>
          <w:b/>
          <w:bCs/>
          <w:noProof/>
          <w:szCs w:val="24"/>
        </w:rPr>
        <w:t>a New Industrial Strategy for Europe</w:t>
      </w:r>
      <w:r>
        <w:rPr>
          <w:rFonts w:cs="Times New Roman"/>
          <w:b/>
          <w:bCs/>
          <w:noProof/>
          <w:szCs w:val="24"/>
          <w:vertAlign w:val="superscript"/>
        </w:rPr>
        <w:footnoteReference w:id="15"/>
      </w:r>
      <w:r>
        <w:rPr>
          <w:rFonts w:cs="Times New Roman"/>
          <w:b/>
          <w:bCs/>
          <w:noProof/>
          <w:szCs w:val="24"/>
        </w:rPr>
        <w:t xml:space="preserve"> </w:t>
      </w:r>
      <w:r>
        <w:rPr>
          <w:rFonts w:cs="Times New Roman"/>
          <w:noProof/>
          <w:szCs w:val="24"/>
        </w:rPr>
        <w:t>to address the twin challenge of the green and the digital transitions. It calls for decisive action to make lifelong learning a reality for all and ensure that education and training keep pace with the twin transitions. It also calls on higher education a</w:t>
      </w:r>
      <w:r>
        <w:rPr>
          <w:rFonts w:cs="Times New Roman"/>
          <w:noProof/>
          <w:szCs w:val="24"/>
        </w:rPr>
        <w:t xml:space="preserve">nd VET to provide more scientists, engineers and technicians for the labour market. Equally, the </w:t>
      </w:r>
      <w:r>
        <w:rPr>
          <w:rFonts w:cs="Times New Roman"/>
          <w:b/>
          <w:bCs/>
          <w:noProof/>
          <w:szCs w:val="24"/>
        </w:rPr>
        <w:t xml:space="preserve">SME Strategy for a sustainable and digital Europe </w:t>
      </w:r>
      <w:r>
        <w:rPr>
          <w:rFonts w:cs="Times New Roman"/>
          <w:noProof/>
          <w:szCs w:val="24"/>
        </w:rPr>
        <w:t xml:space="preserve">highlights how an increasing number of SMEs is confronted with the challenge of finding the necessary skills </w:t>
      </w:r>
      <w:r>
        <w:rPr>
          <w:rFonts w:cs="Times New Roman"/>
          <w:noProof/>
          <w:szCs w:val="24"/>
        </w:rPr>
        <w:t>and the fact that availability of skilled staff or experienced managers remains the most important problem for a quarter of SMEs in the European Union</w:t>
      </w:r>
      <w:r>
        <w:rPr>
          <w:rFonts w:cs="Times New Roman"/>
          <w:noProof/>
          <w:szCs w:val="24"/>
          <w:vertAlign w:val="superscript"/>
          <w:lang w:bidi="en-US"/>
        </w:rPr>
        <w:footnoteReference w:id="16"/>
      </w:r>
      <w:r>
        <w:rPr>
          <w:rFonts w:cs="Times New Roman"/>
          <w:noProof/>
          <w:szCs w:val="24"/>
        </w:rPr>
        <w:t>. VET is particularly relevant for SMEs to make sure that their workforce has the skills needed on the la</w:t>
      </w:r>
      <w:r>
        <w:rPr>
          <w:rFonts w:cs="Times New Roman"/>
          <w:noProof/>
          <w:szCs w:val="24"/>
        </w:rPr>
        <w:t xml:space="preserve">bour market. </w:t>
      </w:r>
    </w:p>
    <w:p w:rsidR="00620F75" w:rsidRDefault="001F403D">
      <w:pPr>
        <w:widowControl w:val="0"/>
        <w:tabs>
          <w:tab w:val="left" w:pos="-2268"/>
        </w:tabs>
        <w:spacing w:after="120"/>
        <w:rPr>
          <w:rFonts w:cs="Times New Roman"/>
          <w:noProof/>
          <w:szCs w:val="24"/>
        </w:rPr>
      </w:pPr>
      <w:r>
        <w:rPr>
          <w:rFonts w:cs="Times New Roman"/>
          <w:noProof/>
          <w:szCs w:val="24"/>
        </w:rPr>
        <w:t xml:space="preserve">The opportunities and challenges of the ongoing digital transformation and Europe’s policy response have been outlined in the strategy </w:t>
      </w:r>
      <w:r>
        <w:rPr>
          <w:rFonts w:cs="Times New Roman"/>
          <w:b/>
          <w:noProof/>
          <w:szCs w:val="24"/>
        </w:rPr>
        <w:t>Shaping Europe’s Digital Future</w:t>
      </w:r>
      <w:r>
        <w:rPr>
          <w:rFonts w:cs="Times New Roman"/>
          <w:noProof/>
          <w:szCs w:val="24"/>
        </w:rPr>
        <w:t xml:space="preserve">, which highlights the need to invest in education and training and digital </w:t>
      </w:r>
      <w:r>
        <w:rPr>
          <w:rFonts w:cs="Times New Roman"/>
          <w:noProof/>
          <w:szCs w:val="24"/>
        </w:rPr>
        <w:t xml:space="preserve">skills of all Europeans. </w:t>
      </w:r>
    </w:p>
    <w:p w:rsidR="00620F75" w:rsidRDefault="001F403D">
      <w:pPr>
        <w:rPr>
          <w:noProof/>
        </w:rPr>
      </w:pPr>
      <w:r>
        <w:rPr>
          <w:noProof/>
        </w:rPr>
        <w:lastRenderedPageBreak/>
        <w:t xml:space="preserve">The </w:t>
      </w:r>
      <w:r>
        <w:rPr>
          <w:b/>
          <w:noProof/>
        </w:rPr>
        <w:t>Commission Communication on ‘A Strong Social Europe for Just Transition’</w:t>
      </w:r>
      <w:r>
        <w:rPr>
          <w:rStyle w:val="FootnoteReference"/>
          <w:rFonts w:cstheme="minorHAnsi"/>
          <w:noProof/>
          <w:szCs w:val="24"/>
        </w:rPr>
        <w:footnoteReference w:id="17"/>
      </w:r>
      <w:r>
        <w:rPr>
          <w:noProof/>
        </w:rPr>
        <w:t xml:space="preserve"> sets out the road towards an Action Plan to implement the European Pillar of Social Rights. It presents EU level initiatives that support the implementa</w:t>
      </w:r>
      <w:r>
        <w:rPr>
          <w:noProof/>
        </w:rPr>
        <w:t>tion of the Pillar and launches a broad discussion with all EU countries, and regions, and with all our partners. To place skills, employability and human capital centre stage, the Commission is coming with the reinforced Skills Agenda. The Communication a</w:t>
      </w:r>
      <w:r>
        <w:rPr>
          <w:noProof/>
        </w:rPr>
        <w:t>lso sets out that The  Commission will also further develop the objectives of the European Education Area - to make it easier for learners to move across borders in Europe and will improve access to quality and inclusive education and training for all- and</w:t>
      </w:r>
      <w:r>
        <w:rPr>
          <w:noProof/>
        </w:rPr>
        <w:t xml:space="preserve"> establish a new education and training cooperation framework with the Member States covering all education and training sectors.</w:t>
      </w:r>
    </w:p>
    <w:p w:rsidR="00620F75" w:rsidRDefault="001F403D">
      <w:pPr>
        <w:pStyle w:val="Heading2"/>
        <w:rPr>
          <w:noProof/>
          <w:sz w:val="24"/>
          <w:lang w:val="en-US"/>
        </w:rPr>
      </w:pPr>
      <w:bookmarkStart w:id="14" w:name="_Toc34041690"/>
      <w:bookmarkStart w:id="15" w:name="_Toc34039136"/>
      <w:bookmarkStart w:id="16" w:name="_Toc34040437"/>
      <w:bookmarkStart w:id="17" w:name="_Toc34041691"/>
      <w:bookmarkStart w:id="18" w:name="_Toc34042196"/>
      <w:bookmarkStart w:id="19" w:name="_Toc32997298"/>
      <w:bookmarkStart w:id="20" w:name="_Toc43376094"/>
      <w:bookmarkEnd w:id="14"/>
      <w:r>
        <w:rPr>
          <w:noProof/>
          <w:lang w:val="en-US"/>
        </w:rPr>
        <w:t>VET policy in Europe</w:t>
      </w:r>
      <w:bookmarkEnd w:id="15"/>
      <w:bookmarkEnd w:id="16"/>
      <w:bookmarkEnd w:id="17"/>
      <w:bookmarkEnd w:id="18"/>
      <w:bookmarkEnd w:id="19"/>
      <w:bookmarkEnd w:id="20"/>
    </w:p>
    <w:p w:rsidR="00620F75" w:rsidRDefault="001F403D">
      <w:pPr>
        <w:rPr>
          <w:noProof/>
          <w:lang w:bidi="en-US"/>
        </w:rPr>
      </w:pPr>
      <w:r>
        <w:rPr>
          <w:rFonts w:eastAsia="Times New Roman"/>
          <w:noProof/>
        </w:rPr>
        <w:t>According to the Charter of Fundamental rights of the European Union</w:t>
      </w:r>
      <w:r>
        <w:rPr>
          <w:rStyle w:val="FootnoteReference"/>
          <w:rFonts w:cstheme="minorHAnsi"/>
          <w:noProof/>
          <w:szCs w:val="24"/>
        </w:rPr>
        <w:footnoteReference w:id="18"/>
      </w:r>
      <w:r>
        <w:rPr>
          <w:rFonts w:eastAsia="Times New Roman"/>
          <w:noProof/>
        </w:rPr>
        <w:t xml:space="preserve">, </w:t>
      </w:r>
      <w:r>
        <w:rPr>
          <w:noProof/>
        </w:rPr>
        <w:t>Article 14, everyone has the right</w:t>
      </w:r>
      <w:r>
        <w:rPr>
          <w:noProof/>
        </w:rPr>
        <w:t xml:space="preserve"> to education and to have access to vocational and continuing training. The </w:t>
      </w:r>
      <w:r>
        <w:rPr>
          <w:noProof/>
          <w:lang w:bidi="en-US"/>
        </w:rPr>
        <w:t>Treaty on the Functioning of the European Union (TFEU)</w:t>
      </w:r>
      <w:r>
        <w:rPr>
          <w:rStyle w:val="FootnoteReference"/>
          <w:rFonts w:cstheme="minorHAnsi"/>
          <w:noProof/>
          <w:szCs w:val="24"/>
        </w:rPr>
        <w:footnoteReference w:id="19"/>
      </w:r>
      <w:r>
        <w:rPr>
          <w:noProof/>
          <w:lang w:bidi="en-US"/>
        </w:rPr>
        <w:t xml:space="preserve">, </w:t>
      </w:r>
      <w:r>
        <w:rPr>
          <w:noProof/>
        </w:rPr>
        <w:t xml:space="preserve">Article 156, specify that the Commission shall encourage cooperation between Member States and facilitate the coordination </w:t>
      </w:r>
      <w:r>
        <w:rPr>
          <w:noProof/>
        </w:rPr>
        <w:t xml:space="preserve">of their action in all social policy fields including employment and basic and advanced vocational training, while fully respecting the responsibility of the Member States for the content and organisation of vocational training. Article 165 states clearly </w:t>
      </w:r>
      <w:r>
        <w:rPr>
          <w:noProof/>
        </w:rPr>
        <w:t xml:space="preserve">the responsibility of Member States for the content of teaching and the organisation of education systems, but also that the EU shall contribute to the development of quality education by encouraging cooperation between Member States and, if necessary, by </w:t>
      </w:r>
      <w:r>
        <w:rPr>
          <w:noProof/>
        </w:rPr>
        <w:t>supporting and supplementing their action</w:t>
      </w:r>
      <w:r>
        <w:rPr>
          <w:i/>
          <w:noProof/>
        </w:rPr>
        <w:t xml:space="preserve">. </w:t>
      </w:r>
      <w:r>
        <w:rPr>
          <w:noProof/>
          <w:lang w:bidi="en-US"/>
        </w:rPr>
        <w:t>Article 166 of the TFEU calls on the Union to implement a vocational training policy which should support and supplement the action of the Member States, while fully respecting the responsibility of the Member Sta</w:t>
      </w:r>
      <w:r>
        <w:rPr>
          <w:noProof/>
          <w:lang w:bidi="en-US"/>
        </w:rPr>
        <w:t>tes for the content and organisation of vocational training. The Union actions should facilitate adaptation to industrial changes and improve initial and continuing vocational training in order to facilitate vocational integration and reintegration into th</w:t>
      </w:r>
      <w:r>
        <w:rPr>
          <w:noProof/>
          <w:lang w:bidi="en-US"/>
        </w:rPr>
        <w:t>e labour market. Strong vocational policies are also essential in order to achieve the goal of promoting a skilled, trained and adaptable workforce and labour markets responsive to economic change, set in Article 145 TFEU.</w:t>
      </w:r>
    </w:p>
    <w:p w:rsidR="00620F75" w:rsidRDefault="001F403D">
      <w:pPr>
        <w:rPr>
          <w:noProof/>
        </w:rPr>
      </w:pPr>
      <w:r>
        <w:rPr>
          <w:noProof/>
          <w:lang w:val="en-US"/>
        </w:rPr>
        <w:t xml:space="preserve">The Copenhagen Declaration, </w:t>
      </w:r>
      <w:r>
        <w:rPr>
          <w:noProof/>
          <w:lang w:bidi="en-US"/>
        </w:rPr>
        <w:t>adopt</w:t>
      </w:r>
      <w:r>
        <w:rPr>
          <w:noProof/>
          <w:lang w:bidi="en-US"/>
        </w:rPr>
        <w:t>ed as a Council Resolution</w:t>
      </w:r>
      <w:r>
        <w:rPr>
          <w:rStyle w:val="FootnoteReference"/>
          <w:rFonts w:cstheme="minorHAnsi"/>
          <w:noProof/>
          <w:szCs w:val="24"/>
        </w:rPr>
        <w:footnoteReference w:id="20"/>
      </w:r>
      <w:r>
        <w:rPr>
          <w:noProof/>
          <w:lang w:val="en-US"/>
        </w:rPr>
        <w:t xml:space="preserve"> in 2002 launched the European strategy for enhanced cooperation in vocational education and training (VET) </w:t>
      </w:r>
      <w:r>
        <w:rPr>
          <w:noProof/>
        </w:rPr>
        <w:t xml:space="preserve">to improve cooperation, promote mobility and increase the transparency and recognition of competences and qualifications </w:t>
      </w:r>
      <w:r>
        <w:rPr>
          <w:noProof/>
        </w:rPr>
        <w:t>(‘Copenhagen process’) as voluntary process of an open method of coordination. The process has been steered by the tripartite Advisory Committee on Vocational Training (ACVT) established in 1963 and Director-Generals for VET.</w:t>
      </w:r>
    </w:p>
    <w:p w:rsidR="00620F75" w:rsidRDefault="001F403D">
      <w:pPr>
        <w:rPr>
          <w:noProof/>
        </w:rPr>
      </w:pPr>
      <w:r>
        <w:rPr>
          <w:noProof/>
        </w:rPr>
        <w:t>Furthermore, VET policy framew</w:t>
      </w:r>
      <w:r>
        <w:rPr>
          <w:noProof/>
        </w:rPr>
        <w:t xml:space="preserve">ork at EU level is supported by different expert and stakeholders bodies such as the Expert group of EU providers association of vocational education and training, European Alliance for Apprenticeships, groups related to the </w:t>
      </w:r>
      <w:r>
        <w:rPr>
          <w:noProof/>
        </w:rPr>
        <w:lastRenderedPageBreak/>
        <w:t>implementation of the ECVET and</w:t>
      </w:r>
      <w:r>
        <w:rPr>
          <w:noProof/>
        </w:rPr>
        <w:t xml:space="preserve"> EQAVET Recommendations, the ET 2020 Working Group on VET and adult learning.</w:t>
      </w:r>
    </w:p>
    <w:p w:rsidR="00620F75" w:rsidRDefault="001F403D">
      <w:pPr>
        <w:rPr>
          <w:strike/>
          <w:noProof/>
        </w:rPr>
      </w:pPr>
      <w:r>
        <w:rPr>
          <w:noProof/>
        </w:rPr>
        <w:t>The Europass Decision</w:t>
      </w:r>
      <w:r>
        <w:rPr>
          <w:rStyle w:val="FootnoteReference"/>
          <w:rFonts w:cstheme="minorHAnsi"/>
          <w:noProof/>
          <w:szCs w:val="24"/>
        </w:rPr>
        <w:footnoteReference w:id="21"/>
      </w:r>
      <w:r>
        <w:rPr>
          <w:b/>
          <w:noProof/>
        </w:rPr>
        <w:t xml:space="preserve"> </w:t>
      </w:r>
      <w:r>
        <w:rPr>
          <w:noProof/>
        </w:rPr>
        <w:t>was adopted in 2004, seeking to support the transparency of skills and qualifications by providing instruments to individuals, namely a portfolio of 5 stan</w:t>
      </w:r>
      <w:r>
        <w:rPr>
          <w:noProof/>
        </w:rPr>
        <w:t>dardised Europass document templates which facilitated the communication and understanding of skills and qualifications in a consistent way. The European Qualifications Framework for lifelong learning (EQF)</w:t>
      </w:r>
      <w:r>
        <w:rPr>
          <w:rStyle w:val="FootnoteReference"/>
          <w:rFonts w:cstheme="minorHAnsi"/>
          <w:noProof/>
          <w:szCs w:val="24"/>
        </w:rPr>
        <w:footnoteReference w:id="22"/>
      </w:r>
      <w:r>
        <w:rPr>
          <w:noProof/>
        </w:rPr>
        <w:t xml:space="preserve"> was established in 2008 through a European Parli</w:t>
      </w:r>
      <w:r>
        <w:rPr>
          <w:noProof/>
        </w:rPr>
        <w:t>ament and Council Recommendation with the aim to improve the transparency, comparability and portability of people’s qualifications in Europe. The Recommendation created a common reference framework of eight European generic levels of learning where each l</w:t>
      </w:r>
      <w:r>
        <w:rPr>
          <w:noProof/>
        </w:rPr>
        <w:t>evel was defined in terms of knowledge, skills and competence.</w:t>
      </w:r>
      <w:r>
        <w:rPr>
          <w:strike/>
          <w:noProof/>
        </w:rPr>
        <w:t xml:space="preserve"> </w:t>
      </w:r>
    </w:p>
    <w:p w:rsidR="00620F75" w:rsidRDefault="001F403D">
      <w:pPr>
        <w:rPr>
          <w:noProof/>
          <w:color w:val="9BBB59" w:themeColor="accent3"/>
        </w:rPr>
      </w:pPr>
      <w:r>
        <w:rPr>
          <w:noProof/>
        </w:rPr>
        <w:t xml:space="preserve">With intensive cooperation with Member States and social partners, two specific VET instruments were developed and established in 2009 through Recommendations of the Council and the European </w:t>
      </w:r>
      <w:r>
        <w:rPr>
          <w:noProof/>
        </w:rPr>
        <w:t>Parliament. The</w:t>
      </w:r>
      <w:r>
        <w:rPr>
          <w:rFonts w:eastAsia="Calibri"/>
          <w:b/>
          <w:noProof/>
        </w:rPr>
        <w:t xml:space="preserve"> </w:t>
      </w:r>
      <w:r>
        <w:rPr>
          <w:rFonts w:eastAsia="Calibri"/>
          <w:noProof/>
        </w:rPr>
        <w:t>European Quality Assurance Reference Framework for Vocational Education and Training</w:t>
      </w:r>
      <w:r>
        <w:rPr>
          <w:noProof/>
        </w:rPr>
        <w:t xml:space="preserve"> (EQAVET</w:t>
      </w:r>
      <w:r>
        <w:rPr>
          <w:rStyle w:val="FootnoteReference"/>
          <w:rFonts w:cstheme="minorHAnsi"/>
          <w:noProof/>
          <w:szCs w:val="24"/>
        </w:rPr>
        <w:footnoteReference w:id="23"/>
      </w:r>
      <w:r>
        <w:rPr>
          <w:noProof/>
        </w:rPr>
        <w:t>) set a reference framework to support Member States in improving the quality of their VET systems and to contribute to increased transparency of V</w:t>
      </w:r>
      <w:r>
        <w:rPr>
          <w:noProof/>
        </w:rPr>
        <w:t xml:space="preserve">ET policy developments between Member States, thereby promoting mutual trust, mobility of workers and learners, and lifelong learning. The purpose of the </w:t>
      </w:r>
      <w:r>
        <w:rPr>
          <w:rFonts w:eastAsia="Calibri"/>
          <w:noProof/>
        </w:rPr>
        <w:t>European Credit System for Vocational Education and Training (ECVET</w:t>
      </w:r>
      <w:r>
        <w:rPr>
          <w:bCs/>
          <w:noProof/>
          <w:vertAlign w:val="superscript"/>
        </w:rPr>
        <w:footnoteReference w:id="24"/>
      </w:r>
      <w:r>
        <w:rPr>
          <w:rFonts w:eastAsia="Calibri"/>
          <w:noProof/>
        </w:rPr>
        <w:t xml:space="preserve">) </w:t>
      </w:r>
      <w:r>
        <w:rPr>
          <w:noProof/>
        </w:rPr>
        <w:t>was to make VET learning pathway</w:t>
      </w:r>
      <w:r>
        <w:rPr>
          <w:noProof/>
        </w:rPr>
        <w:t xml:space="preserve">s more flexible, allowing learners to obtain qualifications by accumulating credit (assessed units of learning outcomes) earned in different locations, settings and timeframes. </w:t>
      </w:r>
    </w:p>
    <w:p w:rsidR="00620F75" w:rsidRDefault="001F403D">
      <w:pPr>
        <w:rPr>
          <w:noProof/>
        </w:rPr>
      </w:pPr>
      <w:r>
        <w:rPr>
          <w:noProof/>
        </w:rPr>
        <w:t>After the financial crisis and against the backdrop of high youth unemployment</w:t>
      </w:r>
      <w:r>
        <w:rPr>
          <w:noProof/>
        </w:rPr>
        <w:t xml:space="preserve"> rates, the</w:t>
      </w:r>
      <w:r>
        <w:rPr>
          <w:rFonts w:cstheme="minorHAnsi"/>
          <w:noProof/>
          <w:szCs w:val="24"/>
        </w:rPr>
        <w:t xml:space="preserve"> conclusions of the November 2010 Council underlined the important contribution VET systems can potentially make to the Europe 2020 strategy</w:t>
      </w:r>
      <w:r>
        <w:rPr>
          <w:rStyle w:val="FootnoteReference"/>
          <w:rFonts w:cstheme="minorHAnsi"/>
          <w:noProof/>
          <w:szCs w:val="24"/>
        </w:rPr>
        <w:footnoteReference w:id="25"/>
      </w:r>
      <w:r>
        <w:rPr>
          <w:rFonts w:cstheme="minorHAnsi"/>
          <w:noProof/>
          <w:szCs w:val="24"/>
        </w:rPr>
        <w:t>. The</w:t>
      </w:r>
      <w:r>
        <w:rPr>
          <w:noProof/>
        </w:rPr>
        <w:t xml:space="preserve"> Bruges Communiqué</w:t>
      </w:r>
      <w:r>
        <w:rPr>
          <w:rStyle w:val="FootnoteReference"/>
          <w:rFonts w:cstheme="minorHAnsi"/>
          <w:noProof/>
          <w:szCs w:val="24"/>
        </w:rPr>
        <w:footnoteReference w:id="26"/>
      </w:r>
      <w:r>
        <w:rPr>
          <w:noProof/>
        </w:rPr>
        <w:t xml:space="preserve"> in 2010 recognised the urgency to invest in high quality vocational training an</w:t>
      </w:r>
      <w:r>
        <w:rPr>
          <w:noProof/>
        </w:rPr>
        <w:t>d promoted a set of actions to increase the quality of VET in the following decade. The Council Recommendation of 20</w:t>
      </w:r>
      <w:r>
        <w:rPr>
          <w:rFonts w:ascii="Calibri" w:hAnsi="Calibri" w:cs="Calibri"/>
          <w:noProof/>
        </w:rPr>
        <w:t> </w:t>
      </w:r>
      <w:r>
        <w:rPr>
          <w:noProof/>
        </w:rPr>
        <w:t>December</w:t>
      </w:r>
      <w:r>
        <w:rPr>
          <w:rFonts w:ascii="Calibri" w:hAnsi="Calibri" w:cs="Calibri"/>
          <w:noProof/>
        </w:rPr>
        <w:t> </w:t>
      </w:r>
      <w:r>
        <w:rPr>
          <w:noProof/>
        </w:rPr>
        <w:t>2012 on the validation of non-formal and informal learning</w:t>
      </w:r>
      <w:r>
        <w:rPr>
          <w:rStyle w:val="FootnoteReference"/>
          <w:rFonts w:eastAsia="Arial Unicode MS" w:cstheme="minorHAnsi"/>
          <w:noProof/>
          <w:szCs w:val="24"/>
        </w:rPr>
        <w:footnoteReference w:id="27"/>
      </w:r>
      <w:r>
        <w:rPr>
          <w:noProof/>
        </w:rPr>
        <w:t xml:space="preserve"> invited Member States to put in place arrangements for validating non-</w:t>
      </w:r>
      <w:r>
        <w:rPr>
          <w:noProof/>
        </w:rPr>
        <w:t>formal and informal learning linked to national qualifications frameworks and enable individuals to obtain full or partial qualifications on the basis of validated learning outcomes acquired outside formal education and training systems. The Riga Conclusio</w:t>
      </w:r>
      <w:r>
        <w:rPr>
          <w:noProof/>
        </w:rPr>
        <w:t>ns</w:t>
      </w:r>
      <w:r>
        <w:rPr>
          <w:rStyle w:val="FootnoteReference"/>
          <w:rFonts w:cstheme="minorHAnsi"/>
          <w:noProof/>
          <w:szCs w:val="24"/>
        </w:rPr>
        <w:footnoteReference w:id="28"/>
      </w:r>
      <w:r>
        <w:rPr>
          <w:noProof/>
        </w:rPr>
        <w:t xml:space="preserve"> in 2015 identified five medium-term priority areas in which vocational training could be further improved until 2020. The focus was placed on promoting work-based learning, quality assurance, enhanced access to VET, the strengthening of key competences</w:t>
      </w:r>
      <w:r>
        <w:rPr>
          <w:noProof/>
        </w:rPr>
        <w:t xml:space="preserve"> and the professional development of VET trainers. </w:t>
      </w:r>
    </w:p>
    <w:p w:rsidR="00620F75" w:rsidRDefault="001F403D">
      <w:pPr>
        <w:rPr>
          <w:noProof/>
        </w:rPr>
      </w:pPr>
      <w:r>
        <w:rPr>
          <w:noProof/>
        </w:rPr>
        <w:lastRenderedPageBreak/>
        <w:t>The 2016 New Skills Agenda for Europe</w:t>
      </w:r>
      <w:r>
        <w:rPr>
          <w:rStyle w:val="FootnoteReference"/>
          <w:rFonts w:cstheme="minorHAnsi"/>
          <w:noProof/>
          <w:szCs w:val="24"/>
        </w:rPr>
        <w:footnoteReference w:id="29"/>
      </w:r>
      <w:r>
        <w:rPr>
          <w:noProof/>
        </w:rPr>
        <w:t xml:space="preserve"> reconfirmed the Riga priorities and identified 10 areas for action. As part of its priorities for action ‘Making VET a first choice’, the Skills Agenda proposed the </w:t>
      </w:r>
      <w:r>
        <w:rPr>
          <w:noProof/>
        </w:rPr>
        <w:t xml:space="preserve">possible revision of the EQAVET and the ECVET in order to increase the attractiveness of VET through quality provision and flexible organisation. Furthermore, it highlighted the need to support opportunities for learners to undertake a work-based learning </w:t>
      </w:r>
      <w:r>
        <w:rPr>
          <w:noProof/>
        </w:rPr>
        <w:t>experience as part of their studies, and a Recommendation on the European framework for quality and effective apprenticeships</w:t>
      </w:r>
      <w:r>
        <w:rPr>
          <w:rStyle w:val="FootnoteReference"/>
          <w:rFonts w:cstheme="minorHAnsi"/>
          <w:noProof/>
          <w:szCs w:val="24"/>
        </w:rPr>
        <w:footnoteReference w:id="30"/>
      </w:r>
      <w:r>
        <w:rPr>
          <w:noProof/>
        </w:rPr>
        <w:t xml:space="preserve"> (EFQEA) which was adopted by the Council in 2018. </w:t>
      </w:r>
    </w:p>
    <w:p w:rsidR="00620F75" w:rsidRDefault="001F403D">
      <w:pPr>
        <w:rPr>
          <w:noProof/>
          <w:lang w:val="en-IE"/>
        </w:rPr>
      </w:pPr>
      <w:r>
        <w:rPr>
          <w:noProof/>
        </w:rPr>
        <w:t>The proposal of the Skills Agenda to gain better information on the labour mar</w:t>
      </w:r>
      <w:r>
        <w:rPr>
          <w:noProof/>
        </w:rPr>
        <w:t>ket outcomes or learning progression of higher education and VET graduates lead to the Council Recommendation on tracking graduates</w:t>
      </w:r>
      <w:r>
        <w:rPr>
          <w:rStyle w:val="FootnoteReference"/>
          <w:rFonts w:cstheme="minorHAnsi"/>
          <w:noProof/>
          <w:szCs w:val="24"/>
        </w:rPr>
        <w:footnoteReference w:id="31"/>
      </w:r>
      <w:r>
        <w:rPr>
          <w:noProof/>
        </w:rPr>
        <w:t xml:space="preserve"> adopted in 2017. The Recommendation calls upon Member States to improve the availability and quality of data about VET and </w:t>
      </w:r>
      <w:r>
        <w:rPr>
          <w:noProof/>
        </w:rPr>
        <w:t xml:space="preserve">higher education graduate outcomes by 2020. </w:t>
      </w:r>
    </w:p>
    <w:p w:rsidR="00620F75" w:rsidRDefault="001F403D">
      <w:pPr>
        <w:rPr>
          <w:noProof/>
        </w:rPr>
      </w:pPr>
      <w:r>
        <w:rPr>
          <w:noProof/>
        </w:rPr>
        <w:t xml:space="preserve">The Skills Agenda </w:t>
      </w:r>
      <w:r>
        <w:rPr>
          <w:rFonts w:eastAsia="+mn-ea"/>
          <w:noProof/>
          <w:kern w:val="24"/>
        </w:rPr>
        <w:t>also proposed the revision of the Europass</w:t>
      </w:r>
      <w:r>
        <w:rPr>
          <w:rFonts w:eastAsia="+mn-ea"/>
          <w:b/>
          <w:noProof/>
          <w:kern w:val="24"/>
        </w:rPr>
        <w:t xml:space="preserve"> </w:t>
      </w:r>
      <w:r>
        <w:rPr>
          <w:rFonts w:eastAsia="+mn-ea"/>
          <w:noProof/>
          <w:kern w:val="24"/>
        </w:rPr>
        <w:t>framework. The</w:t>
      </w:r>
      <w:r>
        <w:rPr>
          <w:rFonts w:eastAsia="+mn-ea"/>
          <w:b/>
          <w:noProof/>
          <w:kern w:val="24"/>
        </w:rPr>
        <w:t xml:space="preserve"> </w:t>
      </w:r>
      <w:r>
        <w:rPr>
          <w:rFonts w:eastAsia="+mn-ea"/>
          <w:noProof/>
          <w:kern w:val="24"/>
        </w:rPr>
        <w:t>new Decision of the European Parliament and the Council on Europass</w:t>
      </w:r>
      <w:r>
        <w:rPr>
          <w:rStyle w:val="FootnoteReference"/>
          <w:rFonts w:eastAsia="+mn-ea" w:cstheme="minorHAnsi"/>
          <w:noProof/>
          <w:kern w:val="24"/>
          <w:szCs w:val="24"/>
        </w:rPr>
        <w:footnoteReference w:id="32"/>
      </w:r>
      <w:r>
        <w:rPr>
          <w:rFonts w:eastAsia="+mn-ea"/>
          <w:noProof/>
          <w:kern w:val="24"/>
        </w:rPr>
        <w:t>, adopted in 2018, establishes a platform that will offer an e-Port</w:t>
      </w:r>
      <w:r>
        <w:rPr>
          <w:rFonts w:eastAsia="+mn-ea"/>
          <w:noProof/>
          <w:kern w:val="24"/>
        </w:rPr>
        <w:t>folio tool for users (e.g. job-seekers, learners) to store information on their skills and qualifications, create CVs and applications. It serves as a web portal with information on qualifications and qualification systems, guidance, validation, recognitio</w:t>
      </w:r>
      <w:r>
        <w:rPr>
          <w:rFonts w:eastAsia="+mn-ea"/>
          <w:noProof/>
          <w:kern w:val="24"/>
        </w:rPr>
        <w:t xml:space="preserve">n and other topics related to skills and qualifications to help Europass users. </w:t>
      </w:r>
      <w:r>
        <w:rPr>
          <w:noProof/>
        </w:rPr>
        <w:t>The new Europass service supports use of authentication services (e.g. digital signatures/certificates) to reflect the increasing use of digital technology to exchange informat</w:t>
      </w:r>
      <w:r>
        <w:rPr>
          <w:noProof/>
        </w:rPr>
        <w:t>ion. The framework for digitally signed credentials supports authentication of a diverse range of credentials over time e.g. qualifications, course credentials, records of experience, certification of skills, recognition statements. It is important to note</w:t>
      </w:r>
      <w:r>
        <w:rPr>
          <w:noProof/>
        </w:rPr>
        <w:t xml:space="preserve"> that the Europass service for digitally signed credentials does not replace quality assurance, accreditation or other national public or private systems but offers technical solutions that issuers, holders and recipients of digital credentials can use. Th</w:t>
      </w:r>
      <w:r>
        <w:rPr>
          <w:noProof/>
        </w:rPr>
        <w:t xml:space="preserve">e technical framework is built on open standards and is made available for use on a voluntary basis, free-of-charge to users. </w:t>
      </w:r>
    </w:p>
    <w:p w:rsidR="00620F75" w:rsidRDefault="001F403D">
      <w:pPr>
        <w:rPr>
          <w:noProof/>
        </w:rPr>
      </w:pPr>
      <w:r>
        <w:rPr>
          <w:rFonts w:eastAsia="+mn-ea"/>
          <w:noProof/>
          <w:kern w:val="24"/>
        </w:rPr>
        <w:t xml:space="preserve">The Skills Agenda </w:t>
      </w:r>
      <w:r>
        <w:rPr>
          <w:noProof/>
        </w:rPr>
        <w:t xml:space="preserve">also initiated the revision of EQF. </w:t>
      </w:r>
      <w:r>
        <w:rPr>
          <w:rFonts w:eastAsia="+mn-ea"/>
          <w:noProof/>
          <w:kern w:val="24"/>
        </w:rPr>
        <w:t>The revised European Qualifications Framework Recommendation</w:t>
      </w:r>
      <w:r>
        <w:rPr>
          <w:rStyle w:val="FootnoteReference"/>
          <w:rFonts w:eastAsia="+mn-ea" w:cstheme="minorHAnsi"/>
          <w:noProof/>
          <w:kern w:val="24"/>
          <w:szCs w:val="24"/>
        </w:rPr>
        <w:footnoteReference w:id="33"/>
      </w:r>
      <w:r>
        <w:rPr>
          <w:rFonts w:eastAsia="+mn-ea"/>
          <w:noProof/>
          <w:kern w:val="24"/>
        </w:rPr>
        <w:t>, adopted in 2</w:t>
      </w:r>
      <w:r>
        <w:rPr>
          <w:rFonts w:eastAsia="+mn-ea"/>
          <w:noProof/>
          <w:kern w:val="24"/>
        </w:rPr>
        <w:t xml:space="preserve">018, </w:t>
      </w:r>
      <w:r>
        <w:rPr>
          <w:noProof/>
        </w:rPr>
        <w:t xml:space="preserve">consolidates the purpose of the EQF, namely to improve the transparency, comparability and portability of people’s qualifications. In addition, it </w:t>
      </w:r>
      <w:r>
        <w:rPr>
          <w:rFonts w:eastAsia="+mn-ea"/>
          <w:noProof/>
          <w:kern w:val="24"/>
        </w:rPr>
        <w:t>outlines in its Annex IV the quality assurance principles for qualifications that are part of national q</w:t>
      </w:r>
      <w:r>
        <w:rPr>
          <w:rFonts w:eastAsia="+mn-ea"/>
          <w:noProof/>
          <w:kern w:val="24"/>
        </w:rPr>
        <w:t>ualifications frameworks or systems referenced to the EQF. Annex V of the Recommendation outlines principles for credit systems that are related to NQFs referenced to the EQF.</w:t>
      </w:r>
    </w:p>
    <w:p w:rsidR="00620F75" w:rsidRDefault="001F403D">
      <w:pPr>
        <w:rPr>
          <w:rFonts w:eastAsia="+mn-ea"/>
          <w:noProof/>
          <w:kern w:val="24"/>
        </w:rPr>
      </w:pPr>
      <w:r>
        <w:rPr>
          <w:noProof/>
        </w:rPr>
        <w:lastRenderedPageBreak/>
        <w:t xml:space="preserve">The priorities of the 2016 New Skills Agenda are highly relevant for the first </w:t>
      </w:r>
      <w:r>
        <w:rPr>
          <w:noProof/>
        </w:rPr>
        <w:t>principle of the</w:t>
      </w:r>
      <w:r>
        <w:rPr>
          <w:bCs/>
          <w:noProof/>
        </w:rPr>
        <w:t xml:space="preserve"> European Pillar of Social Rights</w:t>
      </w:r>
      <w:r>
        <w:rPr>
          <w:bCs/>
          <w:noProof/>
          <w:vertAlign w:val="superscript"/>
        </w:rPr>
        <w:footnoteReference w:id="34"/>
      </w:r>
      <w:r>
        <w:rPr>
          <w:bCs/>
          <w:noProof/>
        </w:rPr>
        <w:t xml:space="preserve"> proclaimed in 2017 and they are also supporting the objectives of the European Education Area by 2025 launched in 2017, notably on ‘i</w:t>
      </w:r>
      <w:r>
        <w:rPr>
          <w:rFonts w:eastAsia="+mn-ea"/>
          <w:bCs/>
          <w:noProof/>
          <w:kern w:val="24"/>
        </w:rPr>
        <w:t xml:space="preserve">mproving the inclusive, lifelong-learning based and innovation-driven </w:t>
      </w:r>
      <w:r>
        <w:rPr>
          <w:rFonts w:eastAsia="+mn-ea"/>
          <w:noProof/>
          <w:kern w:val="24"/>
        </w:rPr>
        <w:t>na</w:t>
      </w:r>
      <w:r>
        <w:rPr>
          <w:rFonts w:eastAsia="+mn-ea"/>
          <w:noProof/>
          <w:kern w:val="24"/>
        </w:rPr>
        <w:t xml:space="preserve">ture of the education and training systems’. </w:t>
      </w:r>
    </w:p>
    <w:p w:rsidR="00620F75" w:rsidRDefault="001F403D">
      <w:pPr>
        <w:rPr>
          <w:noProof/>
        </w:rPr>
      </w:pPr>
      <w:r>
        <w:rPr>
          <w:noProof/>
        </w:rPr>
        <w:t>The Blueprint for sectoral cooperation on skills is a new strategic approach to mobilise stakeholders to develop demand-led sectoral skills strategies in Europe. It provides a strong basis to launch larger effo</w:t>
      </w:r>
      <w:r>
        <w:rPr>
          <w:noProof/>
        </w:rPr>
        <w:t>rts. To date it has been piloted in additive manufacturing; automotive; batteries; bio-economy; construction; defence technologies; energy value chain digitalisation and energy-intensive industries; space; maritime technologies; maritime shipping; microele</w:t>
      </w:r>
      <w:r>
        <w:rPr>
          <w:noProof/>
        </w:rPr>
        <w:t>ctronics; steel; textile-clothing-footwear-leather; and tourism.</w:t>
      </w:r>
    </w:p>
    <w:p w:rsidR="00620F75" w:rsidRDefault="001F403D">
      <w:pPr>
        <w:rPr>
          <w:noProof/>
        </w:rPr>
      </w:pPr>
      <w:r>
        <w:rPr>
          <w:noProof/>
        </w:rPr>
        <w:t>The Council Recommendation on promoting automatic mutual recognition of higher education and upper secondary education and training qualifications  and the outcomes of learning periods abroad</w:t>
      </w:r>
      <w:r>
        <w:rPr>
          <w:rStyle w:val="FootnoteReference"/>
          <w:rFonts w:cstheme="minorHAnsi"/>
          <w:noProof/>
          <w:szCs w:val="24"/>
        </w:rPr>
        <w:footnoteReference w:id="35"/>
      </w:r>
      <w:r>
        <w:rPr>
          <w:noProof/>
        </w:rPr>
        <w:t xml:space="preserve"> invite Member States to put in place the steps necessary to achieve, by 2025, automatic recognition of higher education and upper secondary qualifications, as well as recognition of the outcomes of learning periods, without making learners go through a s</w:t>
      </w:r>
      <w:r>
        <w:rPr>
          <w:noProof/>
        </w:rPr>
        <w:t>eparate recognition procedure. The Recommendation stresses the need to further develop quality assurance instruments in vocational education and training in line with the European Framework for Quality Assurance in Vocational Education and Training and its</w:t>
      </w:r>
      <w:r>
        <w:rPr>
          <w:noProof/>
        </w:rPr>
        <w:t xml:space="preserve"> further developments with a view to foster transparency and build trust in each other's secondary education and training systems. What concerns facilitation of mobility and recognition of the outcomes of learning periods abroad, the Recommendation calls o</w:t>
      </w:r>
      <w:r>
        <w:rPr>
          <w:noProof/>
        </w:rPr>
        <w:t>n extending the use of the EU tools developed in VET: such as those made available through the Europass online platform and the Memorandum of Understanding and Learning Agreement that are part of the European Credit system for Vocational Education and Trai</w:t>
      </w:r>
      <w:r>
        <w:rPr>
          <w:noProof/>
        </w:rPr>
        <w:t>ning.</w:t>
      </w:r>
    </w:p>
    <w:p w:rsidR="00620F75" w:rsidRDefault="001F403D">
      <w:pPr>
        <w:rPr>
          <w:rFonts w:eastAsia="+mn-ea"/>
          <w:noProof/>
          <w:kern w:val="24"/>
        </w:rPr>
      </w:pPr>
      <w:r>
        <w:rPr>
          <w:noProof/>
        </w:rPr>
        <w:t>Another relevant European policy development in the field of education and training was the launch of the first full version of</w:t>
      </w:r>
      <w:r>
        <w:rPr>
          <w:rFonts w:eastAsia="+mn-ea"/>
          <w:noProof/>
          <w:kern w:val="24"/>
        </w:rPr>
        <w:t xml:space="preserve"> </w:t>
      </w:r>
      <w:r>
        <w:rPr>
          <w:rFonts w:eastAsia="+mn-ea"/>
          <w:b/>
          <w:noProof/>
          <w:kern w:val="24"/>
        </w:rPr>
        <w:t>ESCO</w:t>
      </w:r>
      <w:r>
        <w:rPr>
          <w:rStyle w:val="FootnoteReference"/>
          <w:rFonts w:eastAsia="+mn-ea" w:cstheme="minorHAnsi"/>
          <w:noProof/>
          <w:kern w:val="24"/>
          <w:szCs w:val="24"/>
        </w:rPr>
        <w:footnoteReference w:id="36"/>
      </w:r>
      <w:r>
        <w:rPr>
          <w:rFonts w:eastAsia="+mn-ea"/>
          <w:noProof/>
          <w:kern w:val="24"/>
        </w:rPr>
        <w:t>, the multilingual classification of European Skills, Competences, Qualifications and Occupations in July 2017. In Ju</w:t>
      </w:r>
      <w:r>
        <w:rPr>
          <w:rFonts w:eastAsia="+mn-ea"/>
          <w:noProof/>
          <w:kern w:val="24"/>
        </w:rPr>
        <w:t>ly 2018, the Commission adopted the Implementing Acts required by Article 19 of the EURES Regulation to guide and support Member States to map their national classifications to ESCO, or adopt ESCO directly into their systems. This adoption marked the start</w:t>
      </w:r>
      <w:r>
        <w:rPr>
          <w:rFonts w:eastAsia="+mn-ea"/>
          <w:noProof/>
          <w:kern w:val="24"/>
        </w:rPr>
        <w:t xml:space="preserve"> of the 3-year period for Member States to comply with the requirements of the Regulation. Mapping the national skills classification to ESCO will have the potential to use a standard terminology to describe the details of a job, the professional profile o</w:t>
      </w:r>
      <w:r>
        <w:rPr>
          <w:rFonts w:eastAsia="+mn-ea"/>
          <w:noProof/>
          <w:kern w:val="24"/>
        </w:rPr>
        <w:t>f a job seeker or the content of a learning outcome thus to achieve greater transparency of skills and qualifications.</w:t>
      </w:r>
    </w:p>
    <w:p w:rsidR="00620F75" w:rsidRDefault="001F403D">
      <w:pPr>
        <w:rPr>
          <w:noProof/>
        </w:rPr>
      </w:pPr>
      <w:r>
        <w:rPr>
          <w:rFonts w:eastAsia="+mn-ea"/>
          <w:noProof/>
          <w:kern w:val="24"/>
        </w:rPr>
        <w:t xml:space="preserve">Funding for Member States is ensured by the European Social Fund </w:t>
      </w:r>
      <w:r>
        <w:rPr>
          <w:noProof/>
        </w:rPr>
        <w:t>which from 2014 to 2020 has been investing € 6.4 billion in youth employ</w:t>
      </w:r>
      <w:r>
        <w:rPr>
          <w:noProof/>
        </w:rPr>
        <w:t>ment and € 27 billion in education and training measures. Under the Erasmus+ Programme (2014-2020) almost € 3 billion is assigned to VET for mobility, cooperation and reforms in the education sector.</w:t>
      </w:r>
    </w:p>
    <w:p w:rsidR="00620F75" w:rsidRDefault="001F403D">
      <w:pPr>
        <w:pStyle w:val="Heading1"/>
        <w:rPr>
          <w:noProof/>
          <w:lang w:val="en-US"/>
        </w:rPr>
      </w:pPr>
      <w:bookmarkStart w:id="21" w:name="_Toc34041692"/>
      <w:bookmarkStart w:id="22" w:name="_Toc34041693"/>
      <w:bookmarkStart w:id="23" w:name="_Toc34041694"/>
      <w:bookmarkStart w:id="24" w:name="_Toc34039137"/>
      <w:bookmarkStart w:id="25" w:name="_Toc34040438"/>
      <w:bookmarkStart w:id="26" w:name="_Toc34041695"/>
      <w:bookmarkStart w:id="27" w:name="_Toc34042197"/>
      <w:bookmarkStart w:id="28" w:name="_Toc32997299"/>
      <w:bookmarkStart w:id="29" w:name="_Toc43376095"/>
      <w:bookmarkEnd w:id="21"/>
      <w:bookmarkEnd w:id="22"/>
      <w:bookmarkEnd w:id="23"/>
      <w:r>
        <w:rPr>
          <w:noProof/>
          <w:lang w:val="en-US"/>
        </w:rPr>
        <w:lastRenderedPageBreak/>
        <w:t>State of play of VET</w:t>
      </w:r>
      <w:bookmarkEnd w:id="24"/>
      <w:bookmarkEnd w:id="25"/>
      <w:bookmarkEnd w:id="26"/>
      <w:bookmarkEnd w:id="27"/>
      <w:bookmarkEnd w:id="28"/>
      <w:bookmarkEnd w:id="29"/>
    </w:p>
    <w:p w:rsidR="00620F75" w:rsidRDefault="001F403D">
      <w:pPr>
        <w:pStyle w:val="Heading2"/>
        <w:rPr>
          <w:noProof/>
          <w:lang w:val="en-US"/>
        </w:rPr>
      </w:pPr>
      <w:bookmarkStart w:id="30" w:name="_Toc34039138"/>
      <w:bookmarkStart w:id="31" w:name="_Toc34040439"/>
      <w:bookmarkStart w:id="32" w:name="_Toc34041696"/>
      <w:bookmarkStart w:id="33" w:name="_Toc34042198"/>
      <w:bookmarkStart w:id="34" w:name="_Toc32997300"/>
      <w:bookmarkStart w:id="35" w:name="_Toc43376096"/>
      <w:r>
        <w:rPr>
          <w:noProof/>
          <w:lang w:val="en-US"/>
        </w:rPr>
        <w:t>Prevalence, benefits and outcomes o</w:t>
      </w:r>
      <w:r>
        <w:rPr>
          <w:noProof/>
          <w:lang w:val="en-US"/>
        </w:rPr>
        <w:t>f VET</w:t>
      </w:r>
      <w:bookmarkEnd w:id="30"/>
      <w:bookmarkEnd w:id="31"/>
      <w:bookmarkEnd w:id="32"/>
      <w:bookmarkEnd w:id="33"/>
      <w:bookmarkEnd w:id="34"/>
      <w:bookmarkEnd w:id="35"/>
    </w:p>
    <w:p w:rsidR="00620F75" w:rsidRDefault="001F403D">
      <w:pPr>
        <w:rPr>
          <w:noProof/>
        </w:rPr>
      </w:pPr>
      <w:r>
        <w:rPr>
          <w:noProof/>
        </w:rPr>
        <w:t>Vocational education and training (VET) is a comprehensive term commonly used to refer to education, training and skills development in a wide range of occupational fields, production, services and livelihoods. Vocational education and training activ</w:t>
      </w:r>
      <w:r>
        <w:rPr>
          <w:noProof/>
        </w:rPr>
        <w:t xml:space="preserve">ities can take many forms – ranging, for example, from guided training received on-the-job, to non-formal training opportunities, to formal or preparatory programmes spanning education levels from lower-secondary education to tertiary education. </w:t>
      </w:r>
    </w:p>
    <w:p w:rsidR="00620F75" w:rsidRDefault="001F403D">
      <w:pPr>
        <w:rPr>
          <w:noProof/>
        </w:rPr>
      </w:pPr>
      <w:r>
        <w:rPr>
          <w:noProof/>
        </w:rPr>
        <w:t>Tradition</w:t>
      </w:r>
      <w:r>
        <w:rPr>
          <w:noProof/>
        </w:rPr>
        <w:t>ally, VET programmes were seen to prepare individuals for jobs in medium-skilled occupations, which, even if declining, continue to represent the largest share of jobs currently available in the labour market. In 2018, in EU28 41% of all jobs were in occup</w:t>
      </w:r>
      <w:r>
        <w:rPr>
          <w:noProof/>
        </w:rPr>
        <w:t xml:space="preserve">ations requiring a high-level qualification; 50% of all jobs were in occupations requiring a medium-level qualification and further 9% of jobs were in occupations requiring only a low-level qualification. </w:t>
      </w:r>
    </w:p>
    <w:p w:rsidR="00620F75" w:rsidRDefault="001F403D">
      <w:pPr>
        <w:rPr>
          <w:noProof/>
        </w:rPr>
      </w:pPr>
      <w:r>
        <w:rPr>
          <w:b/>
          <w:noProof/>
        </w:rPr>
        <w:t>Figure 1: The share of jobs by level of qualificat</w:t>
      </w:r>
      <w:r>
        <w:rPr>
          <w:b/>
          <w:noProof/>
        </w:rPr>
        <w:t>ion needed, 2018</w:t>
      </w:r>
    </w:p>
    <w:p w:rsidR="00620F75" w:rsidRDefault="001F403D">
      <w:pPr>
        <w:rPr>
          <w:noProof/>
        </w:rPr>
      </w:pPr>
      <w:r>
        <w:rPr>
          <w:noProof/>
          <w:lang w:eastAsia="en-GB"/>
        </w:rPr>
        <w:drawing>
          <wp:inline distT="0" distB="0" distL="0" distR="0">
            <wp:extent cx="5677232" cy="3387256"/>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F75" w:rsidRDefault="001F403D">
      <w:pPr>
        <w:rPr>
          <w:noProof/>
          <w:sz w:val="20"/>
          <w:szCs w:val="20"/>
        </w:rPr>
      </w:pPr>
      <w:r>
        <w:rPr>
          <w:noProof/>
          <w:sz w:val="20"/>
          <w:szCs w:val="20"/>
          <w:lang w:val="fr-BE"/>
        </w:rPr>
        <w:t>Source: Eurostat, EU LFS, 2018, online data code [</w:t>
      </w:r>
      <w:hyperlink r:id="rId17" w:history="1">
        <w:r>
          <w:rPr>
            <w:rStyle w:val="Hyperlink"/>
            <w:noProof/>
            <w:sz w:val="20"/>
            <w:szCs w:val="20"/>
            <w:lang w:val="fr-BE"/>
          </w:rPr>
          <w:t>lfsa_egais</w:t>
        </w:r>
      </w:hyperlink>
      <w:r>
        <w:rPr>
          <w:rStyle w:val="rightside"/>
          <w:noProof/>
          <w:sz w:val="20"/>
          <w:szCs w:val="20"/>
          <w:lang w:val="fr-BE"/>
        </w:rPr>
        <w:t xml:space="preserve">]. </w:t>
      </w:r>
      <w:r>
        <w:rPr>
          <w:noProof/>
          <w:sz w:val="20"/>
          <w:szCs w:val="20"/>
        </w:rPr>
        <w:t>Reading note: share of jobs calculated based on the number of employed persons aged 15-74. According to ISCO 08 classification of occupations, jobs requiring high level (i.e. tertiary) of qualification are classified within the occupational groups of Manag</w:t>
      </w:r>
      <w:r>
        <w:rPr>
          <w:noProof/>
          <w:sz w:val="20"/>
          <w:szCs w:val="20"/>
        </w:rPr>
        <w:t>ers (ISCO 1), Professionals (ISCO 2) and Technicians and associate professionals (ISCO 3). Jobs requiring medium level (i.e. upper-secondary or post-secondary non-tertiary) qualification are classified within the occupational groups of Clerical support wor</w:t>
      </w:r>
      <w:r>
        <w:rPr>
          <w:noProof/>
          <w:sz w:val="20"/>
          <w:szCs w:val="20"/>
        </w:rPr>
        <w:t>kers (ISCO 4), Service and sales workers (ISCO 5), Skilled agricultural, forestry and fishery workers (ISCO 6), Craft and related trade workers (ISCO 7) and Plant and machine operators and assemblers (ISCO 8). Jobs requiring only a low level of skills incl</w:t>
      </w:r>
      <w:r>
        <w:rPr>
          <w:noProof/>
          <w:sz w:val="20"/>
          <w:szCs w:val="20"/>
        </w:rPr>
        <w:t xml:space="preserve">ude the occupational group of elementary occupations (ISCO 9). </w:t>
      </w:r>
    </w:p>
    <w:p w:rsidR="00620F75" w:rsidRDefault="001F403D">
      <w:pPr>
        <w:rPr>
          <w:noProof/>
        </w:rPr>
      </w:pPr>
      <w:r>
        <w:rPr>
          <w:noProof/>
        </w:rPr>
        <w:lastRenderedPageBreak/>
        <w:t>In terms of actual job opportunities, based on Cedefop employment projections</w:t>
      </w:r>
      <w:r>
        <w:rPr>
          <w:rStyle w:val="FootnoteReference"/>
          <w:noProof/>
        </w:rPr>
        <w:footnoteReference w:id="37"/>
      </w:r>
      <w:r>
        <w:rPr>
          <w:noProof/>
        </w:rPr>
        <w:t>, job openings requiring medium-level qualification will also continue to represent the largest share of all job-o</w:t>
      </w:r>
      <w:r>
        <w:rPr>
          <w:noProof/>
        </w:rPr>
        <w:t>penings (46% of all job openings over the period of 2016-2030), closely followed in number by job-openings requiring high-level of qualification (43% of all job-openings).</w:t>
      </w:r>
    </w:p>
    <w:p w:rsidR="00620F75" w:rsidRDefault="00620F75">
      <w:pPr>
        <w:rPr>
          <w:noProof/>
        </w:rPr>
      </w:pPr>
    </w:p>
    <w:p w:rsidR="00620F75" w:rsidRDefault="00620F75">
      <w:pPr>
        <w:rPr>
          <w:noProof/>
        </w:rPr>
      </w:pPr>
    </w:p>
    <w:p w:rsidR="00620F75" w:rsidRDefault="00620F75">
      <w:pPr>
        <w:rPr>
          <w:noProof/>
        </w:rPr>
      </w:pPr>
    </w:p>
    <w:p w:rsidR="00620F75" w:rsidRDefault="00620F75">
      <w:pPr>
        <w:rPr>
          <w:noProof/>
        </w:rPr>
      </w:pPr>
    </w:p>
    <w:p w:rsidR="00620F75" w:rsidRDefault="00620F75">
      <w:pPr>
        <w:rPr>
          <w:noProof/>
        </w:rPr>
      </w:pPr>
    </w:p>
    <w:p w:rsidR="00620F75" w:rsidRDefault="00620F75">
      <w:pPr>
        <w:rPr>
          <w:noProof/>
        </w:rPr>
      </w:pPr>
    </w:p>
    <w:p w:rsidR="00620F75" w:rsidRDefault="00620F75">
      <w:pPr>
        <w:rPr>
          <w:noProof/>
        </w:rPr>
      </w:pPr>
    </w:p>
    <w:p w:rsidR="00620F75" w:rsidRDefault="001F403D">
      <w:pPr>
        <w:rPr>
          <w:b/>
          <w:noProof/>
        </w:rPr>
      </w:pPr>
      <w:r>
        <w:rPr>
          <w:b/>
          <w:noProof/>
        </w:rPr>
        <w:t>Figure 2: The share of total job openings by level of qualification needed, 2</w:t>
      </w:r>
      <w:r>
        <w:rPr>
          <w:b/>
          <w:noProof/>
        </w:rPr>
        <w:t xml:space="preserve">016-2030, EU28 </w:t>
      </w:r>
    </w:p>
    <w:p w:rsidR="00620F75" w:rsidRDefault="001F403D">
      <w:pPr>
        <w:jc w:val="left"/>
        <w:rPr>
          <w:noProof/>
        </w:rPr>
      </w:pPr>
      <w:r>
        <w:rPr>
          <w:noProof/>
          <w:lang w:eastAsia="en-GB"/>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0F75" w:rsidRDefault="001F403D">
      <w:pPr>
        <w:rPr>
          <w:noProof/>
          <w:sz w:val="20"/>
          <w:szCs w:val="20"/>
        </w:rPr>
      </w:pPr>
      <w:r>
        <w:rPr>
          <w:noProof/>
          <w:sz w:val="20"/>
          <w:szCs w:val="20"/>
        </w:rPr>
        <w:t xml:space="preserve">Source: CEDEFOP Skills Forecasts 2016-2030. Extracted from Skills Panorama online article: </w:t>
      </w:r>
      <w:hyperlink r:id="rId19" w:history="1">
        <w:r>
          <w:rPr>
            <w:rStyle w:val="Hyperlink"/>
            <w:noProof/>
            <w:sz w:val="20"/>
            <w:szCs w:val="20"/>
          </w:rPr>
          <w:t>https://skillspanorama.cede</w:t>
        </w:r>
        <w:r>
          <w:rPr>
            <w:rStyle w:val="Hyperlink"/>
            <w:noProof/>
            <w:sz w:val="20"/>
            <w:szCs w:val="20"/>
          </w:rPr>
          <w:t>fop.europa.eu/en/analytical_highlights/skills-forecast-key-eu-trends-2030</w:t>
        </w:r>
      </w:hyperlink>
      <w:r>
        <w:rPr>
          <w:noProof/>
          <w:sz w:val="20"/>
          <w:szCs w:val="20"/>
        </w:rPr>
        <w:t xml:space="preserve"> </w:t>
      </w:r>
    </w:p>
    <w:p w:rsidR="00620F75" w:rsidRDefault="001F403D">
      <w:pPr>
        <w:rPr>
          <w:noProof/>
        </w:rPr>
      </w:pPr>
      <w:r>
        <w:rPr>
          <w:noProof/>
        </w:rPr>
        <w:t>Over the last decades, given the expansion of jobs in occupations requiring high-level of qualification, in many countries VET programmes that target to deliver higher-level skills,</w:t>
      </w:r>
      <w:r>
        <w:rPr>
          <w:noProof/>
        </w:rPr>
        <w:t xml:space="preserve"> a number of which lead to tertiary qualifications, have also been introduced (European Commission, 2016). For example, around two-thirds of EU Member States, report having vocational/professional programmes at ISCED</w:t>
      </w:r>
      <w:r>
        <w:rPr>
          <w:rStyle w:val="FootnoteReference"/>
          <w:noProof/>
        </w:rPr>
        <w:footnoteReference w:id="38"/>
      </w:r>
      <w:r>
        <w:rPr>
          <w:noProof/>
        </w:rPr>
        <w:t xml:space="preserve"> 5 – short cycle tertiary education lev</w:t>
      </w:r>
      <w:r>
        <w:rPr>
          <w:noProof/>
        </w:rPr>
        <w:t>el (Eurostat, 2017). Furthermore, a third of OECD countries also report programmes with professional orientation at bachelor’s and master’s levels, even if definitions on programme orientation at these levels are not yet agreed internationally (OECD, forth</w:t>
      </w:r>
      <w:r>
        <w:rPr>
          <w:noProof/>
        </w:rPr>
        <w:t>coming).</w:t>
      </w:r>
    </w:p>
    <w:p w:rsidR="00620F75" w:rsidRDefault="00620F75">
      <w:pPr>
        <w:rPr>
          <w:noProof/>
        </w:rPr>
      </w:pPr>
    </w:p>
    <w:p w:rsidR="00620F75" w:rsidRDefault="001F403D">
      <w:pPr>
        <w:keepNext/>
        <w:spacing w:after="60"/>
        <w:rPr>
          <w:rFonts w:cs="Times New Roman"/>
          <w:noProof/>
          <w:szCs w:val="24"/>
        </w:rPr>
      </w:pPr>
      <w:bookmarkStart w:id="36" w:name="_Ref24383148"/>
      <w:r>
        <w:rPr>
          <w:rFonts w:cs="Times New Roman"/>
          <w:b/>
          <w:iCs/>
          <w:noProof/>
          <w:szCs w:val="24"/>
        </w:rPr>
        <w:t>Figure</w:t>
      </w:r>
      <w:bookmarkEnd w:id="36"/>
      <w:r>
        <w:rPr>
          <w:rFonts w:cs="Times New Roman"/>
          <w:b/>
          <w:iCs/>
          <w:noProof/>
          <w:szCs w:val="24"/>
        </w:rPr>
        <w:t xml:space="preserve"> 3: </w:t>
      </w:r>
      <w:r>
        <w:rPr>
          <w:rFonts w:cs="Times New Roman"/>
          <w:b/>
          <w:noProof/>
          <w:szCs w:val="24"/>
        </w:rPr>
        <w:t>The level and orientation of educational attainment of young adults aged 30-34, 2018</w:t>
      </w:r>
    </w:p>
    <w:p w:rsidR="00620F75" w:rsidRDefault="001F403D">
      <w:pPr>
        <w:keepNext/>
        <w:spacing w:after="60"/>
        <w:jc w:val="center"/>
        <w:rPr>
          <w:rFonts w:ascii="Times New Roman" w:hAnsi="Times New Roman" w:cs="Times New Roman"/>
          <w:iCs/>
          <w:noProof/>
          <w:sz w:val="20"/>
          <w:szCs w:val="20"/>
        </w:rPr>
      </w:pPr>
      <w:r>
        <w:rPr>
          <w:noProof/>
          <w:lang w:eastAsia="en-GB"/>
        </w:rPr>
        <w:drawing>
          <wp:inline distT="0" distB="0" distL="0" distR="0">
            <wp:extent cx="5572125" cy="326707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0F75" w:rsidRDefault="001F403D">
      <w:pPr>
        <w:rPr>
          <w:noProof/>
          <w:sz w:val="20"/>
          <w:szCs w:val="20"/>
        </w:rPr>
      </w:pPr>
      <w:r>
        <w:rPr>
          <w:noProof/>
          <w:sz w:val="20"/>
          <w:szCs w:val="20"/>
          <w:lang w:val="fr-BE"/>
        </w:rPr>
        <w:t xml:space="preserve">Source: Eurostat EU LFS, 2018, online data source </w:t>
      </w:r>
      <w:r>
        <w:rPr>
          <w:rFonts w:eastAsia="Calibri" w:cs="Times New Roman"/>
          <w:noProof/>
          <w:sz w:val="20"/>
          <w:szCs w:val="20"/>
          <w:lang w:val="fr-BE"/>
        </w:rPr>
        <w:t>[</w:t>
      </w:r>
      <w:hyperlink r:id="rId21" w:history="1">
        <w:r>
          <w:rPr>
            <w:rStyle w:val="Hyperlink"/>
            <w:rFonts w:cs="Times New Roman"/>
            <w:noProof/>
            <w:sz w:val="20"/>
            <w:szCs w:val="20"/>
            <w:lang w:val="fr-BE"/>
          </w:rPr>
          <w:t>eda</w:t>
        </w:r>
        <w:r>
          <w:rPr>
            <w:rStyle w:val="Hyperlink"/>
            <w:rFonts w:cs="Times New Roman"/>
            <w:noProof/>
            <w:sz w:val="20"/>
            <w:szCs w:val="20"/>
            <w:lang w:val="fr-BE"/>
          </w:rPr>
          <w:t>t_lfs_9914</w:t>
        </w:r>
      </w:hyperlink>
      <w:r>
        <w:rPr>
          <w:rFonts w:eastAsia="Calibri" w:cs="Times New Roman"/>
          <w:noProof/>
          <w:sz w:val="20"/>
          <w:szCs w:val="20"/>
          <w:lang w:val="fr-BE"/>
        </w:rPr>
        <w:t>].</w:t>
      </w:r>
      <w:r>
        <w:rPr>
          <w:rFonts w:ascii="Calibri" w:hAnsi="Calibri" w:cs="Calibri"/>
          <w:noProof/>
          <w:sz w:val="20"/>
          <w:szCs w:val="20"/>
          <w:lang w:val="fr-BE"/>
        </w:rPr>
        <w:t> </w:t>
      </w:r>
      <w:r>
        <w:rPr>
          <w:rFonts w:ascii="Calibri" w:hAnsi="Calibri" w:cs="Calibri"/>
          <w:noProof/>
          <w:sz w:val="20"/>
          <w:szCs w:val="20"/>
        </w:rPr>
        <w:t xml:space="preserve">Tertiary level includes vocational, professional and academic qualifications. The data is sorted by the proportion of individuals without a qualification leading to a direct entry to the labour market, i.e. those with either a low or </w:t>
      </w:r>
      <w:r>
        <w:rPr>
          <w:rFonts w:ascii="Calibri" w:hAnsi="Calibri" w:cs="Calibri"/>
          <w:noProof/>
          <w:sz w:val="20"/>
          <w:szCs w:val="20"/>
        </w:rPr>
        <w:t>medium-general qualification.</w:t>
      </w:r>
    </w:p>
    <w:p w:rsidR="00620F75" w:rsidRDefault="001F403D">
      <w:pPr>
        <w:rPr>
          <w:noProof/>
        </w:rPr>
      </w:pPr>
      <w:r>
        <w:rPr>
          <w:noProof/>
        </w:rPr>
        <w:t>Nevertheless, despite educational upgrading, still a large proportion of young adults do not attain a qualification which leads to a labour market entry (i.e. a vocational or a higher education qualification). In the EU27, out</w:t>
      </w:r>
      <w:r>
        <w:rPr>
          <w:noProof/>
        </w:rPr>
        <w:t xml:space="preserve"> of all adults in the age group 30-34 (when the majority of young people have completed their initial education and training), 9.8% have achieved at most a medium-level qualification of a general orientation, and 16.7% a qualification below an upper-second</w:t>
      </w:r>
      <w:r>
        <w:rPr>
          <w:noProof/>
        </w:rPr>
        <w:t>ary level diploma (i.e. being low qualified). These figures suggest than more than a quarter of young adults in the EU do not attain a qualification with a direct labour market relevance.</w:t>
      </w:r>
      <w:r>
        <w:rPr>
          <w:bCs/>
          <w:noProof/>
        </w:rPr>
        <w:t xml:space="preserve"> There are, nonetheless, significant differences among countries</w:t>
      </w:r>
      <w:r>
        <w:rPr>
          <w:noProof/>
        </w:rPr>
        <w:t xml:space="preserve"> – fo</w:t>
      </w:r>
      <w:r>
        <w:rPr>
          <w:noProof/>
        </w:rPr>
        <w:t>r example, in Czechia or Croatia this share is up to 10%, whereas in Malta and Portugal, it is above 50%.</w:t>
      </w:r>
    </w:p>
    <w:p w:rsidR="00620F75" w:rsidRDefault="001F403D">
      <w:pPr>
        <w:rPr>
          <w:noProof/>
        </w:rPr>
      </w:pPr>
      <w:r>
        <w:rPr>
          <w:noProof/>
        </w:rPr>
        <w:t>Overall, the largest share of VET learners are concentrated in educational programmes at upper-secondary level. They make-up nearly half of all learne</w:t>
      </w:r>
      <w:r>
        <w:rPr>
          <w:noProof/>
        </w:rPr>
        <w:t xml:space="preserve">rs enrolled at that level. Over the last 5 years, given the demographic developments, the absolute number of VET learners enrolled at upper-secondary level declined by a little more than 5%, however in relative terms the share of VET learners has declined </w:t>
      </w:r>
      <w:r>
        <w:rPr>
          <w:noProof/>
        </w:rPr>
        <w:t>only by 0.5 p.ps.</w:t>
      </w:r>
    </w:p>
    <w:p w:rsidR="00620F75" w:rsidRDefault="00620F75">
      <w:pPr>
        <w:rPr>
          <w:b/>
          <w:noProof/>
        </w:rPr>
      </w:pPr>
    </w:p>
    <w:p w:rsidR="00620F75" w:rsidRDefault="00620F75">
      <w:pPr>
        <w:rPr>
          <w:b/>
          <w:noProof/>
        </w:rPr>
      </w:pPr>
    </w:p>
    <w:p w:rsidR="00620F75" w:rsidRDefault="00620F75">
      <w:pPr>
        <w:rPr>
          <w:b/>
          <w:noProof/>
        </w:rPr>
      </w:pPr>
    </w:p>
    <w:p w:rsidR="00620F75" w:rsidRDefault="00620F75">
      <w:pPr>
        <w:rPr>
          <w:b/>
          <w:noProof/>
        </w:rPr>
      </w:pPr>
    </w:p>
    <w:p w:rsidR="00620F75" w:rsidRDefault="00620F75">
      <w:pPr>
        <w:rPr>
          <w:b/>
          <w:noProof/>
        </w:rPr>
      </w:pPr>
    </w:p>
    <w:p w:rsidR="00620F75" w:rsidRDefault="00620F75">
      <w:pPr>
        <w:rPr>
          <w:b/>
          <w:noProof/>
        </w:rPr>
      </w:pPr>
    </w:p>
    <w:p w:rsidR="00620F75" w:rsidRDefault="001F403D">
      <w:pPr>
        <w:rPr>
          <w:noProof/>
        </w:rPr>
      </w:pPr>
      <w:r>
        <w:rPr>
          <w:b/>
          <w:noProof/>
        </w:rPr>
        <w:t>Figure 4: The share of learners enrolled in upper-secondary VET programmes</w:t>
      </w:r>
    </w:p>
    <w:p w:rsidR="00620F75" w:rsidRDefault="001F403D">
      <w:pPr>
        <w:rPr>
          <w:noProof/>
        </w:rPr>
      </w:pPr>
      <w:r>
        <w:rPr>
          <w:noProof/>
          <w:lang w:eastAsia="en-GB"/>
        </w:rPr>
        <w:drawing>
          <wp:inline distT="0" distB="0" distL="0" distR="0">
            <wp:extent cx="5760720" cy="3421380"/>
            <wp:effectExtent l="0" t="0" r="1143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0F75" w:rsidRDefault="001F403D">
      <w:pPr>
        <w:rPr>
          <w:noProof/>
          <w:sz w:val="20"/>
          <w:szCs w:val="20"/>
        </w:rPr>
      </w:pPr>
      <w:r>
        <w:rPr>
          <w:noProof/>
          <w:sz w:val="20"/>
          <w:szCs w:val="20"/>
        </w:rPr>
        <w:t>Source: Eurostat, UOE data, reference years 2013 and 2017, online data code [</w:t>
      </w:r>
      <w:hyperlink r:id="rId23" w:history="1">
        <w:r>
          <w:rPr>
            <w:rStyle w:val="Hyperlink"/>
            <w:noProof/>
            <w:sz w:val="20"/>
            <w:szCs w:val="20"/>
          </w:rPr>
          <w:t>educ_uoe_enrs04</w:t>
        </w:r>
      </w:hyperlink>
      <w:r>
        <w:rPr>
          <w:rStyle w:val="rightside"/>
          <w:noProof/>
          <w:sz w:val="20"/>
          <w:szCs w:val="20"/>
        </w:rPr>
        <w:t xml:space="preserve">]. Reading note: the data is sorted by the enrolment share in 2013 in descending order, Data on enrolment share in 2013 in the Netherlands is not </w:t>
      </w:r>
      <w:r>
        <w:rPr>
          <w:rStyle w:val="rightside"/>
          <w:noProof/>
          <w:sz w:val="20"/>
          <w:szCs w:val="20"/>
        </w:rPr>
        <w:t xml:space="preserve">available. </w:t>
      </w:r>
    </w:p>
    <w:p w:rsidR="00620F75" w:rsidRDefault="001F403D">
      <w:pPr>
        <w:rPr>
          <w:noProof/>
          <w:szCs w:val="24"/>
        </w:rPr>
      </w:pPr>
      <w:r>
        <w:rPr>
          <w:noProof/>
        </w:rPr>
        <w:t>Overall, the largest share of VET learners are likely concentrated in educational programmes at upper-secondary level, they make-up nearly half of all learners enrolled at that level. Over the last 5 years, given the demographic developments, t</w:t>
      </w:r>
      <w:r>
        <w:rPr>
          <w:noProof/>
        </w:rPr>
        <w:t>he absolute number of VET learners enrolled at upper-secondary level in EU27 declined by a little more than 5%, however in relative terms the share of VET learners has declined only by 1.3 p.ps. over the same period (Eurostat, 2017). When looking over a lo</w:t>
      </w:r>
      <w:r>
        <w:rPr>
          <w:noProof/>
        </w:rPr>
        <w:t xml:space="preserve">nger period since 2005, for </w:t>
      </w:r>
      <w:r>
        <w:rPr>
          <w:noProof/>
          <w:szCs w:val="24"/>
        </w:rPr>
        <w:t>countries where data is available the enrolment in VET seems to have been rather stable, with only a few exceptions - in several countries enrolments have declined significantly (notably in Sweden) while in several others it has</w:t>
      </w:r>
      <w:r>
        <w:rPr>
          <w:noProof/>
          <w:szCs w:val="24"/>
        </w:rPr>
        <w:t xml:space="preserve"> substantially increased (notably in Ireland, Portugal and Estonia). </w:t>
      </w:r>
    </w:p>
    <w:p w:rsidR="00620F75" w:rsidRDefault="001F403D">
      <w:pPr>
        <w:rPr>
          <w:noProof/>
          <w:szCs w:val="24"/>
        </w:rPr>
      </w:pPr>
      <w:r>
        <w:rPr>
          <w:noProof/>
          <w:szCs w:val="24"/>
        </w:rPr>
        <w:t>In terms of study field, the largest group of upper-secondary education graduates from VET programmes are specialised in technical fields (i.e. engineering, manufacturing and constructio</w:t>
      </w:r>
      <w:r>
        <w:rPr>
          <w:noProof/>
          <w:szCs w:val="24"/>
        </w:rPr>
        <w:t xml:space="preserve">n), but business, administration and law, as well as services, are also popular fields for VET graduates. Gender differences are substantial, with women being less likely to have a VET degree in most countries, and those who have a VET degree specialising </w:t>
      </w:r>
      <w:r>
        <w:rPr>
          <w:noProof/>
          <w:szCs w:val="24"/>
        </w:rPr>
        <w:t xml:space="preserve">in different fields than men. For example, in 2017 in the EU28 women represent only </w:t>
      </w:r>
      <w:r>
        <w:rPr>
          <w:noProof/>
        </w:rPr>
        <w:t>13% of learners in the field of engineering, manufacturing and construction, or 16% in the field of information and communication technologies. On the other hand, 82% of le</w:t>
      </w:r>
      <w:r>
        <w:rPr>
          <w:noProof/>
        </w:rPr>
        <w:t>arners are women</w:t>
      </w:r>
      <w:r>
        <w:rPr>
          <w:noProof/>
          <w:szCs w:val="24"/>
        </w:rPr>
        <w:t xml:space="preserve"> </w:t>
      </w:r>
      <w:r>
        <w:rPr>
          <w:noProof/>
        </w:rPr>
        <w:t xml:space="preserve">in the field of health and welfare (Eurostat, 2017). </w:t>
      </w:r>
      <w:r>
        <w:rPr>
          <w:noProof/>
          <w:szCs w:val="24"/>
        </w:rPr>
        <w:t>Gender imbalances in particular fields or types of programme, for example, can raise equity issues – in an apprenticeship system dominated by the construction sector, the benefits yielde</w:t>
      </w:r>
      <w:r>
        <w:rPr>
          <w:noProof/>
          <w:szCs w:val="24"/>
        </w:rPr>
        <w:t xml:space="preserve">d by apprenticeships fall disproportionately on men. Policies typically aim to address this in two ways: widening the coverage of programmes (e.g. expanding apprenticeships into traditionally female </w:t>
      </w:r>
      <w:r>
        <w:rPr>
          <w:noProof/>
          <w:szCs w:val="24"/>
        </w:rPr>
        <w:lastRenderedPageBreak/>
        <w:t>occupations) and encouraging entry into non-traditional o</w:t>
      </w:r>
      <w:r>
        <w:rPr>
          <w:noProof/>
          <w:szCs w:val="24"/>
        </w:rPr>
        <w:t>ccupations (e.g. encouraging women to train as electricians).</w:t>
      </w:r>
    </w:p>
    <w:p w:rsidR="00620F75" w:rsidRDefault="001F403D">
      <w:pPr>
        <w:keepNext/>
        <w:contextualSpacing/>
        <w:rPr>
          <w:rFonts w:cstheme="minorHAnsi"/>
          <w:iCs/>
          <w:noProof/>
          <w:szCs w:val="24"/>
        </w:rPr>
      </w:pPr>
      <w:r>
        <w:rPr>
          <w:rFonts w:cstheme="minorHAnsi"/>
          <w:b/>
          <w:iCs/>
          <w:noProof/>
          <w:szCs w:val="24"/>
        </w:rPr>
        <w:t xml:space="preserve">Figure 5: </w:t>
      </w:r>
      <w:r>
        <w:rPr>
          <w:b/>
          <w:noProof/>
        </w:rPr>
        <w:t xml:space="preserve">The share of young adults </w:t>
      </w:r>
      <w:r>
        <w:rPr>
          <w:rFonts w:cstheme="minorHAnsi"/>
          <w:b/>
          <w:iCs/>
          <w:noProof/>
          <w:szCs w:val="24"/>
        </w:rPr>
        <w:t xml:space="preserve">aged 30-34 </w:t>
      </w:r>
      <w:r>
        <w:rPr>
          <w:b/>
          <w:noProof/>
        </w:rPr>
        <w:t xml:space="preserve">with a medium-level VET qualification </w:t>
      </w:r>
      <w:r>
        <w:rPr>
          <w:rFonts w:cstheme="minorHAnsi"/>
          <w:b/>
          <w:iCs/>
          <w:noProof/>
          <w:szCs w:val="24"/>
        </w:rPr>
        <w:t>out of total cohort of 30-34 year olds, 2009 and 2018</w:t>
      </w:r>
    </w:p>
    <w:p w:rsidR="00620F75" w:rsidRDefault="001F403D">
      <w:pPr>
        <w:keepNext/>
        <w:spacing w:after="60"/>
        <w:rPr>
          <w:b/>
          <w:noProof/>
        </w:rPr>
      </w:pPr>
      <w:r>
        <w:rPr>
          <w:noProof/>
          <w:lang w:eastAsia="en-GB"/>
        </w:rPr>
        <w:drawing>
          <wp:inline distT="0" distB="0" distL="0" distR="0">
            <wp:extent cx="5257800" cy="3048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0F75" w:rsidRDefault="00620F75">
      <w:pPr>
        <w:keepNext/>
        <w:contextualSpacing/>
        <w:jc w:val="center"/>
        <w:rPr>
          <w:rFonts w:ascii="Times New Roman" w:hAnsi="Times New Roman" w:cs="Times New Roman"/>
          <w:iCs/>
          <w:noProof/>
          <w:sz w:val="20"/>
          <w:szCs w:val="20"/>
        </w:rPr>
      </w:pPr>
    </w:p>
    <w:p w:rsidR="00620F75" w:rsidRDefault="001F403D">
      <w:pPr>
        <w:contextualSpacing/>
        <w:rPr>
          <w:rFonts w:cs="Times New Roman"/>
          <w:iCs/>
          <w:noProof/>
          <w:sz w:val="20"/>
          <w:szCs w:val="20"/>
        </w:rPr>
      </w:pPr>
      <w:r>
        <w:rPr>
          <w:rFonts w:cs="Times New Roman"/>
          <w:iCs/>
          <w:noProof/>
          <w:sz w:val="20"/>
          <w:szCs w:val="20"/>
        </w:rPr>
        <w:t xml:space="preserve">Source: Eurostat EU LFS, 2018 and 2009, for 2018 </w:t>
      </w:r>
      <w:r>
        <w:rPr>
          <w:rFonts w:cs="Times New Roman"/>
          <w:iCs/>
          <w:noProof/>
          <w:sz w:val="20"/>
          <w:szCs w:val="20"/>
        </w:rPr>
        <w:t>data, the online data code is [</w:t>
      </w:r>
      <w:hyperlink r:id="rId25" w:history="1">
        <w:r>
          <w:rPr>
            <w:rStyle w:val="Hyperlink"/>
            <w:rFonts w:cs="Times New Roman"/>
            <w:noProof/>
            <w:sz w:val="20"/>
            <w:szCs w:val="20"/>
          </w:rPr>
          <w:t>edat_lfs_9914</w:t>
        </w:r>
      </w:hyperlink>
      <w:r>
        <w:rPr>
          <w:rStyle w:val="leaf"/>
          <w:rFonts w:cs="Times New Roman"/>
          <w:noProof/>
          <w:sz w:val="20"/>
          <w:szCs w:val="20"/>
        </w:rPr>
        <w:t>], 2009 data was provided to DG EMPL by Eurostat as a special data extraction from EU LFS 2009 ad-hoc module on young</w:t>
      </w:r>
      <w:r>
        <w:rPr>
          <w:rStyle w:val="leaf"/>
          <w:rFonts w:cs="Times New Roman"/>
          <w:noProof/>
          <w:sz w:val="20"/>
          <w:szCs w:val="20"/>
        </w:rPr>
        <w:t xml:space="preserve"> people in the labour market</w:t>
      </w:r>
      <w:r>
        <w:rPr>
          <w:rFonts w:cs="Times New Roman"/>
          <w:iCs/>
          <w:noProof/>
          <w:sz w:val="20"/>
          <w:szCs w:val="20"/>
        </w:rPr>
        <w:t xml:space="preserve">. </w:t>
      </w:r>
      <w:r>
        <w:rPr>
          <w:rFonts w:eastAsia="Calibri" w:cs="Times New Roman"/>
          <w:iCs/>
          <w:noProof/>
          <w:sz w:val="20"/>
          <w:szCs w:val="20"/>
        </w:rPr>
        <w:t>Reading note: data for 2009 is based on a LFS ad-hoc module on young people in the labour market. The definitions of VET in 2009 and 2018 might not be fully comparable, but both sources cover only VET at medium level (i.e. upp</w:t>
      </w:r>
      <w:r>
        <w:rPr>
          <w:rFonts w:eastAsia="Calibri" w:cs="Times New Roman"/>
          <w:iCs/>
          <w:noProof/>
          <w:sz w:val="20"/>
          <w:szCs w:val="20"/>
        </w:rPr>
        <w:t xml:space="preserve">er-secondary – ISCED 3, or post-secondary non-tertiary – ISCED 4 programmes). Data for 2009 were provided for DG EMPL by Eurostat as a special data extraction. </w:t>
      </w:r>
      <w:r>
        <w:rPr>
          <w:noProof/>
          <w:sz w:val="20"/>
          <w:szCs w:val="20"/>
        </w:rPr>
        <w:t>Data on the share of VET graduates in 2009 in Malta is unreliable and for Croatia is not availab</w:t>
      </w:r>
      <w:r>
        <w:rPr>
          <w:noProof/>
          <w:sz w:val="20"/>
          <w:szCs w:val="20"/>
        </w:rPr>
        <w:t>le.</w:t>
      </w:r>
    </w:p>
    <w:p w:rsidR="00620F75" w:rsidRDefault="001F403D">
      <w:pPr>
        <w:rPr>
          <w:noProof/>
        </w:rPr>
      </w:pPr>
      <w:r>
        <w:rPr>
          <w:noProof/>
        </w:rPr>
        <w:t>Similarly to the proportion of young adults who pursue a VET pathway at upper secondary level, which seems to have declined only slightly on average in the EU27, similarly the share of young adults whose highest level of educational attainment is a med</w:t>
      </w:r>
      <w:r>
        <w:rPr>
          <w:noProof/>
        </w:rPr>
        <w:t xml:space="preserve">ium-level VET qualification has slightly declining from 34.8% in 2009 to 33.8% in 2018 (Eurostat, 2018). </w:t>
      </w:r>
    </w:p>
    <w:p w:rsidR="00620F75" w:rsidRDefault="001F403D">
      <w:pPr>
        <w:keepNext/>
        <w:spacing w:after="60"/>
        <w:rPr>
          <w:rFonts w:cstheme="minorHAnsi"/>
          <w:iCs/>
          <w:noProof/>
          <w:szCs w:val="24"/>
        </w:rPr>
      </w:pPr>
      <w:r>
        <w:rPr>
          <w:rFonts w:cstheme="minorHAnsi"/>
          <w:b/>
          <w:iCs/>
          <w:noProof/>
          <w:szCs w:val="24"/>
        </w:rPr>
        <w:lastRenderedPageBreak/>
        <w:t xml:space="preserve">Figure 6: </w:t>
      </w:r>
      <w:r>
        <w:rPr>
          <w:b/>
          <w:noProof/>
        </w:rPr>
        <w:t>Exposure of recent graduates (aged 15-34) with a medium-level vocational education and training qualifications to work-based learning, 2016</w:t>
      </w:r>
    </w:p>
    <w:p w:rsidR="00620F75" w:rsidRDefault="001F403D">
      <w:pPr>
        <w:keepNext/>
        <w:spacing w:after="60"/>
        <w:jc w:val="center"/>
        <w:rPr>
          <w:rFonts w:ascii="Times New Roman" w:hAnsi="Times New Roman" w:cs="Times New Roman"/>
          <w:iCs/>
          <w:noProof/>
          <w:sz w:val="20"/>
          <w:szCs w:val="20"/>
        </w:rPr>
      </w:pPr>
      <w:r>
        <w:rPr>
          <w:noProof/>
          <w:lang w:eastAsia="en-GB"/>
        </w:rPr>
        <w:drawing>
          <wp:inline distT="0" distB="0" distL="0" distR="0">
            <wp:extent cx="5010150" cy="287655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6" cstate="print"/>
                    <a:stretch>
                      <a:fillRect/>
                    </a:stretch>
                  </pic:blipFill>
                  <pic:spPr>
                    <a:xfrm>
                      <a:off x="0" y="0"/>
                      <a:ext cx="5010150" cy="2876550"/>
                    </a:xfrm>
                    <a:prstGeom prst="rect">
                      <a:avLst/>
                    </a:prstGeom>
                  </pic:spPr>
                </pic:pic>
              </a:graphicData>
            </a:graphic>
          </wp:inline>
        </w:drawing>
      </w:r>
      <w:r>
        <w:rPr>
          <w:noProof/>
          <w:lang w:eastAsia="en-GB"/>
        </w:rPr>
        <w:t xml:space="preserve"> </w:t>
      </w:r>
    </w:p>
    <w:p w:rsidR="00620F75" w:rsidRDefault="001F403D">
      <w:pPr>
        <w:contextualSpacing/>
        <w:rPr>
          <w:rFonts w:cs="Times New Roman"/>
          <w:iCs/>
          <w:noProof/>
          <w:sz w:val="20"/>
          <w:szCs w:val="20"/>
        </w:rPr>
      </w:pPr>
      <w:r>
        <w:rPr>
          <w:rFonts w:cs="Times New Roman"/>
          <w:iCs/>
          <w:noProof/>
          <w:sz w:val="20"/>
          <w:szCs w:val="20"/>
        </w:rPr>
        <w:t xml:space="preserve">Source: Eurostat, LFS ad-hoc module on young people in the labour market, 2016, special data extraction for DG EMPL . </w:t>
      </w:r>
      <w:r>
        <w:rPr>
          <w:rFonts w:eastAsia="Calibri" w:cs="Times New Roman"/>
          <w:iCs/>
          <w:noProof/>
          <w:sz w:val="20"/>
          <w:szCs w:val="20"/>
        </w:rPr>
        <w:t>Reading note: R</w:t>
      </w:r>
      <w:r>
        <w:rPr>
          <w:rFonts w:cs="Times New Roman"/>
          <w:noProof/>
          <w:sz w:val="20"/>
          <w:szCs w:val="20"/>
        </w:rPr>
        <w:t xml:space="preserve">ecent graduates are defined as individuals who have graduated 1-3 years before the survey. </w:t>
      </w:r>
      <w:r>
        <w:rPr>
          <w:rFonts w:eastAsia="Calibri" w:cs="Times New Roman"/>
          <w:iCs/>
          <w:noProof/>
          <w:sz w:val="20"/>
          <w:szCs w:val="20"/>
        </w:rPr>
        <w:t xml:space="preserve">VET at medium level includes </w:t>
      </w:r>
      <w:r>
        <w:rPr>
          <w:rFonts w:eastAsia="Calibri" w:cs="Times New Roman"/>
          <w:iCs/>
          <w:noProof/>
          <w:sz w:val="20"/>
          <w:szCs w:val="20"/>
        </w:rPr>
        <w:t>qualifications from upper-secondary (ISCED 3) or post-secondary non-tertiary (ISCED 4) education and training programmes. The data also include those still enrolled in education or training. Operational Eurostat definition of apprenticeship includes remune</w:t>
      </w:r>
      <w:r>
        <w:rPr>
          <w:rFonts w:eastAsia="Calibri" w:cs="Times New Roman"/>
          <w:iCs/>
          <w:noProof/>
          <w:sz w:val="20"/>
          <w:szCs w:val="20"/>
        </w:rPr>
        <w:t>rated, curriculum-related work-experience during studies, of at least 6 months in duration. Data on share of recent graduates exposed to all work-based learning is not reliable for Malta and Croatia; data on share of recent graduates exposed to apprentices</w:t>
      </w:r>
      <w:r>
        <w:rPr>
          <w:rFonts w:eastAsia="Calibri" w:cs="Times New Roman"/>
          <w:iCs/>
          <w:noProof/>
          <w:sz w:val="20"/>
          <w:szCs w:val="20"/>
        </w:rPr>
        <w:t>hips is not reliable for Belgium, Cyprus, Italy, Slovenia and Spain; data on share of recent graduates exposed to other types of work-based learning apart from apprenticeships is not reliable for Cyprus.</w:t>
      </w:r>
    </w:p>
    <w:p w:rsidR="00620F75" w:rsidRDefault="001F403D">
      <w:pPr>
        <w:rPr>
          <w:noProof/>
        </w:rPr>
      </w:pPr>
      <w:r>
        <w:rPr>
          <w:noProof/>
        </w:rPr>
        <w:t>An important feature of many high-quality VET progra</w:t>
      </w:r>
      <w:r>
        <w:rPr>
          <w:noProof/>
        </w:rPr>
        <w:t>mmes is a systematic integration of work-based learning components (e.g. traineeships, apprenticeships, dual-system education programmes), bringing about a variety of benefits for learners and future employers (OECD, 2019; JRC, 2020). Notably, apprenticesh</w:t>
      </w:r>
      <w:r>
        <w:rPr>
          <w:noProof/>
        </w:rPr>
        <w:t>ips and other forms of work-based learning considerably facilitate the transition of young adults into the labour market. In 2016, in the EU only 63.2% of young adults who were not exposed to work-based learning were employed, compared to 69.1% for those w</w:t>
      </w:r>
      <w:r>
        <w:rPr>
          <w:noProof/>
        </w:rPr>
        <w:t>ith mandatory traineeship experience and 83.7% for those with an apprenticeship experience. However, on average only 59. 3% of recent graduates (aged 15-34) from vocational education and training in EU27 reported to have been exposed to work-based learning</w:t>
      </w:r>
      <w:r>
        <w:rPr>
          <w:noProof/>
        </w:rPr>
        <w:t xml:space="preserve"> in 2016, with 25.7 % being part of an apprenticeship-type programme and 33.6% having profited from other types of work-based learning.</w:t>
      </w:r>
    </w:p>
    <w:p w:rsidR="00620F75" w:rsidRDefault="001F403D">
      <w:pPr>
        <w:rPr>
          <w:rFonts w:cstheme="minorHAnsi"/>
          <w:noProof/>
          <w:lang w:val="en-US"/>
        </w:rPr>
      </w:pPr>
      <w:r>
        <w:rPr>
          <w:noProof/>
          <w:lang w:val="en-US"/>
        </w:rPr>
        <w:t>The outcomes of VET graduates, given restrictions in data, can most reliably be assessed for individuals graduating from VET programs at upper-secondary level and not continuing at higher levels of education, comparing with the labor outcomes of individual</w:t>
      </w:r>
      <w:r>
        <w:rPr>
          <w:noProof/>
          <w:lang w:val="en-US"/>
        </w:rPr>
        <w:t xml:space="preserve">s graduating from general programs at the </w:t>
      </w:r>
      <w:r>
        <w:rPr>
          <w:rFonts w:cstheme="minorHAnsi"/>
          <w:noProof/>
          <w:lang w:val="en-US"/>
        </w:rPr>
        <w:t>same level who also do not continue study at higher levels. These can be considered the two most similar groups of individuals for comparison, even if some important differences remain between the two, on the one h</w:t>
      </w:r>
      <w:r>
        <w:rPr>
          <w:rFonts w:cstheme="minorHAnsi"/>
          <w:noProof/>
          <w:lang w:val="en-US"/>
        </w:rPr>
        <w:t>and due to tracking of individuals at earlier stages of education and on the other due to different propensity, depending on educational pathway, to continue studies at higher levels. In this regard, a major review done by the OECD recently analyzed in det</w:t>
      </w:r>
      <w:r>
        <w:rPr>
          <w:rFonts w:cstheme="minorHAnsi"/>
          <w:noProof/>
          <w:lang w:val="en-US"/>
        </w:rPr>
        <w:t>ail the outcomes of VET from this perspective (OECD, forthcoming).</w:t>
      </w:r>
    </w:p>
    <w:p w:rsidR="00620F75" w:rsidRDefault="001F403D">
      <w:pPr>
        <w:keepNext/>
        <w:spacing w:after="60"/>
        <w:rPr>
          <w:noProof/>
        </w:rPr>
      </w:pPr>
      <w:bookmarkStart w:id="37" w:name="_Ref24727753"/>
      <w:r>
        <w:rPr>
          <w:rFonts w:cstheme="minorHAnsi"/>
          <w:b/>
          <w:noProof/>
          <w:szCs w:val="24"/>
        </w:rPr>
        <w:lastRenderedPageBreak/>
        <w:t>Figure</w:t>
      </w:r>
      <w:bookmarkEnd w:id="37"/>
      <w:r>
        <w:rPr>
          <w:rFonts w:cstheme="minorHAnsi"/>
          <w:b/>
          <w:noProof/>
          <w:szCs w:val="24"/>
        </w:rPr>
        <w:t xml:space="preserve"> 7</w:t>
      </w:r>
      <w:r>
        <w:rPr>
          <w:rFonts w:cstheme="minorHAnsi"/>
          <w:b/>
          <w:iCs/>
          <w:noProof/>
          <w:szCs w:val="24"/>
        </w:rPr>
        <w:t xml:space="preserve">: Employment rates of recent graduates aged 20-34 by educational attainment level, 2018 (%)  </w:t>
      </w:r>
    </w:p>
    <w:p w:rsidR="00620F75" w:rsidRDefault="001F403D">
      <w:pPr>
        <w:spacing w:line="360" w:lineRule="auto"/>
        <w:contextualSpacing/>
        <w:jc w:val="center"/>
        <w:rPr>
          <w:rFonts w:ascii="Times New Roman" w:hAnsi="Times New Roman" w:cs="Times New Roman"/>
          <w:b/>
          <w:iCs/>
          <w:noProof/>
          <w:szCs w:val="24"/>
        </w:rPr>
      </w:pPr>
      <w:r>
        <w:rPr>
          <w:noProof/>
          <w:lang w:eastAsia="en-GB"/>
        </w:rPr>
        <w:drawing>
          <wp:inline distT="0" distB="0" distL="0" distR="0">
            <wp:extent cx="5486400" cy="32385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0F75" w:rsidRDefault="001F403D">
      <w:pPr>
        <w:contextualSpacing/>
        <w:rPr>
          <w:rFonts w:cs="Times New Roman"/>
          <w:noProof/>
          <w:sz w:val="20"/>
          <w:szCs w:val="20"/>
        </w:rPr>
      </w:pPr>
      <w:r>
        <w:rPr>
          <w:rFonts w:cs="Times New Roman"/>
          <w:noProof/>
          <w:sz w:val="20"/>
          <w:szCs w:val="20"/>
          <w:lang w:val="fr-BE"/>
        </w:rPr>
        <w:t xml:space="preserve">Source: Eurostat (EU-LFS, 2018, </w:t>
      </w:r>
      <w:r>
        <w:rPr>
          <w:rFonts w:eastAsia="Calibri" w:cs="Times New Roman"/>
          <w:noProof/>
          <w:sz w:val="20"/>
          <w:szCs w:val="20"/>
          <w:lang w:val="fr-BE"/>
        </w:rPr>
        <w:t>online data code [</w:t>
      </w:r>
      <w:hyperlink r:id="rId28" w:history="1">
        <w:r>
          <w:rPr>
            <w:rStyle w:val="Hyperlink"/>
            <w:rFonts w:cs="Times New Roman"/>
            <w:noProof/>
            <w:sz w:val="20"/>
            <w:szCs w:val="20"/>
            <w:lang w:val="fr-BE"/>
          </w:rPr>
          <w:t>edat_lfse_24</w:t>
        </w:r>
      </w:hyperlink>
      <w:r>
        <w:rPr>
          <w:rStyle w:val="leaf"/>
          <w:rFonts w:cs="Times New Roman"/>
          <w:noProof/>
          <w:sz w:val="20"/>
          <w:szCs w:val="20"/>
          <w:lang w:val="fr-BE"/>
        </w:rPr>
        <w:t>]</w:t>
      </w:r>
      <w:r>
        <w:rPr>
          <w:rFonts w:cs="Times New Roman"/>
          <w:noProof/>
          <w:sz w:val="20"/>
          <w:szCs w:val="20"/>
          <w:lang w:val="fr-BE"/>
        </w:rPr>
        <w:t xml:space="preserve">). </w:t>
      </w:r>
      <w:r>
        <w:rPr>
          <w:rFonts w:cs="Times New Roman"/>
          <w:noProof/>
          <w:sz w:val="20"/>
          <w:szCs w:val="20"/>
        </w:rPr>
        <w:t>Reading note: data on the employment rate of low qualified includes all young adults aged 20-34 not enrolled in education or training no matter how long ago they completed their edu</w:t>
      </w:r>
      <w:r>
        <w:rPr>
          <w:rFonts w:cs="Times New Roman"/>
          <w:noProof/>
          <w:sz w:val="20"/>
          <w:szCs w:val="20"/>
        </w:rPr>
        <w:t>cation. Medium-level educational attainment covers educational qualifications at upper-secondary (ISCED 3) or post-secondary non-tertiary (ISCED 4) levels. Data for medium and highly qualified include only individuals who have graduated 1-3 years before th</w:t>
      </w:r>
      <w:r>
        <w:rPr>
          <w:rFonts w:cs="Times New Roman"/>
          <w:noProof/>
          <w:sz w:val="20"/>
          <w:szCs w:val="20"/>
        </w:rPr>
        <w:t xml:space="preserve">e survey. </w:t>
      </w:r>
      <w:r>
        <w:rPr>
          <w:rFonts w:eastAsia="Calibri" w:cs="Times New Roman"/>
          <w:noProof/>
          <w:sz w:val="20"/>
          <w:szCs w:val="20"/>
        </w:rPr>
        <w:t xml:space="preserve">The data exclude those still enrolled in education or training. The data is sorted by the employment rates of recent graduates from medium vocational programmes in a descending order. For Croatia, data is not available for the employment rate of </w:t>
      </w:r>
      <w:r>
        <w:rPr>
          <w:rFonts w:eastAsia="Calibri" w:cs="Times New Roman"/>
          <w:noProof/>
          <w:sz w:val="20"/>
          <w:szCs w:val="20"/>
        </w:rPr>
        <w:t>graduates from medium-level programmes of general orientation.</w:t>
      </w:r>
    </w:p>
    <w:p w:rsidR="00620F75" w:rsidRDefault="001F403D">
      <w:pPr>
        <w:rPr>
          <w:rFonts w:cstheme="minorHAnsi"/>
          <w:noProof/>
        </w:rPr>
      </w:pPr>
      <w:r>
        <w:rPr>
          <w:rFonts w:cstheme="minorHAnsi"/>
          <w:noProof/>
          <w:lang w:val="en-US"/>
        </w:rPr>
        <w:t>When comparing the outcomes of VET at upper-secondary level, it is found that in general graduates</w:t>
      </w:r>
      <w:r>
        <w:rPr>
          <w:rFonts w:cstheme="minorHAnsi"/>
          <w:noProof/>
        </w:rPr>
        <w:t xml:space="preserve"> from VET at upper-secondary level have higher employment rates and lower unemployment rates th</w:t>
      </w:r>
      <w:r>
        <w:rPr>
          <w:rFonts w:cstheme="minorHAnsi"/>
          <w:noProof/>
        </w:rPr>
        <w:t>an graduates from general programmes at the same education level. Work intensity among VET graduates is also slightly higher than among general education graduates. VET graduates have broadly the same outcomes in terms of job quality as general education g</w:t>
      </w:r>
      <w:r>
        <w:rPr>
          <w:rFonts w:cstheme="minorHAnsi"/>
          <w:noProof/>
        </w:rPr>
        <w:t>raduates, although there are some dimensions in which the former group performs slightly worse than other graduates, even when they have similar characteristics and work in similar jobs (OECD, forthcoming).</w:t>
      </w:r>
    </w:p>
    <w:p w:rsidR="00620F75" w:rsidRDefault="001F403D">
      <w:pPr>
        <w:rPr>
          <w:rFonts w:cstheme="minorHAnsi"/>
          <w:noProof/>
        </w:rPr>
      </w:pPr>
      <w:r>
        <w:rPr>
          <w:rFonts w:cstheme="minorHAnsi"/>
          <w:noProof/>
        </w:rPr>
        <w:t xml:space="preserve">VET graduates have moderately higher wage levels </w:t>
      </w:r>
      <w:r>
        <w:rPr>
          <w:rFonts w:cstheme="minorHAnsi"/>
          <w:noProof/>
        </w:rPr>
        <w:t xml:space="preserve">than general education graduates although this level is substantially lower than for tertiary education graduates, even when they work in similar jobs. </w:t>
      </w:r>
      <w:r>
        <w:rPr>
          <w:rFonts w:cstheme="minorHAnsi"/>
          <w:noProof/>
          <w:color w:val="000000"/>
        </w:rPr>
        <w:t xml:space="preserve">VET graduates are </w:t>
      </w:r>
      <w:r>
        <w:rPr>
          <w:rFonts w:cstheme="minorHAnsi"/>
          <w:noProof/>
        </w:rPr>
        <w:t xml:space="preserve">also </w:t>
      </w:r>
      <w:r>
        <w:rPr>
          <w:rFonts w:cstheme="minorHAnsi"/>
          <w:noProof/>
          <w:color w:val="000000"/>
        </w:rPr>
        <w:t xml:space="preserve">less likely than general education graduates to report being </w:t>
      </w:r>
      <w:r>
        <w:rPr>
          <w:rFonts w:cstheme="minorHAnsi"/>
          <w:noProof/>
        </w:rPr>
        <w:t>ill prepared</w:t>
      </w:r>
      <w:r>
        <w:rPr>
          <w:rFonts w:cstheme="minorHAnsi"/>
          <w:noProof/>
          <w:color w:val="000000"/>
        </w:rPr>
        <w:t xml:space="preserve"> for their job and are more likely to work in occupations that match their education level. </w:t>
      </w:r>
      <w:r>
        <w:rPr>
          <w:rFonts w:cstheme="minorHAnsi"/>
          <w:noProof/>
        </w:rPr>
        <w:t xml:space="preserve">Nevertheless, </w:t>
      </w:r>
      <w:r>
        <w:rPr>
          <w:rFonts w:cstheme="minorHAnsi"/>
          <w:noProof/>
          <w:color w:val="000000"/>
        </w:rPr>
        <w:t xml:space="preserve">a significant share of VET graduates work in occupations that do not match their field of study. </w:t>
      </w:r>
      <w:r>
        <w:rPr>
          <w:rFonts w:cstheme="minorHAnsi"/>
          <w:noProof/>
        </w:rPr>
        <w:t>Furthermore, fewer</w:t>
      </w:r>
      <w:r>
        <w:rPr>
          <w:rFonts w:cstheme="minorHAnsi"/>
          <w:noProof/>
          <w:color w:val="000000"/>
        </w:rPr>
        <w:t xml:space="preserve"> VET graduates are employed in high</w:t>
      </w:r>
      <w:r>
        <w:rPr>
          <w:rFonts w:cstheme="minorHAnsi"/>
          <w:noProof/>
          <w:color w:val="000000"/>
        </w:rPr>
        <w:t xml:space="preserve">-skill occupations, compared to general education graduates </w:t>
      </w:r>
      <w:r>
        <w:rPr>
          <w:rFonts w:cstheme="minorHAnsi"/>
          <w:noProof/>
        </w:rPr>
        <w:t>(OECD, forthcoming).</w:t>
      </w:r>
    </w:p>
    <w:p w:rsidR="00620F75" w:rsidRDefault="001F403D">
      <w:pPr>
        <w:rPr>
          <w:noProof/>
        </w:rPr>
      </w:pPr>
      <w:r>
        <w:rPr>
          <w:noProof/>
        </w:rPr>
        <w:t>For VET graduates to be resilient in a changing labour market, it is imperative that they have strong foundational skills. However, the Survey of Adult Skills shows that, in m</w:t>
      </w:r>
      <w:r>
        <w:rPr>
          <w:noProof/>
        </w:rPr>
        <w:t xml:space="preserve">any countries, VET graduates have lower numeracy, literacy and problem-solving skills than general education graduates. At the same time, only a relatively limited share of VET </w:t>
      </w:r>
      <w:r>
        <w:rPr>
          <w:noProof/>
        </w:rPr>
        <w:lastRenderedPageBreak/>
        <w:t>graduates participate in job-related training, although they have seen stronger</w:t>
      </w:r>
      <w:r>
        <w:rPr>
          <w:noProof/>
        </w:rPr>
        <w:t xml:space="preserve"> growth in training participation in the past ten years than other graduates. In spite of the importance for VET graduates to up-skill and re-skill, they show low interest in training (OECD, forthcoming). </w:t>
      </w:r>
    </w:p>
    <w:p w:rsidR="00620F75" w:rsidRDefault="001F403D">
      <w:pPr>
        <w:rPr>
          <w:noProof/>
        </w:rPr>
      </w:pPr>
      <w:r>
        <w:rPr>
          <w:rFonts w:cstheme="minorHAnsi"/>
          <w:noProof/>
          <w:color w:val="000000"/>
        </w:rPr>
        <w:t>Apart from formal (initial) education and training</w:t>
      </w:r>
      <w:r>
        <w:rPr>
          <w:rFonts w:cstheme="minorHAnsi"/>
          <w:noProof/>
          <w:color w:val="000000"/>
        </w:rPr>
        <w:t>, covered above, also non-formal (continuing) education and training is seen as an increasingly important part of VET systems. This is also evident at the European level, where the Council since 2003 have set a benchmark to highlight the ambition to increa</w:t>
      </w:r>
      <w:r>
        <w:rPr>
          <w:rFonts w:cstheme="minorHAnsi"/>
          <w:noProof/>
          <w:color w:val="000000"/>
        </w:rPr>
        <w:t xml:space="preserve">se adult participation in learning (of which the majority is job-related). Despite this ambition, progress towards achieving the </w:t>
      </w:r>
      <w:r>
        <w:rPr>
          <w:noProof/>
          <w:color w:val="000000"/>
        </w:rPr>
        <w:t xml:space="preserve">benchmark </w:t>
      </w:r>
      <w:r>
        <w:rPr>
          <w:rFonts w:cstheme="minorHAnsi"/>
          <w:noProof/>
          <w:color w:val="000000"/>
        </w:rPr>
        <w:t>has been slow, both due</w:t>
      </w:r>
      <w:r>
        <w:rPr>
          <w:noProof/>
          <w:color w:val="000000"/>
        </w:rPr>
        <w:t xml:space="preserve"> to </w:t>
      </w:r>
      <w:r>
        <w:rPr>
          <w:rFonts w:cstheme="minorHAnsi"/>
          <w:noProof/>
          <w:color w:val="000000"/>
        </w:rPr>
        <w:t xml:space="preserve">difficulties in changing the behaviour of (mostly) private actors but also in part due to </w:t>
      </w:r>
      <w:r>
        <w:rPr>
          <w:rFonts w:cstheme="minorHAnsi"/>
          <w:noProof/>
          <w:color w:val="000000"/>
        </w:rPr>
        <w:t>weaknesses in the definition</w:t>
      </w:r>
      <w:r>
        <w:rPr>
          <w:noProof/>
          <w:color w:val="000000"/>
        </w:rPr>
        <w:t xml:space="preserve"> of the indicator</w:t>
      </w:r>
      <w:r>
        <w:rPr>
          <w:rFonts w:cstheme="minorHAnsi"/>
          <w:noProof/>
          <w:color w:val="000000"/>
        </w:rPr>
        <w:t>, which considers</w:t>
      </w:r>
      <w:r>
        <w:rPr>
          <w:noProof/>
          <w:color w:val="000000"/>
        </w:rPr>
        <w:t xml:space="preserve"> participation </w:t>
      </w:r>
      <w:r>
        <w:rPr>
          <w:noProof/>
        </w:rPr>
        <w:t>only during a reference period of 4 weeks, as it is measured in the EU Labour Force Survey. Such a short reference period is not ideal for monitoring adult learning, where majorit</w:t>
      </w:r>
      <w:r>
        <w:rPr>
          <w:noProof/>
        </w:rPr>
        <w:t xml:space="preserve">y of learnings undertake only just one or two learning activities over a period of one year. </w:t>
      </w:r>
    </w:p>
    <w:p w:rsidR="00620F75" w:rsidRDefault="001F403D">
      <w:pPr>
        <w:rPr>
          <w:noProof/>
        </w:rPr>
      </w:pPr>
      <w:r>
        <w:rPr>
          <w:noProof/>
        </w:rPr>
        <w:t>Notably, lack of progress with regard to the original indicator could in part be explained as a statistical artefact caused by low sensitivity of the existing ind</w:t>
      </w:r>
      <w:r>
        <w:rPr>
          <w:noProof/>
        </w:rPr>
        <w:t xml:space="preserve">icator measuring adult learning in the EU Labour Force Survey (JRC, 2020). Conversely other, specialised surveys - such as the EU Adult Education Survey or the EU Continuing Vocational Training Survey, which have indicators on adult learning that are more </w:t>
      </w:r>
      <w:r>
        <w:rPr>
          <w:noProof/>
        </w:rPr>
        <w:t>comprehensive, both show a steady increase in the prevalence of learning among adults (Eurostat, 2018).</w:t>
      </w:r>
    </w:p>
    <w:p w:rsidR="00620F75" w:rsidRDefault="00620F75">
      <w:pPr>
        <w:rPr>
          <w:noProof/>
        </w:rPr>
      </w:pPr>
    </w:p>
    <w:p w:rsidR="00620F75" w:rsidRDefault="001F403D">
      <w:pPr>
        <w:keepNext/>
        <w:contextualSpacing/>
        <w:rPr>
          <w:noProof/>
        </w:rPr>
      </w:pPr>
      <w:bookmarkStart w:id="38" w:name="_Ref22132375"/>
      <w:r>
        <w:rPr>
          <w:rFonts w:cstheme="minorHAnsi"/>
          <w:b/>
          <w:iCs/>
          <w:noProof/>
          <w:szCs w:val="24"/>
        </w:rPr>
        <w:t>Figure</w:t>
      </w:r>
      <w:bookmarkEnd w:id="38"/>
      <w:r>
        <w:rPr>
          <w:rFonts w:cstheme="minorHAnsi"/>
          <w:b/>
          <w:iCs/>
          <w:noProof/>
          <w:szCs w:val="24"/>
        </w:rPr>
        <w:t xml:space="preserve"> 8: </w:t>
      </w:r>
      <w:r>
        <w:rPr>
          <w:b/>
          <w:noProof/>
        </w:rPr>
        <w:t>Share of adults (aged 25-64) participating in education and training (</w:t>
      </w:r>
      <w:r>
        <w:rPr>
          <w:rFonts w:cstheme="minorHAnsi"/>
          <w:b/>
          <w:iCs/>
          <w:noProof/>
          <w:szCs w:val="24"/>
        </w:rPr>
        <w:t>12 months</w:t>
      </w:r>
      <w:r>
        <w:rPr>
          <w:b/>
          <w:noProof/>
        </w:rPr>
        <w:t xml:space="preserve"> reference period), </w:t>
      </w:r>
      <w:r>
        <w:rPr>
          <w:rFonts w:cstheme="minorHAnsi"/>
          <w:b/>
          <w:iCs/>
          <w:noProof/>
          <w:szCs w:val="24"/>
        </w:rPr>
        <w:t>2011</w:t>
      </w:r>
      <w:r>
        <w:rPr>
          <w:b/>
          <w:noProof/>
        </w:rPr>
        <w:t xml:space="preserve"> and </w:t>
      </w:r>
      <w:r>
        <w:rPr>
          <w:rFonts w:cstheme="minorHAnsi"/>
          <w:b/>
          <w:iCs/>
          <w:noProof/>
          <w:szCs w:val="24"/>
        </w:rPr>
        <w:t>2016</w:t>
      </w:r>
    </w:p>
    <w:p w:rsidR="00620F75" w:rsidRDefault="001F403D">
      <w:pPr>
        <w:keepNext/>
        <w:spacing w:line="360" w:lineRule="auto"/>
        <w:jc w:val="center"/>
        <w:rPr>
          <w:iCs/>
          <w:noProof/>
        </w:rPr>
      </w:pPr>
      <w:r>
        <w:rPr>
          <w:noProof/>
          <w:lang w:eastAsia="en-GB"/>
        </w:rPr>
        <w:drawing>
          <wp:inline distT="0" distB="0" distL="0" distR="0">
            <wp:extent cx="5238750" cy="3133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20F75" w:rsidRDefault="001F403D">
      <w:pPr>
        <w:spacing w:after="240"/>
        <w:rPr>
          <w:noProof/>
          <w:sz w:val="20"/>
          <w:lang w:val="en-US"/>
        </w:rPr>
      </w:pPr>
      <w:r>
        <w:rPr>
          <w:rFonts w:eastAsia="Times New Roman" w:cstheme="minorHAnsi"/>
          <w:noProof/>
          <w:sz w:val="20"/>
          <w:szCs w:val="20"/>
          <w:lang w:eastAsia="en-GB"/>
        </w:rPr>
        <w:t>Source: Eurostat, AES, 2011 and 2016, special data extraction for DG EMPL provided by Eurostat. Reading note: the indicator represents the share of adults aged 25-64 who report to have participated in at least one formal or non-formal education or training</w:t>
      </w:r>
      <w:r>
        <w:rPr>
          <w:rFonts w:eastAsia="Times New Roman" w:cstheme="minorHAnsi"/>
          <w:noProof/>
          <w:sz w:val="20"/>
          <w:szCs w:val="20"/>
          <w:lang w:eastAsia="en-GB"/>
        </w:rPr>
        <w:t xml:space="preserve"> activity, excluding guided on the job training or informal learning. The data is sorted according to the share of adult learning in 2011 in descending order. Data not available for Croatia in 2011. There is break in time series between 2011 and 2016 in Ir</w:t>
      </w:r>
      <w:r>
        <w:rPr>
          <w:rFonts w:eastAsia="Times New Roman" w:cstheme="minorHAnsi"/>
          <w:noProof/>
          <w:sz w:val="20"/>
          <w:szCs w:val="20"/>
          <w:lang w:eastAsia="en-GB"/>
        </w:rPr>
        <w:t xml:space="preserve">eland, Luxembourg and Sweden. </w:t>
      </w:r>
    </w:p>
    <w:p w:rsidR="00620F75" w:rsidRDefault="001F403D">
      <w:pPr>
        <w:rPr>
          <w:noProof/>
        </w:rPr>
      </w:pPr>
      <w:r>
        <w:rPr>
          <w:noProof/>
        </w:rPr>
        <w:lastRenderedPageBreak/>
        <w:t xml:space="preserve">Therefore, it is proposed for the analysis of adult participation in learning to rather use a more comprehensive measure, i.e. participation over a 12 months period. Based on the data from Adult Education Survey, in the EU27 </w:t>
      </w:r>
      <w:r>
        <w:rPr>
          <w:noProof/>
        </w:rPr>
        <w:t>adult learning participation rate has increased from 35% in 2011 to 37.9% in 2016.</w:t>
      </w:r>
    </w:p>
    <w:p w:rsidR="00620F75" w:rsidRDefault="001F403D">
      <w:pPr>
        <w:rPr>
          <w:rFonts w:cstheme="minorHAnsi"/>
          <w:noProof/>
          <w:color w:val="000000"/>
        </w:rPr>
      </w:pPr>
      <w:r>
        <w:rPr>
          <w:noProof/>
        </w:rPr>
        <w:t xml:space="preserve"> </w:t>
      </w:r>
    </w:p>
    <w:p w:rsidR="00620F75" w:rsidRDefault="001F403D">
      <w:pPr>
        <w:pStyle w:val="Heading2"/>
        <w:rPr>
          <w:noProof/>
          <w:lang w:val="en-US"/>
        </w:rPr>
      </w:pPr>
      <w:bookmarkStart w:id="39" w:name="_Toc34039139"/>
      <w:bookmarkStart w:id="40" w:name="_Toc34040440"/>
      <w:bookmarkStart w:id="41" w:name="_Toc34041697"/>
      <w:bookmarkStart w:id="42" w:name="_Toc34042199"/>
      <w:bookmarkStart w:id="43" w:name="_Toc32997301"/>
      <w:bookmarkStart w:id="44" w:name="_Toc43376097"/>
      <w:r>
        <w:rPr>
          <w:noProof/>
          <w:lang w:val="en-US"/>
        </w:rPr>
        <w:t>Member States progress towards common (Riga) priorities</w:t>
      </w:r>
      <w:bookmarkEnd w:id="39"/>
      <w:bookmarkEnd w:id="40"/>
      <w:bookmarkEnd w:id="41"/>
      <w:bookmarkEnd w:id="42"/>
      <w:bookmarkEnd w:id="43"/>
      <w:bookmarkEnd w:id="44"/>
      <w:r>
        <w:rPr>
          <w:noProof/>
          <w:lang w:val="en-US"/>
        </w:rPr>
        <w:t xml:space="preserve"> </w:t>
      </w:r>
    </w:p>
    <w:p w:rsidR="00620F75" w:rsidRDefault="001F403D">
      <w:pPr>
        <w:rPr>
          <w:noProof/>
        </w:rPr>
      </w:pPr>
      <w:r>
        <w:rPr>
          <w:noProof/>
        </w:rPr>
        <w:t>In 2002, the Copenhagen process has laid the foundations for a systemic approach in VET reforms at European level.</w:t>
      </w:r>
      <w:r>
        <w:rPr>
          <w:noProof/>
        </w:rPr>
        <w:t xml:space="preserve"> For nearly two decades, Member States, European Economic Area, candidate countries and European social partners have been working closely on joint priorities for vocational education and training (VET). Based on a long-term vision agreed in 2010 together </w:t>
      </w:r>
      <w:r>
        <w:rPr>
          <w:noProof/>
        </w:rPr>
        <w:t>with a set of shorter-term priority areas (Bruges communiqué), in 2015, they renewed their efforts in fewer and broader priority areas to raise quality and status of VET (Riga Conclusions). The Riga conclusions set five medium-term deliverables (MTDs), whi</w:t>
      </w:r>
      <w:r>
        <w:rPr>
          <w:noProof/>
        </w:rPr>
        <w:t xml:space="preserve">ch have been addressed by the countries to a different extent depending on their starting point and respective contexts. </w:t>
      </w:r>
    </w:p>
    <w:p w:rsidR="00620F75" w:rsidRDefault="001F403D">
      <w:pPr>
        <w:spacing w:after="120"/>
        <w:rPr>
          <w:noProof/>
        </w:rPr>
      </w:pPr>
      <w:r>
        <w:rPr>
          <w:noProof/>
        </w:rPr>
        <w:t>In a 2016 Cedefop survey, the Directors General for VET assigned relevant priority to the MTDs as follows (see Figure 1): strengthenin</w:t>
      </w:r>
      <w:r>
        <w:rPr>
          <w:noProof/>
        </w:rPr>
        <w:t>g work-based learning, with specific attention to apprenticeships (MTD 1), followed by access to VET and qualifications for all (MTD 3) and teacher and trainer professional development (MTD 5); quality assurance and feedback loops (MTD 2) and key competenc</w:t>
      </w:r>
      <w:r>
        <w:rPr>
          <w:noProof/>
        </w:rPr>
        <w:t>es (MTD 4) were ranked lower by the countries (Cedefop, 2016)</w:t>
      </w:r>
      <w:r>
        <w:rPr>
          <w:noProof/>
          <w:vertAlign w:val="superscript"/>
        </w:rPr>
        <w:footnoteReference w:id="39"/>
      </w:r>
      <w:r>
        <w:rPr>
          <w:noProof/>
        </w:rPr>
        <w:t xml:space="preserve">. </w:t>
      </w:r>
    </w:p>
    <w:p w:rsidR="00620F75" w:rsidRDefault="001F403D">
      <w:pPr>
        <w:keepNext/>
        <w:spacing w:after="60"/>
        <w:rPr>
          <w:rFonts w:cstheme="minorHAnsi"/>
          <w:b/>
          <w:iCs/>
          <w:noProof/>
          <w:szCs w:val="24"/>
        </w:rPr>
      </w:pPr>
      <w:r>
        <w:rPr>
          <w:rFonts w:cstheme="minorHAnsi"/>
          <w:b/>
          <w:iCs/>
          <w:noProof/>
          <w:szCs w:val="24"/>
        </w:rPr>
        <w:t>Figure 9 - Riga Priorities for 2016-20 in the EU-28+</w:t>
      </w:r>
    </w:p>
    <w:p w:rsidR="00620F75" w:rsidRDefault="001F403D">
      <w:pPr>
        <w:rPr>
          <w:noProof/>
        </w:rPr>
      </w:pPr>
      <w:r>
        <w:rPr>
          <w:noProof/>
          <w:lang w:eastAsia="en-GB"/>
        </w:rPr>
        <w:drawing>
          <wp:inline distT="0" distB="0" distL="0" distR="0">
            <wp:extent cx="5720144" cy="2707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4116" cy="2723721"/>
                    </a:xfrm>
                    <a:prstGeom prst="rect">
                      <a:avLst/>
                    </a:prstGeom>
                    <a:noFill/>
                  </pic:spPr>
                </pic:pic>
              </a:graphicData>
            </a:graphic>
          </wp:inline>
        </w:drawing>
      </w:r>
    </w:p>
    <w:p w:rsidR="00620F75" w:rsidRDefault="001F403D">
      <w:pPr>
        <w:pStyle w:val="Source"/>
        <w:rPr>
          <w:rFonts w:ascii="EC Square Sans Pro" w:hAnsi="EC Square Sans Pro"/>
          <w:noProof/>
        </w:rPr>
      </w:pPr>
      <w:r>
        <w:rPr>
          <w:rFonts w:ascii="EC Square Sans Pro" w:hAnsi="EC Square Sans Pro"/>
          <w:noProof/>
        </w:rPr>
        <w:t>NB: 26 respondents.</w:t>
      </w:r>
    </w:p>
    <w:p w:rsidR="00620F75" w:rsidRDefault="001F403D">
      <w:pPr>
        <w:pStyle w:val="Source"/>
        <w:rPr>
          <w:rFonts w:ascii="EC Square Sans Pro" w:hAnsi="EC Square Sans Pro"/>
          <w:noProof/>
          <w:sz w:val="22"/>
        </w:rPr>
      </w:pPr>
      <w:r>
        <w:rPr>
          <w:rFonts w:ascii="EC Square Sans Pro" w:hAnsi="EC Square Sans Pro"/>
          <w:i/>
          <w:noProof/>
          <w:sz w:val="22"/>
        </w:rPr>
        <w:t>Source</w:t>
      </w:r>
      <w:r>
        <w:rPr>
          <w:rFonts w:ascii="EC Square Sans Pro" w:hAnsi="EC Square Sans Pro"/>
          <w:noProof/>
          <w:sz w:val="22"/>
        </w:rPr>
        <w:t>:</w:t>
      </w:r>
      <w:r>
        <w:rPr>
          <w:rFonts w:ascii="EC Square Sans Pro" w:hAnsi="EC Square Sans Pro"/>
          <w:noProof/>
          <w:sz w:val="22"/>
        </w:rPr>
        <w:tab/>
      </w:r>
      <w:r>
        <w:rPr>
          <w:rFonts w:ascii="EC Square Sans Pro" w:hAnsi="EC Square Sans Pro"/>
          <w:noProof/>
          <w:sz w:val="22"/>
        </w:rPr>
        <w:t xml:space="preserve">Cedefop based on the survey among the Director Generals for VET in the Member States in 2016 (Cedefop, 2016). </w:t>
      </w:r>
    </w:p>
    <w:p w:rsidR="00620F75" w:rsidRDefault="001F403D">
      <w:pPr>
        <w:rPr>
          <w:noProof/>
        </w:rPr>
      </w:pPr>
      <w:r>
        <w:rPr>
          <w:noProof/>
        </w:rPr>
        <w:lastRenderedPageBreak/>
        <w:t>In its mandate, Cedefop has closely monitored and analysed the progress of EU28+ countries toward the agreed objectives, collecting evidence on c</w:t>
      </w:r>
      <w:r>
        <w:rPr>
          <w:noProof/>
        </w:rPr>
        <w:t xml:space="preserve">ommon trends, achievements and challenges and identifying examples of practice that can inspire others. </w:t>
      </w:r>
    </w:p>
    <w:p w:rsidR="00620F75" w:rsidRDefault="001F403D">
      <w:pPr>
        <w:pStyle w:val="Heading3"/>
        <w:rPr>
          <w:noProof/>
          <w:lang w:val="en-US"/>
        </w:rPr>
      </w:pPr>
      <w:bookmarkStart w:id="45" w:name="_Toc34039140"/>
      <w:bookmarkStart w:id="46" w:name="_Toc34040441"/>
      <w:bookmarkStart w:id="47" w:name="_Toc34041698"/>
      <w:bookmarkStart w:id="48" w:name="_Toc34042200"/>
      <w:bookmarkStart w:id="49" w:name="_Toc32997302"/>
      <w:bookmarkStart w:id="50" w:name="_Toc43376098"/>
      <w:r>
        <w:rPr>
          <w:noProof/>
          <w:lang w:val="en-US"/>
        </w:rPr>
        <w:t>Priority 1 - Promote work-based learning in all its forms, with special attention to apprenticeships</w:t>
      </w:r>
      <w:bookmarkEnd w:id="45"/>
      <w:bookmarkEnd w:id="46"/>
      <w:bookmarkEnd w:id="47"/>
      <w:bookmarkEnd w:id="48"/>
      <w:bookmarkEnd w:id="49"/>
      <w:bookmarkEnd w:id="50"/>
    </w:p>
    <w:p w:rsidR="00620F75" w:rsidRDefault="001F403D">
      <w:pPr>
        <w:spacing w:after="120"/>
        <w:rPr>
          <w:noProof/>
        </w:rPr>
      </w:pPr>
      <w:r>
        <w:rPr>
          <w:noProof/>
        </w:rPr>
        <w:t xml:space="preserve">Promoting </w:t>
      </w:r>
      <w:r>
        <w:rPr>
          <w:b/>
          <w:noProof/>
          <w:color w:val="0B6192"/>
        </w:rPr>
        <w:t>apprenticeships</w:t>
      </w:r>
      <w:r>
        <w:rPr>
          <w:noProof/>
          <w:color w:val="0B6192"/>
        </w:rPr>
        <w:t xml:space="preserve"> </w:t>
      </w:r>
      <w:r>
        <w:rPr>
          <w:noProof/>
        </w:rPr>
        <w:t xml:space="preserve">continued to be high on </w:t>
      </w:r>
      <w:r>
        <w:rPr>
          <w:noProof/>
        </w:rPr>
        <w:t xml:space="preserve">the European policy agenda and in 2015-19, apprenticeship and other forms of work-based learning (WBL) expanded and became central to several EU-level and many national actions and initiatives in VET. Most countries introduced system level reforms such as </w:t>
      </w:r>
      <w:r>
        <w:rPr>
          <w:noProof/>
        </w:rPr>
        <w:t>setting up or updating their legal frameworks, updating and clarifying rules and regulations or expanding apprenticeship to new programmes at higher levels. Some countries worked to clarify roles and responsibilities of different actors especially employer</w:t>
      </w:r>
      <w:r>
        <w:rPr>
          <w:noProof/>
        </w:rPr>
        <w:t xml:space="preserve"> organisations and chambers. This area will be on countries’ agenda for the years to come. </w:t>
      </w:r>
    </w:p>
    <w:p w:rsidR="00620F75" w:rsidRDefault="001F403D">
      <w:pPr>
        <w:keepNext/>
        <w:spacing w:after="60"/>
        <w:rPr>
          <w:rFonts w:cstheme="minorHAnsi"/>
          <w:b/>
          <w:iCs/>
          <w:noProof/>
          <w:szCs w:val="24"/>
        </w:rPr>
      </w:pPr>
      <w:r>
        <w:rPr>
          <w:rFonts w:cstheme="minorHAnsi"/>
          <w:b/>
          <w:iCs/>
          <w:noProof/>
          <w:szCs w:val="24"/>
        </w:rPr>
        <w:t>Example 1: Alliance for dual training in Spain; Baltic alliance for apprenticeships and work-based learning</w:t>
      </w:r>
    </w:p>
    <w:tbl>
      <w:tblPr>
        <w:tblStyle w:val="TableGrid"/>
        <w:tblW w:w="0" w:type="auto"/>
        <w:tblInd w:w="108" w:type="dxa"/>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072"/>
      </w:tblGrid>
      <w:tr w:rsidR="00620F75">
        <w:tc>
          <w:tcPr>
            <w:tcW w:w="9072" w:type="dxa"/>
          </w:tcPr>
          <w:p w:rsidR="00620F75" w:rsidRDefault="001F403D">
            <w:pPr>
              <w:rPr>
                <w:noProof/>
              </w:rPr>
            </w:pPr>
            <w:r>
              <w:rPr>
                <w:noProof/>
              </w:rPr>
              <w:t xml:space="preserve">In Spain, the Alliance for dual training was created in </w:t>
            </w:r>
            <w:r>
              <w:rPr>
                <w:noProof/>
              </w:rPr>
              <w:t>2015. It is a network of companies, VET institutions and research centres to support the development of dual VET through creating a quality dual training model, assisting SMEs participating in dual VET, and contributing in improving legislation. To be admi</w:t>
            </w:r>
            <w:r>
              <w:rPr>
                <w:noProof/>
              </w:rPr>
              <w:t>tted to the alliance, companies must have remuneration systems for their apprentices, ensure that trainers and tutors are properly trained, and involve higher level managers in dual VET</w:t>
            </w:r>
            <w:r>
              <w:rPr>
                <w:rStyle w:val="FootnoteReference"/>
                <w:noProof/>
              </w:rPr>
              <w:footnoteReference w:id="40"/>
            </w:r>
            <w:r>
              <w:rPr>
                <w:noProof/>
              </w:rPr>
              <w:t>.</w:t>
            </w:r>
          </w:p>
          <w:p w:rsidR="00620F75" w:rsidRDefault="001F403D">
            <w:pPr>
              <w:rPr>
                <w:noProof/>
              </w:rPr>
            </w:pPr>
            <w:r>
              <w:rPr>
                <w:noProof/>
              </w:rPr>
              <w:t>Latvia together with Estonia and Lithuania, launched the Baltic alli</w:t>
            </w:r>
            <w:r>
              <w:rPr>
                <w:noProof/>
              </w:rPr>
              <w:t>ance for apprenticeship and work-based learning in 2015, which aimed to involve social partners and VET providers in promoting work-based learning/apprenticeships and make VET more attractive</w:t>
            </w:r>
            <w:r>
              <w:rPr>
                <w:rStyle w:val="FootnoteReference"/>
                <w:noProof/>
              </w:rPr>
              <w:footnoteReference w:id="41"/>
            </w:r>
            <w:r>
              <w:rPr>
                <w:noProof/>
              </w:rPr>
              <w:t>.</w:t>
            </w:r>
          </w:p>
          <w:p w:rsidR="00620F75" w:rsidRDefault="001F403D">
            <w:pPr>
              <w:rPr>
                <w:noProof/>
              </w:rPr>
            </w:pPr>
            <w:r>
              <w:rPr>
                <w:i/>
                <w:noProof/>
                <w:sz w:val="22"/>
              </w:rPr>
              <w:t>Source: Cedefop</w:t>
            </w:r>
          </w:p>
        </w:tc>
      </w:tr>
    </w:tbl>
    <w:p w:rsidR="00620F75" w:rsidRDefault="001F403D">
      <w:pPr>
        <w:spacing w:line="280" w:lineRule="exact"/>
        <w:rPr>
          <w:noProof/>
        </w:rPr>
      </w:pPr>
      <w:r>
        <w:rPr>
          <w:noProof/>
        </w:rPr>
        <w:t xml:space="preserve">Many countries focused on making apprenticeships more attractive for employers and learners. </w:t>
      </w:r>
      <w:r>
        <w:rPr>
          <w:rFonts w:eastAsia="Calibri"/>
          <w:noProof/>
        </w:rPr>
        <w:t>Incentives are increasingly used to encourage enterprises to offer training places; most of these are financial subsidies or tax exemptions. Some countries have st</w:t>
      </w:r>
      <w:r>
        <w:rPr>
          <w:rFonts w:eastAsia="Calibri"/>
          <w:noProof/>
        </w:rPr>
        <w:t xml:space="preserve">arted designing non-financial incentives such as developing ‘labels’ and certificates to companies to recognise the quality apprenticeship they provide.  </w:t>
      </w:r>
      <w:r>
        <w:rPr>
          <w:noProof/>
        </w:rPr>
        <w:t xml:space="preserve"> </w:t>
      </w:r>
    </w:p>
    <w:p w:rsidR="00620F75" w:rsidRDefault="001F403D">
      <w:pPr>
        <w:rPr>
          <w:noProof/>
        </w:rPr>
      </w:pPr>
      <w:r>
        <w:rPr>
          <w:b/>
          <w:noProof/>
          <w:color w:val="0B6192"/>
        </w:rPr>
        <w:t xml:space="preserve">School-business cooperation </w:t>
      </w:r>
      <w:r>
        <w:rPr>
          <w:noProof/>
        </w:rPr>
        <w:t>was reinforced through increased participation of labour market stakehol</w:t>
      </w:r>
      <w:r>
        <w:rPr>
          <w:noProof/>
        </w:rPr>
        <w:t>ders, sharing responsibilities and strengthening partnerships in shaping VET, in programme design and teaching. Despite the efforts this area requires more attention and further exchange through peer learning as well as increased matchmaking between school</w:t>
      </w:r>
      <w:r>
        <w:rPr>
          <w:noProof/>
        </w:rPr>
        <w:t xml:space="preserve">s and businesses.. The findings of Cedefop’s thematic country reviews on </w:t>
      </w:r>
      <w:r>
        <w:rPr>
          <w:noProof/>
        </w:rPr>
        <w:lastRenderedPageBreak/>
        <w:t>apprenticeship conducted in 2014-2018</w:t>
      </w:r>
      <w:r>
        <w:rPr>
          <w:rStyle w:val="FootnoteReference"/>
          <w:noProof/>
        </w:rPr>
        <w:footnoteReference w:id="42"/>
      </w:r>
      <w:r>
        <w:rPr>
          <w:noProof/>
        </w:rPr>
        <w:t xml:space="preserve"> point out that countries find it particularly difficult to distribute and coordinate learning that happens at school with that at the workplace.</w:t>
      </w:r>
      <w:r>
        <w:rPr>
          <w:noProof/>
        </w:rPr>
        <w:t xml:space="preserve"> </w:t>
      </w:r>
    </w:p>
    <w:p w:rsidR="00620F75" w:rsidRDefault="001F403D">
      <w:pPr>
        <w:keepNext/>
        <w:spacing w:after="60"/>
        <w:rPr>
          <w:rFonts w:cstheme="minorHAnsi"/>
          <w:b/>
          <w:iCs/>
          <w:noProof/>
          <w:szCs w:val="24"/>
        </w:rPr>
      </w:pPr>
      <w:r>
        <w:rPr>
          <w:rFonts w:cstheme="minorHAnsi"/>
          <w:b/>
          <w:iCs/>
          <w:noProof/>
          <w:szCs w:val="24"/>
        </w:rPr>
        <w:t>Example 2: Labour market and education cooperation programme in Estonia; Office Francophone de la Formation en Alternance in Belgium-Fr</w:t>
      </w:r>
    </w:p>
    <w:tbl>
      <w:tblPr>
        <w:tblStyle w:val="TableGrid"/>
        <w:tblW w:w="0" w:type="auto"/>
        <w:tblInd w:w="108" w:type="dxa"/>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072"/>
      </w:tblGrid>
      <w:tr w:rsidR="00620F75">
        <w:tc>
          <w:tcPr>
            <w:tcW w:w="9072" w:type="dxa"/>
          </w:tcPr>
          <w:p w:rsidR="00620F75" w:rsidRDefault="001F403D">
            <w:pPr>
              <w:rPr>
                <w:noProof/>
              </w:rPr>
            </w:pPr>
            <w:r>
              <w:rPr>
                <w:noProof/>
              </w:rPr>
              <w:t>In Estonia, within the framework of the Labour market and education cooperation</w:t>
            </w:r>
            <w:r>
              <w:rPr>
                <w:rFonts w:ascii="Calibri" w:hAnsi="Calibri" w:cs="Calibri"/>
                <w:noProof/>
              </w:rPr>
              <w:t> </w:t>
            </w:r>
            <w:r>
              <w:rPr>
                <w:noProof/>
              </w:rPr>
              <w:t>programme, education-business coordinators were introduced into schools, tasked with finding enterprise partners and coordinating cooperation in apprenticeships training. VET schools received support to strengthen cooperation between employers and educatio</w:t>
            </w:r>
            <w:r>
              <w:rPr>
                <w:noProof/>
              </w:rPr>
              <w:t xml:space="preserve">n institutions for developing work-based learning </w:t>
            </w:r>
            <w:r>
              <w:rPr>
                <w:rStyle w:val="FootnoteReference"/>
                <w:noProof/>
              </w:rPr>
              <w:footnoteReference w:id="43"/>
            </w:r>
            <w:r>
              <w:rPr>
                <w:noProof/>
              </w:rPr>
              <w:t>.</w:t>
            </w:r>
          </w:p>
          <w:p w:rsidR="00620F75" w:rsidRDefault="001F403D">
            <w:pPr>
              <w:rPr>
                <w:noProof/>
              </w:rPr>
            </w:pPr>
            <w:r>
              <w:rPr>
                <w:noProof/>
              </w:rPr>
              <w:t>In the French Community of Belgium, the Office Francophone de la Formation en Alternance (OFFA) was established in September 2015, and mandated for steering, promoting, developing and coordinating appren</w:t>
            </w:r>
            <w:r>
              <w:rPr>
                <w:noProof/>
              </w:rPr>
              <w:t>ticeships. OFFA’s purposes include harmonising practices in the framework of the apprenticeship contract; centralising accreditation of companies; and centralising and processing applications from companies for incentives</w:t>
            </w:r>
            <w:r>
              <w:rPr>
                <w:rStyle w:val="FootnoteReference"/>
                <w:noProof/>
              </w:rPr>
              <w:footnoteReference w:id="44"/>
            </w:r>
            <w:r>
              <w:rPr>
                <w:noProof/>
              </w:rPr>
              <w:t>.</w:t>
            </w:r>
          </w:p>
          <w:p w:rsidR="00620F75" w:rsidRDefault="001F403D">
            <w:pPr>
              <w:rPr>
                <w:noProof/>
              </w:rPr>
            </w:pPr>
            <w:r>
              <w:rPr>
                <w:noProof/>
              </w:rPr>
              <w:t>Source: Cedefop</w:t>
            </w:r>
          </w:p>
        </w:tc>
      </w:tr>
    </w:tbl>
    <w:p w:rsidR="00620F75" w:rsidRDefault="001F403D">
      <w:pPr>
        <w:rPr>
          <w:noProof/>
        </w:rPr>
      </w:pPr>
      <w:r>
        <w:rPr>
          <w:noProof/>
        </w:rPr>
        <w:t>Evidence reveal</w:t>
      </w:r>
      <w:r>
        <w:rPr>
          <w:noProof/>
        </w:rPr>
        <w:t>s that countries worked to boost the involvement of SMEs in providing WBL and apprenticeship and SMEs will remain one of the key target group of policy actions in the future.</w:t>
      </w:r>
    </w:p>
    <w:p w:rsidR="00620F75" w:rsidRDefault="001F403D">
      <w:pPr>
        <w:keepNext/>
        <w:spacing w:after="60"/>
        <w:rPr>
          <w:rFonts w:cstheme="minorHAnsi"/>
          <w:b/>
          <w:iCs/>
          <w:noProof/>
          <w:szCs w:val="24"/>
        </w:rPr>
      </w:pPr>
      <w:r>
        <w:rPr>
          <w:rFonts w:cstheme="minorHAnsi"/>
          <w:b/>
          <w:iCs/>
          <w:noProof/>
          <w:szCs w:val="24"/>
        </w:rPr>
        <w:t>Example 3: Support to SMEs – various countries</w:t>
      </w:r>
    </w:p>
    <w:tbl>
      <w:tblPr>
        <w:tblStyle w:val="TableGrid"/>
        <w:tblW w:w="0" w:type="auto"/>
        <w:tblInd w:w="108" w:type="dxa"/>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072"/>
      </w:tblGrid>
      <w:tr w:rsidR="00620F75">
        <w:tc>
          <w:tcPr>
            <w:tcW w:w="9072" w:type="dxa"/>
          </w:tcPr>
          <w:p w:rsidR="00620F75" w:rsidRDefault="001F403D">
            <w:pPr>
              <w:rPr>
                <w:noProof/>
              </w:rPr>
            </w:pPr>
            <w:r>
              <w:rPr>
                <w:noProof/>
              </w:rPr>
              <w:t>SMEs were provided with methodolog</w:t>
            </w:r>
            <w:r>
              <w:rPr>
                <w:noProof/>
              </w:rPr>
              <w:t xml:space="preserve">ical guidelines and toolkits for quality placements and took part in training workshops (e.g. Croatia, Cyprus, Germany, Latvia and Poland). Apprenticeship advisors were trained to provide companies with administrative assistance and apprenticeship support </w:t>
            </w:r>
            <w:r>
              <w:rPr>
                <w:noProof/>
              </w:rPr>
              <w:t>services (e.g. Croatia). For employers that can only provide partial placements, shared apprenticeship was put in place, where apprentices move between different employers (e.g. Wales). And finally, databases of SMEs interested in apprenticeships were crea</w:t>
            </w:r>
            <w:r>
              <w:rPr>
                <w:noProof/>
              </w:rPr>
              <w:t>ted to support schools’ and learners’ search for placements (e.g. Croatia)</w:t>
            </w:r>
            <w:r>
              <w:rPr>
                <w:rStyle w:val="FootnoteReference"/>
                <w:noProof/>
              </w:rPr>
              <w:footnoteReference w:id="45"/>
            </w:r>
            <w:r>
              <w:rPr>
                <w:noProof/>
              </w:rPr>
              <w:t xml:space="preserve">. </w:t>
            </w:r>
          </w:p>
          <w:p w:rsidR="00620F75" w:rsidRDefault="001F403D">
            <w:pPr>
              <w:rPr>
                <w:noProof/>
              </w:rPr>
            </w:pPr>
            <w:r>
              <w:rPr>
                <w:i/>
                <w:noProof/>
                <w:sz w:val="22"/>
              </w:rPr>
              <w:t>Source: Cedefop</w:t>
            </w:r>
          </w:p>
        </w:tc>
      </w:tr>
    </w:tbl>
    <w:p w:rsidR="00620F75" w:rsidRDefault="001F403D">
      <w:pPr>
        <w:rPr>
          <w:noProof/>
        </w:rPr>
      </w:pPr>
      <w:r>
        <w:rPr>
          <w:noProof/>
        </w:rPr>
        <w:t xml:space="preserve">Some countries strengthened the work-based component of their school-based programmes by requiring more VET programmes to include practical training, increasing </w:t>
      </w:r>
      <w:r>
        <w:rPr>
          <w:noProof/>
        </w:rPr>
        <w:t xml:space="preserve">the </w:t>
      </w:r>
      <w:r>
        <w:rPr>
          <w:noProof/>
        </w:rPr>
        <w:lastRenderedPageBreak/>
        <w:t xml:space="preserve">duration of practical training and set up coordination functions to support school-business cooperation (e.g. Estonia, Lithuania, Romania, and Slovenia).  </w:t>
      </w:r>
    </w:p>
    <w:p w:rsidR="00620F75" w:rsidRDefault="001F403D">
      <w:pPr>
        <w:pStyle w:val="Heading3"/>
        <w:rPr>
          <w:noProof/>
          <w:lang w:val="en-US"/>
        </w:rPr>
      </w:pPr>
      <w:bookmarkStart w:id="51" w:name="_Toc34039141"/>
      <w:bookmarkStart w:id="52" w:name="_Toc34040442"/>
      <w:bookmarkStart w:id="53" w:name="_Toc34041699"/>
      <w:bookmarkStart w:id="54" w:name="_Toc34042201"/>
      <w:bookmarkStart w:id="55" w:name="_Toc32997303"/>
      <w:bookmarkStart w:id="56" w:name="_Toc43376099"/>
      <w:r>
        <w:rPr>
          <w:noProof/>
          <w:lang w:val="en-US"/>
        </w:rPr>
        <w:t>Priority 2 - develop quality assurance mechanisms in VET and continuous information and feedback</w:t>
      </w:r>
      <w:r>
        <w:rPr>
          <w:noProof/>
          <w:lang w:val="en-US"/>
        </w:rPr>
        <w:t xml:space="preserve"> loops</w:t>
      </w:r>
      <w:bookmarkEnd w:id="51"/>
      <w:bookmarkEnd w:id="52"/>
      <w:bookmarkEnd w:id="53"/>
      <w:bookmarkEnd w:id="54"/>
      <w:bookmarkEnd w:id="55"/>
      <w:bookmarkEnd w:id="56"/>
    </w:p>
    <w:p w:rsidR="00620F75" w:rsidRDefault="001F403D">
      <w:pPr>
        <w:rPr>
          <w:noProof/>
        </w:rPr>
      </w:pPr>
      <w:r>
        <w:rPr>
          <w:noProof/>
        </w:rPr>
        <w:t xml:space="preserve">By 2019, all countries had developed a national approach to quality assurance (QA). Many countries worked on revising their regulatory frameworks (e.g. Croatia, Estonia, Latvia, Portugal, Scotland), either as part of a greater VET reform or in some </w:t>
      </w:r>
      <w:r>
        <w:rPr>
          <w:noProof/>
        </w:rPr>
        <w:t xml:space="preserve">cases focusing on consolidating their fragmented approaches (e.g. Croatia) and establishing comprehensive practices across the country and different sectors of education and training (e.g. Austria, Bulgaria, Italy, Slovenia). </w:t>
      </w:r>
    </w:p>
    <w:p w:rsidR="00620F75" w:rsidRDefault="001F403D">
      <w:pPr>
        <w:rPr>
          <w:noProof/>
        </w:rPr>
      </w:pPr>
      <w:r>
        <w:rPr>
          <w:noProof/>
        </w:rPr>
        <w:t xml:space="preserve">Many developments focused on </w:t>
      </w:r>
      <w:r>
        <w:rPr>
          <w:noProof/>
        </w:rPr>
        <w:t>quality of VET providers: promoting self-assessment in VET schools (mostly in IVET) to introduce a culture of continuous improvement; further developing external evaluation practices, introducing quality observatories (e.g. Luxembourg), inspection bodies (</w:t>
      </w:r>
      <w:r>
        <w:rPr>
          <w:noProof/>
        </w:rPr>
        <w:t>e.g. Bulgaria, French-speaking Belgium, Norway) and making quality agreements with VET providers systematic (e.g. the Netherlands). The analysis of the countries’ approaches to quality assurance of VET providers shows a significant variation in terms of fl</w:t>
      </w:r>
      <w:r>
        <w:rPr>
          <w:noProof/>
        </w:rPr>
        <w:t xml:space="preserve">exibility on the mandatory or optional nature of self-assessment, on the bodies and the types of external monitoring, and the types and number of indicators used. The variation can be explained by the differences in the way VET is organised and the degree </w:t>
      </w:r>
      <w:r>
        <w:rPr>
          <w:noProof/>
        </w:rPr>
        <w:t xml:space="preserve">of autonomy of VET providers. </w:t>
      </w:r>
    </w:p>
    <w:p w:rsidR="00620F75" w:rsidRDefault="001F403D">
      <w:pPr>
        <w:rPr>
          <w:noProof/>
        </w:rPr>
      </w:pPr>
      <w:r>
        <w:rPr>
          <w:noProof/>
        </w:rPr>
        <w:t>In most cases, self-assessment and external evaluation work hand in hand and support putting in practice the use of the quality cycle, an important element of the EQAVET Recommendation. The Quality Assurance National Referenc</w:t>
      </w:r>
      <w:r>
        <w:rPr>
          <w:noProof/>
        </w:rPr>
        <w:t xml:space="preserve">e Points supported quality assurance related developments, using the expertise provided by the EQAVET community of practice. They shared examples of good practice with other network members, participated in peer review activities and used Erasmus+ funding </w:t>
      </w:r>
      <w:r>
        <w:rPr>
          <w:noProof/>
        </w:rPr>
        <w:t xml:space="preserve">to support the developments and implementation of their national approaches.  </w:t>
      </w:r>
    </w:p>
    <w:p w:rsidR="00620F75" w:rsidRDefault="001F403D">
      <w:pPr>
        <w:rPr>
          <w:noProof/>
        </w:rPr>
      </w:pPr>
      <w:r>
        <w:rPr>
          <w:noProof/>
        </w:rPr>
        <w:t xml:space="preserve">The analysis of national developments also calls for closer links between quality assurance efforts and other policy areas. Few countries linked quality assurance to developing </w:t>
      </w:r>
      <w:r>
        <w:rPr>
          <w:noProof/>
        </w:rPr>
        <w:t>methodologies for qualification design and review (e.g. Portugal), certification and examination processes (e.g. Greece, the Netherlands, Poland); and expanded quality assurance to work-based learning and apprenticeships (e.g. France, Germany, Greece, Latv</w:t>
      </w:r>
      <w:r>
        <w:rPr>
          <w:noProof/>
        </w:rPr>
        <w:t xml:space="preserve">ia, Portugal). </w:t>
      </w:r>
    </w:p>
    <w:p w:rsidR="00620F75" w:rsidRDefault="001F403D">
      <w:pPr>
        <w:rPr>
          <w:noProof/>
        </w:rPr>
      </w:pPr>
      <w:r>
        <w:rPr>
          <w:b/>
          <w:noProof/>
          <w:color w:val="0B6192"/>
        </w:rPr>
        <w:t>Anticipating training needs</w:t>
      </w:r>
      <w:r>
        <w:rPr>
          <w:noProof/>
          <w:color w:val="0B6192"/>
        </w:rPr>
        <w:t xml:space="preserve"> </w:t>
      </w:r>
      <w:r>
        <w:rPr>
          <w:noProof/>
        </w:rPr>
        <w:t>is a crucial element of feedback loop to improve the quality and relevance of VET. Most countries have some mechanism to inform national, regional and local authorities responsible for VET, training providers, public employment service and employers in pla</w:t>
      </w:r>
      <w:r>
        <w:rPr>
          <w:noProof/>
        </w:rPr>
        <w:t>nning of VET; some combine available statistical data with qualitative information to identify technological trends and societal changes to project future skills demand in the labour market. About one third of the countries started developing comprehensive</w:t>
      </w:r>
      <w:r>
        <w:rPr>
          <w:noProof/>
        </w:rPr>
        <w:t xml:space="preserve"> forecasting mechanisms. Cedefop </w:t>
      </w:r>
      <w:r>
        <w:rPr>
          <w:rStyle w:val="FootnoteReference"/>
          <w:noProof/>
        </w:rPr>
        <w:footnoteReference w:id="46"/>
      </w:r>
      <w:r>
        <w:rPr>
          <w:noProof/>
        </w:rPr>
        <w:t xml:space="preserve"> supported </w:t>
      </w:r>
      <w:r>
        <w:rPr>
          <w:bCs/>
          <w:noProof/>
        </w:rPr>
        <w:t xml:space="preserve">Bulgaria, Estonia, Greece, Iceland, Malta and Slovakia </w:t>
      </w:r>
      <w:r>
        <w:rPr>
          <w:noProof/>
        </w:rPr>
        <w:t xml:space="preserve">in their endeavour to improve anticipation methods, build their </w:t>
      </w:r>
      <w:r>
        <w:rPr>
          <w:noProof/>
        </w:rPr>
        <w:lastRenderedPageBreak/>
        <w:t>capacity on skills and labour market intelligence and put in place effective policies and ac</w:t>
      </w:r>
      <w:r>
        <w:rPr>
          <w:noProof/>
        </w:rPr>
        <w:t>tions to tackle skills mismatch.</w:t>
      </w:r>
    </w:p>
    <w:p w:rsidR="00620F75" w:rsidRDefault="001F403D">
      <w:pPr>
        <w:rPr>
          <w:noProof/>
        </w:rPr>
      </w:pPr>
      <w:r>
        <w:rPr>
          <w:noProof/>
        </w:rPr>
        <w:t>Setting up mechanisms to assess, anticipate and respond to skill needs is not enough. To be able to translate labour market intelligence into effective policies requires collaboration of different stakeholders. Evidence sho</w:t>
      </w:r>
      <w:r>
        <w:rPr>
          <w:noProof/>
        </w:rPr>
        <w:t>ws that countries set up advisory bodies to inform policy making, such as government agencies, sector skills councils (e.g. Hungary, Latvia), national and/or regional education councils (e.g. Greece, Latvia, Poland), and forums for national and/or regional</w:t>
      </w:r>
      <w:r>
        <w:rPr>
          <w:noProof/>
        </w:rPr>
        <w:t xml:space="preserve"> public debate on education and training (e.g. England, Ireland, Luxemburg). A closer look at the composition of these advisory bodies points to the need of more involving teachers, learners and employee representatives. There is also an increased need for</w:t>
      </w:r>
      <w:r>
        <w:rPr>
          <w:noProof/>
        </w:rPr>
        <w:t xml:space="preserve"> local and regional autonomy in programme development and closer cooperation between providers and employers in keeping VET relevant to regional and local needs. </w:t>
      </w:r>
    </w:p>
    <w:p w:rsidR="00620F75" w:rsidRDefault="001F403D">
      <w:pPr>
        <w:keepNext/>
        <w:spacing w:after="60"/>
        <w:rPr>
          <w:rFonts w:cstheme="minorHAnsi"/>
          <w:b/>
          <w:iCs/>
          <w:noProof/>
          <w:szCs w:val="24"/>
        </w:rPr>
      </w:pPr>
      <w:r>
        <w:rPr>
          <w:rFonts w:cstheme="minorHAnsi"/>
          <w:b/>
          <w:iCs/>
          <w:noProof/>
          <w:szCs w:val="24"/>
        </w:rPr>
        <w:t>Example 4: OSKA surveys in Estonia</w:t>
      </w:r>
    </w:p>
    <w:tbl>
      <w:tblPr>
        <w:tblStyle w:val="TableGrid"/>
        <w:tblW w:w="0" w:type="auto"/>
        <w:tblInd w:w="108" w:type="dxa"/>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072"/>
      </w:tblGrid>
      <w:tr w:rsidR="00620F75">
        <w:tc>
          <w:tcPr>
            <w:tcW w:w="9072" w:type="dxa"/>
          </w:tcPr>
          <w:p w:rsidR="00620F75" w:rsidRDefault="001F403D">
            <w:pPr>
              <w:rPr>
                <w:noProof/>
              </w:rPr>
            </w:pPr>
            <w:r>
              <w:rPr>
                <w:noProof/>
              </w:rPr>
              <w:t xml:space="preserve">In Estonia, the Ministries of Education, Economic Affairs </w:t>
            </w:r>
            <w:r>
              <w:rPr>
                <w:noProof/>
              </w:rPr>
              <w:t>and Social Affairs, in cooperation with employers and representatives from other ministries, launched a system for regular forecasting, monitoring, and feedback on labour market needs (OSKA). OSKA’s surveys on sectoral needs for labour and skills use a com</w:t>
            </w:r>
            <w:r>
              <w:rPr>
                <w:noProof/>
              </w:rPr>
              <w:t>bination of qualitative and quantitative research methods and analyse professional qualifications across all education levels. Results of this analysis and projections form the basis for several activities: establishing qualifications; career guidance serv</w:t>
            </w:r>
            <w:r>
              <w:rPr>
                <w:noProof/>
              </w:rPr>
              <w:t>ices; curriculum design by education institutions; aiding authorities that finance learning activities. Active and content-driven participation by employers in the lifelong learning system is a prerequisite to making this approach a success. The first OSKA</w:t>
            </w:r>
            <w:r>
              <w:rPr>
                <w:noProof/>
              </w:rPr>
              <w:t xml:space="preserve"> reports in 2016-17 focused on ICT, accounting, forestry and the timber industry, metal products, machinery, social work, healthcare, production of chemicals, rubber, plastic and construction materials, energy and mining. An overview of global and domestic</w:t>
            </w:r>
            <w:r>
              <w:rPr>
                <w:noProof/>
              </w:rPr>
              <w:t xml:space="preserve"> trends influencing labour supply and demand in the country was also published. The first labour market overview, conclusions and proposals based on the surveys were presented to the Estonian Government in spring 2017. The government will receive a summary</w:t>
            </w:r>
            <w:r>
              <w:rPr>
                <w:noProof/>
              </w:rPr>
              <w:t xml:space="preserve"> of OSKA results every year.</w:t>
            </w:r>
          </w:p>
          <w:p w:rsidR="00620F75" w:rsidRDefault="001F403D">
            <w:pPr>
              <w:rPr>
                <w:noProof/>
                <w:sz w:val="22"/>
              </w:rPr>
            </w:pPr>
            <w:r>
              <w:rPr>
                <w:i/>
                <w:noProof/>
                <w:sz w:val="22"/>
              </w:rPr>
              <w:t>Source:</w:t>
            </w:r>
            <w:r>
              <w:rPr>
                <w:noProof/>
                <w:sz w:val="22"/>
              </w:rPr>
              <w:t xml:space="preserve"> Cedefop (2020, forthcoming). Enhancing European cooperation in VET: Outcomes of the Riga round. Progress in common priorities for 2015-20.</w:t>
            </w:r>
          </w:p>
        </w:tc>
      </w:tr>
    </w:tbl>
    <w:p w:rsidR="00620F75" w:rsidRDefault="001F403D">
      <w:pPr>
        <w:rPr>
          <w:noProof/>
        </w:rPr>
      </w:pPr>
      <w:r>
        <w:rPr>
          <w:noProof/>
        </w:rPr>
        <w:t>Transition and employability of VET graduates</w:t>
      </w:r>
      <w:r>
        <w:rPr>
          <w:b/>
          <w:noProof/>
        </w:rPr>
        <w:t xml:space="preserve"> </w:t>
      </w:r>
      <w:r>
        <w:rPr>
          <w:noProof/>
        </w:rPr>
        <w:t xml:space="preserve">has come to focus as the </w:t>
      </w:r>
      <w:r>
        <w:rPr>
          <w:rFonts w:cs="Arial"/>
          <w:noProof/>
        </w:rPr>
        <w:t>information on outcomes is not collected systematically. M</w:t>
      </w:r>
      <w:r>
        <w:rPr>
          <w:noProof/>
        </w:rPr>
        <w:t xml:space="preserve">any countries work to develop monitoring systems of </w:t>
      </w:r>
      <w:r>
        <w:rPr>
          <w:b/>
          <w:noProof/>
          <w:color w:val="0B6192"/>
        </w:rPr>
        <w:t xml:space="preserve">graduate tracking </w:t>
      </w:r>
      <w:r>
        <w:rPr>
          <w:noProof/>
        </w:rPr>
        <w:t>(Croatia, Cyprus, Poland, Sweden), mainly through statistical tools as well as the setting up of specialised bodies (e.g. French</w:t>
      </w:r>
      <w:r>
        <w:rPr>
          <w:noProof/>
        </w:rPr>
        <w:t xml:space="preserve">-speaking Belgium).  To set up graduate tracking countries report </w:t>
      </w:r>
      <w:r>
        <w:rPr>
          <w:rFonts w:cs="Arial"/>
          <w:noProof/>
        </w:rPr>
        <w:t xml:space="preserve">the obstacles posed by data protection regulations, the cost of collecting such data and the capacity needed at system level to interpret and use these data to inform VET.  </w:t>
      </w:r>
      <w:r>
        <w:rPr>
          <w:noProof/>
        </w:rPr>
        <w:t xml:space="preserve"> </w:t>
      </w:r>
    </w:p>
    <w:p w:rsidR="00620F75" w:rsidRDefault="001F403D">
      <w:pPr>
        <w:keepNext/>
        <w:spacing w:after="60"/>
        <w:rPr>
          <w:rFonts w:cstheme="minorHAnsi"/>
          <w:b/>
          <w:iCs/>
          <w:noProof/>
          <w:szCs w:val="24"/>
        </w:rPr>
      </w:pPr>
      <w:r>
        <w:rPr>
          <w:rFonts w:cstheme="minorHAnsi"/>
          <w:b/>
          <w:iCs/>
          <w:noProof/>
          <w:szCs w:val="24"/>
        </w:rPr>
        <w:t>Example 5: Grad</w:t>
      </w:r>
      <w:r>
        <w:rPr>
          <w:rFonts w:cstheme="minorHAnsi"/>
          <w:b/>
          <w:iCs/>
          <w:noProof/>
          <w:szCs w:val="24"/>
        </w:rPr>
        <w:t>uate tracking in Ireland, Belgium-Nl and Poland</w:t>
      </w:r>
    </w:p>
    <w:tbl>
      <w:tblPr>
        <w:tblStyle w:val="TableGrid"/>
        <w:tblW w:w="0" w:type="auto"/>
        <w:tblInd w:w="108" w:type="dxa"/>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180"/>
      </w:tblGrid>
      <w:tr w:rsidR="00620F75">
        <w:tc>
          <w:tcPr>
            <w:tcW w:w="9180" w:type="dxa"/>
          </w:tcPr>
          <w:p w:rsidR="00620F75" w:rsidRDefault="001F403D">
            <w:pPr>
              <w:rPr>
                <w:noProof/>
              </w:rPr>
            </w:pPr>
            <w:r>
              <w:rPr>
                <w:noProof/>
              </w:rPr>
              <w:t>In Ireland, the Department of Social Protection and the Further Education and Training Authority (SOLAS) agreed on a data sharing protocol to develop and implement a data infrastructure to support VET provisi</w:t>
            </w:r>
            <w:r>
              <w:rPr>
                <w:noProof/>
              </w:rPr>
              <w:t>on and policy</w:t>
            </w:r>
            <w:r>
              <w:rPr>
                <w:rStyle w:val="FootnoteReference"/>
                <w:noProof/>
              </w:rPr>
              <w:footnoteReference w:id="47"/>
            </w:r>
            <w:r>
              <w:rPr>
                <w:noProof/>
              </w:rPr>
              <w:t>.</w:t>
            </w:r>
          </w:p>
          <w:p w:rsidR="00620F75" w:rsidRDefault="001F403D">
            <w:pPr>
              <w:rPr>
                <w:noProof/>
              </w:rPr>
            </w:pPr>
            <w:r>
              <w:rPr>
                <w:noProof/>
              </w:rPr>
              <w:lastRenderedPageBreak/>
              <w:t>In Dutch-speaking Belgium, the Flemish Public Employment Service (VDAB) and the Flemish Ministry of Education and Training agreed that schools will</w:t>
            </w:r>
            <w:r>
              <w:rPr>
                <w:rFonts w:ascii="Calibri" w:hAnsi="Calibri" w:cs="Calibri"/>
                <w:noProof/>
              </w:rPr>
              <w:t> </w:t>
            </w:r>
            <w:r>
              <w:rPr>
                <w:noProof/>
              </w:rPr>
              <w:t>receive data on both progression of their graduates towards higher education (as was the cas</w:t>
            </w:r>
            <w:r>
              <w:rPr>
                <w:noProof/>
              </w:rPr>
              <w:t>e so far) and the transition of their IVET graduates to the labour market</w:t>
            </w:r>
            <w:r>
              <w:rPr>
                <w:rStyle w:val="FootnoteReference"/>
                <w:noProof/>
              </w:rPr>
              <w:footnoteReference w:id="48"/>
            </w:r>
            <w:r>
              <w:rPr>
                <w:noProof/>
              </w:rPr>
              <w:t xml:space="preserve">. </w:t>
            </w:r>
          </w:p>
          <w:p w:rsidR="00620F75" w:rsidRDefault="001F403D">
            <w:pPr>
              <w:rPr>
                <w:noProof/>
              </w:rPr>
            </w:pPr>
            <w:r>
              <w:rPr>
                <w:noProof/>
              </w:rPr>
              <w:t>In Poland, the Educational Research Institute launched an ESF co-financed project to develop a system to track the educational and professional trajectories of VET graduates at th</w:t>
            </w:r>
            <w:r>
              <w:rPr>
                <w:noProof/>
              </w:rPr>
              <w:t>e national, regional, local and school levels. The project has been using administrative data from the social security administration (for professional trajectories) and educational resources (for educational trajectories). First results and recommendation</w:t>
            </w:r>
            <w:r>
              <w:rPr>
                <w:noProof/>
              </w:rPr>
              <w:t>s are expected for 2019</w:t>
            </w:r>
            <w:r>
              <w:rPr>
                <w:rStyle w:val="FootnoteReference"/>
                <w:noProof/>
              </w:rPr>
              <w:footnoteReference w:id="49"/>
            </w:r>
            <w:r>
              <w:rPr>
                <w:noProof/>
              </w:rPr>
              <w:t xml:space="preserve">. </w:t>
            </w:r>
          </w:p>
          <w:p w:rsidR="00620F75" w:rsidRDefault="001F403D">
            <w:pPr>
              <w:rPr>
                <w:noProof/>
                <w:sz w:val="22"/>
              </w:rPr>
            </w:pPr>
            <w:r>
              <w:rPr>
                <w:i/>
                <w:noProof/>
                <w:sz w:val="22"/>
              </w:rPr>
              <w:t>Source:</w:t>
            </w:r>
            <w:r>
              <w:rPr>
                <w:noProof/>
                <w:sz w:val="22"/>
              </w:rPr>
              <w:t xml:space="preserve"> Cedefop (2020, forthcoming). Enhancing European cooperation in VET: Outcomes of the Riga round. Progress in common priorities for 2015-20.</w:t>
            </w:r>
          </w:p>
        </w:tc>
      </w:tr>
    </w:tbl>
    <w:p w:rsidR="00620F75" w:rsidRDefault="001F403D">
      <w:pPr>
        <w:pStyle w:val="Heading3"/>
        <w:rPr>
          <w:noProof/>
          <w:lang w:val="en-US"/>
        </w:rPr>
      </w:pPr>
      <w:bookmarkStart w:id="57" w:name="_Toc34039142"/>
      <w:bookmarkStart w:id="58" w:name="_Toc34040443"/>
      <w:bookmarkStart w:id="59" w:name="_Toc34041700"/>
      <w:bookmarkStart w:id="60" w:name="_Toc34042202"/>
      <w:bookmarkStart w:id="61" w:name="_Toc32997304"/>
      <w:bookmarkStart w:id="62" w:name="_Toc43376100"/>
      <w:r>
        <w:rPr>
          <w:noProof/>
          <w:lang w:val="en-US"/>
        </w:rPr>
        <w:lastRenderedPageBreak/>
        <w:t>Priority 3 - access to VET and qualifications for all</w:t>
      </w:r>
      <w:bookmarkEnd w:id="57"/>
      <w:bookmarkEnd w:id="58"/>
      <w:bookmarkEnd w:id="59"/>
      <w:bookmarkEnd w:id="60"/>
      <w:bookmarkEnd w:id="61"/>
      <w:bookmarkEnd w:id="62"/>
    </w:p>
    <w:p w:rsidR="00620F75" w:rsidRDefault="001F403D">
      <w:pPr>
        <w:rPr>
          <w:noProof/>
        </w:rPr>
      </w:pPr>
      <w:r>
        <w:rPr>
          <w:noProof/>
        </w:rPr>
        <w:t>To address the multidimensional scope of the MTD, countries worked on the following areas: training, reskilling and upskilling vulnerable groups; increasing permeability and flexibility; improving guidance services; recognition and validation of non-formal</w:t>
      </w:r>
      <w:r>
        <w:rPr>
          <w:noProof/>
        </w:rPr>
        <w:t xml:space="preserve"> and informal learning; transparency of qualifications and promoting equal opportunities for all. </w:t>
      </w:r>
    </w:p>
    <w:p w:rsidR="00620F75" w:rsidRDefault="001F403D">
      <w:pPr>
        <w:rPr>
          <w:rFonts w:cs="Arial"/>
          <w:noProof/>
        </w:rPr>
      </w:pPr>
      <w:r>
        <w:rPr>
          <w:noProof/>
        </w:rPr>
        <w:t xml:space="preserve">Almost all countries acted to </w:t>
      </w:r>
      <w:r>
        <w:rPr>
          <w:b/>
          <w:noProof/>
          <w:color w:val="0B6192"/>
        </w:rPr>
        <w:t>train, reskill and upskill at-risk groups</w:t>
      </w:r>
      <w:r>
        <w:rPr>
          <w:noProof/>
        </w:rPr>
        <w:t xml:space="preserve">, </w:t>
      </w:r>
      <w:r>
        <w:rPr>
          <w:rFonts w:cs="Arial"/>
          <w:noProof/>
        </w:rPr>
        <w:t>such as early school leavers and young people not in employment, education and train</w:t>
      </w:r>
      <w:r>
        <w:rPr>
          <w:rFonts w:cs="Arial"/>
          <w:noProof/>
        </w:rPr>
        <w:t xml:space="preserve">ing (NEETs), low-skilled, unemployed, </w:t>
      </w:r>
      <w:r>
        <w:rPr>
          <w:noProof/>
        </w:rPr>
        <w:t>employed people at risk of becoming jobless, parents on (or after) a parental leave,</w:t>
      </w:r>
      <w:r>
        <w:rPr>
          <w:rFonts w:cs="Arial"/>
          <w:noProof/>
        </w:rPr>
        <w:t xml:space="preserve"> youth from disadvantaged urban areas, young people with learning difficulties, people with disabilities, senior workers, refugees and</w:t>
      </w:r>
      <w:r>
        <w:rPr>
          <w:rFonts w:cs="Arial"/>
          <w:noProof/>
        </w:rPr>
        <w:t xml:space="preserve"> other migrants. Among the approaches, countries developed training courses for the different target groups (most typical approach); apprenticeship and internship schemes (e.g. Bulgaria, Czechia, French-speaking and German-speaking Belgium, Sweden); establ</w:t>
      </w:r>
      <w:r>
        <w:rPr>
          <w:rFonts w:cs="Arial"/>
          <w:noProof/>
        </w:rPr>
        <w:t>ished training guarantee programmes (e.g. Austria, Germany), scholarships or financial support for training (e.g. Bulgaria, England, Estonia, Germany, Lithuania, Spain, Sweden). In few countries, the approaches to upskilling low skilled adults aligned with</w:t>
      </w:r>
      <w:r>
        <w:rPr>
          <w:rFonts w:cs="Arial"/>
          <w:noProof/>
        </w:rPr>
        <w:t xml:space="preserve"> the three-stage pattern</w:t>
      </w:r>
      <w:r>
        <w:rPr>
          <w:rStyle w:val="FootnoteReference"/>
          <w:rFonts w:cs="Arial"/>
          <w:noProof/>
        </w:rPr>
        <w:footnoteReference w:id="50"/>
      </w:r>
      <w:r>
        <w:rPr>
          <w:rFonts w:cs="Arial"/>
          <w:noProof/>
        </w:rPr>
        <w:t xml:space="preserve"> of the Upskilling pathways Recommendation and most often in relation to refugees and migrants (e.g. Austria, Finland, Germany, Poland, Sweden).</w:t>
      </w:r>
    </w:p>
    <w:p w:rsidR="00620F75" w:rsidRDefault="00620F75">
      <w:pPr>
        <w:keepNext/>
        <w:spacing w:after="60"/>
        <w:rPr>
          <w:rFonts w:cstheme="minorHAnsi"/>
          <w:b/>
          <w:iCs/>
          <w:noProof/>
          <w:szCs w:val="24"/>
        </w:rPr>
      </w:pPr>
    </w:p>
    <w:p w:rsidR="00620F75" w:rsidRDefault="001F403D">
      <w:pPr>
        <w:keepNext/>
        <w:spacing w:after="60"/>
        <w:rPr>
          <w:rFonts w:cstheme="minorHAnsi"/>
          <w:b/>
          <w:iCs/>
          <w:noProof/>
          <w:szCs w:val="24"/>
        </w:rPr>
      </w:pPr>
      <w:r>
        <w:rPr>
          <w:rFonts w:cstheme="minorHAnsi"/>
          <w:b/>
          <w:iCs/>
          <w:noProof/>
          <w:szCs w:val="24"/>
        </w:rPr>
        <w:t xml:space="preserve">Example 6: Alliance for initial and further training in Germany </w:t>
      </w:r>
    </w:p>
    <w:p w:rsidR="00620F75" w:rsidRDefault="001F403D">
      <w:pPr>
        <w:pBdr>
          <w:top w:val="single" w:sz="4" w:space="1" w:color="auto"/>
          <w:left w:val="single" w:sz="4" w:space="4" w:color="auto"/>
          <w:bottom w:val="single" w:sz="4" w:space="1" w:color="auto"/>
          <w:right w:val="single" w:sz="4" w:space="4" w:color="auto"/>
        </w:pBdr>
        <w:spacing w:line="280" w:lineRule="exact"/>
        <w:rPr>
          <w:rFonts w:cs="Arial"/>
          <w:noProof/>
        </w:rPr>
      </w:pPr>
      <w:r>
        <w:rPr>
          <w:rFonts w:cs="Arial"/>
          <w:noProof/>
        </w:rPr>
        <w:t>In Germany, the 2015</w:t>
      </w:r>
      <w:r>
        <w:rPr>
          <w:rFonts w:cs="Arial"/>
          <w:noProof/>
        </w:rPr>
        <w:t>-18 Alliance for initial and further training between the Federal Government, the Länder, business and industry, unions and the federal employment agency aimed to reduce the number of young people without school certificate and give each person in need a p</w:t>
      </w:r>
      <w:r>
        <w:rPr>
          <w:rFonts w:cs="Arial"/>
          <w:noProof/>
        </w:rPr>
        <w:t xml:space="preserve">ath that can lead to a VET qualification. Within the alliance, sectors have committed to providing 20 000 places annually for introductory training. 17 500 young people took up this type of training in 2015 while in 2018 they were 21 000 </w:t>
      </w:r>
      <w:r>
        <w:rPr>
          <w:rStyle w:val="FootnoteReference"/>
          <w:rFonts w:cs="Arial"/>
          <w:noProof/>
        </w:rPr>
        <w:footnoteReference w:id="51"/>
      </w:r>
      <w:r>
        <w:rPr>
          <w:rFonts w:cs="Arial"/>
          <w:noProof/>
        </w:rPr>
        <w:t>.</w:t>
      </w:r>
    </w:p>
    <w:p w:rsidR="00620F75" w:rsidRDefault="001F403D">
      <w:pPr>
        <w:pBdr>
          <w:top w:val="single" w:sz="4" w:space="1" w:color="auto"/>
          <w:left w:val="single" w:sz="4" w:space="4" w:color="auto"/>
          <w:bottom w:val="single" w:sz="4" w:space="1" w:color="auto"/>
          <w:right w:val="single" w:sz="4" w:space="4" w:color="auto"/>
        </w:pBdr>
        <w:rPr>
          <w:rFonts w:cs="Arial"/>
          <w:noProof/>
        </w:rPr>
      </w:pPr>
      <w:r>
        <w:rPr>
          <w:i/>
          <w:noProof/>
          <w:szCs w:val="20"/>
        </w:rPr>
        <w:t>Source: Cedefop</w:t>
      </w:r>
      <w:r>
        <w:rPr>
          <w:i/>
          <w:noProof/>
          <w:szCs w:val="20"/>
        </w:rPr>
        <w:t>.</w:t>
      </w:r>
      <w:r>
        <w:rPr>
          <w:rFonts w:cs="Arial"/>
          <w:noProof/>
        </w:rPr>
        <w:t xml:space="preserve"> </w:t>
      </w:r>
    </w:p>
    <w:p w:rsidR="00620F75" w:rsidRDefault="001F403D">
      <w:pPr>
        <w:rPr>
          <w:noProof/>
        </w:rPr>
      </w:pPr>
      <w:r>
        <w:rPr>
          <w:noProof/>
        </w:rPr>
        <w:t xml:space="preserve">To allow learners a smooth progression in education and training systems, countries worked to increase their </w:t>
      </w:r>
      <w:r>
        <w:rPr>
          <w:b/>
          <w:noProof/>
          <w:color w:val="0B6192"/>
        </w:rPr>
        <w:t>permeability and flexibility</w:t>
      </w:r>
      <w:r>
        <w:rPr>
          <w:noProof/>
          <w:color w:val="0B6192"/>
        </w:rPr>
        <w:t xml:space="preserve"> </w:t>
      </w:r>
      <w:r>
        <w:rPr>
          <w:noProof/>
        </w:rPr>
        <w:t>through setting up new pathways and bridging routes (e.g. Denmark, Estonia, Germany, Greece, Luxembourg, Norway, Slovakia); making admission, progression and examination rules more flexible (e.g. Estonia, Norway, Spain, Sweden); opening up VET to general e</w:t>
      </w:r>
      <w:r>
        <w:rPr>
          <w:noProof/>
        </w:rPr>
        <w:t xml:space="preserve">ducation and higher education students (e.g. Germany, Norway); and introducing modularisation and partial qualifications in IVET and CVET (e.g. Cyprus, the Czech Republic, Latvia, Lithuania, the Netherlands, Norway, Sweden). </w:t>
      </w:r>
    </w:p>
    <w:p w:rsidR="00620F75" w:rsidRDefault="001F403D">
      <w:pPr>
        <w:rPr>
          <w:noProof/>
        </w:rPr>
      </w:pPr>
      <w:r>
        <w:rPr>
          <w:noProof/>
        </w:rPr>
        <w:t>According to Cedefop monitorin</w:t>
      </w:r>
      <w:r>
        <w:rPr>
          <w:noProof/>
        </w:rPr>
        <w:t>g of the EQF/NQF implementation</w:t>
      </w:r>
      <w:r>
        <w:rPr>
          <w:rStyle w:val="FootnoteReference"/>
          <w:noProof/>
        </w:rPr>
        <w:footnoteReference w:id="52"/>
      </w:r>
      <w:r>
        <w:rPr>
          <w:noProof/>
        </w:rPr>
        <w:t xml:space="preserve">, all countries have developed or have revised their qualification frameworks; the coverage of NQFs has been increasing and their comprehensive character is becoming stronger. The impact of the NQFs is growing in particular </w:t>
      </w:r>
      <w:r>
        <w:rPr>
          <w:noProof/>
        </w:rPr>
        <w:t>in the review and renewal of qualification standards and in promoting stakeholder involvement, as comprehensive frameworks act as platforms for cooperation across educational sub-systems and education and labour market. There is a growing trend among count</w:t>
      </w:r>
      <w:r>
        <w:rPr>
          <w:noProof/>
        </w:rPr>
        <w:t>ries to open up their frameworks to include qualifications awarded outside the formal system by labour market stakeholders and international organisations. It is important that work continues in this direction in order to further increase the international</w:t>
      </w:r>
      <w:r>
        <w:rPr>
          <w:noProof/>
        </w:rPr>
        <w:t xml:space="preserve"> dimension of VET. A challenge that needs to be addressed in the future is to continue communicating the benefits and added value of EQF/NQFs to end-users. A concrete example is to systematically include EQF and NQF levels on qualification documents and in</w:t>
      </w:r>
      <w:r>
        <w:rPr>
          <w:noProof/>
        </w:rPr>
        <w:t xml:space="preserve"> registers of qualifications. </w:t>
      </w:r>
    </w:p>
    <w:p w:rsidR="00620F75" w:rsidRDefault="001F403D">
      <w:pPr>
        <w:rPr>
          <w:noProof/>
        </w:rPr>
      </w:pPr>
      <w:r>
        <w:rPr>
          <w:noProof/>
        </w:rPr>
        <w:t xml:space="preserve">Since 2015, efforts in most countries have been made towards integrated and quality </w:t>
      </w:r>
      <w:r>
        <w:rPr>
          <w:b/>
          <w:noProof/>
          <w:color w:val="0B6192"/>
        </w:rPr>
        <w:t>guidance</w:t>
      </w:r>
      <w:r>
        <w:rPr>
          <w:noProof/>
          <w:color w:val="0B6192"/>
        </w:rPr>
        <w:t xml:space="preserve"> </w:t>
      </w:r>
      <w:r>
        <w:rPr>
          <w:noProof/>
        </w:rPr>
        <w:t>services. Countries concentrated on revising procedures, training teachers who have guidance tasks, extending services to broader ag</w:t>
      </w:r>
      <w:r>
        <w:rPr>
          <w:noProof/>
        </w:rPr>
        <w:t>e and social groups; e-tools with integrated matching and self-help tools have become prominent in the last years. Despite the number of initiatives implemented by countries, the challenge remains to seize perceiving guidance as an ad-hoc service and embed</w:t>
      </w:r>
      <w:r>
        <w:rPr>
          <w:noProof/>
        </w:rPr>
        <w:t xml:space="preserve"> it into the lifelong learning process. It is important that countries follow a holistic approach to guidance and counselling involving stakeholders and linking it to skills assessment, validation and certification at any transition points from education t</w:t>
      </w:r>
      <w:r>
        <w:rPr>
          <w:noProof/>
        </w:rPr>
        <w:t xml:space="preserve">o work and within both. </w:t>
      </w:r>
    </w:p>
    <w:p w:rsidR="00620F75" w:rsidRDefault="001F403D">
      <w:pPr>
        <w:keepNext/>
        <w:spacing w:after="60"/>
        <w:rPr>
          <w:rFonts w:cstheme="minorHAnsi"/>
          <w:b/>
          <w:iCs/>
          <w:noProof/>
          <w:szCs w:val="24"/>
        </w:rPr>
      </w:pPr>
      <w:r>
        <w:rPr>
          <w:rFonts w:cstheme="minorHAnsi"/>
          <w:b/>
          <w:iCs/>
          <w:noProof/>
          <w:szCs w:val="24"/>
        </w:rPr>
        <w:lastRenderedPageBreak/>
        <w:t xml:space="preserve">Example 7: Guidance for all learners in Sweden </w:t>
      </w:r>
    </w:p>
    <w:p w:rsidR="00620F75" w:rsidRDefault="001F403D">
      <w:pPr>
        <w:pBdr>
          <w:top w:val="single" w:sz="4" w:space="1" w:color="auto"/>
          <w:left w:val="single" w:sz="4" w:space="4" w:color="auto"/>
          <w:bottom w:val="single" w:sz="4" w:space="1" w:color="auto"/>
          <w:right w:val="single" w:sz="4" w:space="4" w:color="auto"/>
        </w:pBdr>
        <w:spacing w:line="280" w:lineRule="exact"/>
        <w:rPr>
          <w:noProof/>
        </w:rPr>
      </w:pPr>
      <w:r>
        <w:rPr>
          <w:noProof/>
        </w:rPr>
        <w:t>In Sweden, the Government proposed in January 2019 an amendment to the Education Act aiming to introduce individual career guidance for all learners. Compulsory education would includ</w:t>
      </w:r>
      <w:r>
        <w:rPr>
          <w:noProof/>
        </w:rPr>
        <w:t>e an activity called ‘Future choices’ of a total 80 hours in grades 7 to 9 to teach learners about working life, career paths and vocational areas before they proceed to upper secondary education</w:t>
      </w:r>
      <w:r>
        <w:rPr>
          <w:rStyle w:val="FootnoteReference"/>
          <w:noProof/>
        </w:rPr>
        <w:footnoteReference w:id="53"/>
      </w:r>
      <w:r>
        <w:rPr>
          <w:noProof/>
        </w:rPr>
        <w:t>.</w:t>
      </w:r>
    </w:p>
    <w:p w:rsidR="00620F75" w:rsidRDefault="001F403D">
      <w:pPr>
        <w:pBdr>
          <w:top w:val="single" w:sz="4" w:space="1" w:color="auto"/>
          <w:left w:val="single" w:sz="4" w:space="4" w:color="auto"/>
          <w:bottom w:val="single" w:sz="4" w:space="1" w:color="auto"/>
          <w:right w:val="single" w:sz="4" w:space="4" w:color="auto"/>
        </w:pBdr>
        <w:rPr>
          <w:rFonts w:cs="Arial"/>
          <w:noProof/>
        </w:rPr>
      </w:pPr>
      <w:r>
        <w:rPr>
          <w:i/>
          <w:noProof/>
          <w:szCs w:val="20"/>
        </w:rPr>
        <w:t>Source: Cedefop.</w:t>
      </w:r>
      <w:r>
        <w:rPr>
          <w:rFonts w:cs="Arial"/>
          <w:noProof/>
        </w:rPr>
        <w:t xml:space="preserve"> </w:t>
      </w:r>
    </w:p>
    <w:p w:rsidR="00620F75" w:rsidRDefault="001F403D">
      <w:pPr>
        <w:rPr>
          <w:b/>
          <w:noProof/>
        </w:rPr>
      </w:pPr>
      <w:r>
        <w:rPr>
          <w:rFonts w:cs="Arial"/>
          <w:noProof/>
        </w:rPr>
        <w:t>Most countries have reinforced their wor</w:t>
      </w:r>
      <w:r>
        <w:rPr>
          <w:rFonts w:cs="Arial"/>
          <w:noProof/>
        </w:rPr>
        <w:t xml:space="preserve">k on </w:t>
      </w:r>
      <w:r>
        <w:rPr>
          <w:rFonts w:cs="Arial"/>
          <w:b/>
          <w:noProof/>
          <w:color w:val="0B6192"/>
        </w:rPr>
        <w:t>validating</w:t>
      </w:r>
      <w:r>
        <w:rPr>
          <w:rFonts w:cs="Arial"/>
          <w:noProof/>
          <w:color w:val="0B6192"/>
        </w:rPr>
        <w:t xml:space="preserve"> </w:t>
      </w:r>
      <w:r>
        <w:rPr>
          <w:rFonts w:cs="Arial"/>
          <w:b/>
          <w:noProof/>
          <w:color w:val="0B6192"/>
        </w:rPr>
        <w:t>non-formal and informal learning,</w:t>
      </w:r>
      <w:r>
        <w:rPr>
          <w:rFonts w:cs="Arial"/>
          <w:b/>
          <w:noProof/>
        </w:rPr>
        <w:t xml:space="preserve"> </w:t>
      </w:r>
      <w:r>
        <w:rPr>
          <w:noProof/>
        </w:rPr>
        <w:t>moving towards the creation of overarching strategies and tackling the existing fragmentation of validation systems</w:t>
      </w:r>
      <w:r>
        <w:rPr>
          <w:rStyle w:val="FootnoteReference"/>
          <w:noProof/>
        </w:rPr>
        <w:footnoteReference w:id="54"/>
      </w:r>
      <w:r>
        <w:rPr>
          <w:noProof/>
        </w:rPr>
        <w:t>. The youth guarantee, the Council recommendation on upskilling pathways, measures for lon</w:t>
      </w:r>
      <w:r>
        <w:rPr>
          <w:noProof/>
        </w:rPr>
        <w:t xml:space="preserve">g-term unemployed and large inflow of migrants in recent years have contributed to using validation more widely. Major challenges on validation in VET seem to be the professionalisation of validation practitioners who are not required to have any training </w:t>
      </w:r>
      <w:r>
        <w:rPr>
          <w:noProof/>
        </w:rPr>
        <w:t>and the offer of this training is limited. Monitoring and evaluation of the efficiency and effectiveness of existing validation initiatives remains limited, although more countries are establishing quality assurance systems specifically for validation. The</w:t>
      </w:r>
      <w:r>
        <w:rPr>
          <w:noProof/>
        </w:rPr>
        <w:t>re is limited information on the number of people that goes through validation. In addition, there is still room for better coordination between validation and wider career guidance management practices.</w:t>
      </w:r>
      <w:r>
        <w:rPr>
          <w:b/>
          <w:noProof/>
        </w:rPr>
        <w:t xml:space="preserve"> </w:t>
      </w:r>
    </w:p>
    <w:p w:rsidR="00620F75" w:rsidRDefault="001F403D">
      <w:pPr>
        <w:pStyle w:val="Heading3"/>
        <w:rPr>
          <w:noProof/>
          <w:lang w:val="en-US"/>
        </w:rPr>
      </w:pPr>
      <w:r>
        <w:rPr>
          <w:noProof/>
          <w:lang w:val="en-US"/>
        </w:rPr>
        <w:t xml:space="preserve"> </w:t>
      </w:r>
      <w:bookmarkStart w:id="63" w:name="_Toc34039143"/>
      <w:bookmarkStart w:id="64" w:name="_Toc34040444"/>
      <w:bookmarkStart w:id="65" w:name="_Toc34041701"/>
      <w:bookmarkStart w:id="66" w:name="_Toc34042203"/>
      <w:bookmarkStart w:id="67" w:name="_Toc32997305"/>
      <w:bookmarkStart w:id="68" w:name="_Toc43376101"/>
      <w:r>
        <w:rPr>
          <w:noProof/>
          <w:lang w:val="en-US"/>
        </w:rPr>
        <w:t>Priority 4 – strengthen key competences</w:t>
      </w:r>
      <w:bookmarkEnd w:id="63"/>
      <w:bookmarkEnd w:id="64"/>
      <w:bookmarkEnd w:id="65"/>
      <w:bookmarkEnd w:id="66"/>
      <w:bookmarkEnd w:id="67"/>
      <w:bookmarkEnd w:id="68"/>
    </w:p>
    <w:p w:rsidR="00620F75" w:rsidRDefault="001F403D">
      <w:pPr>
        <w:rPr>
          <w:noProof/>
        </w:rPr>
      </w:pPr>
      <w:r>
        <w:rPr>
          <w:noProof/>
        </w:rPr>
        <w:t>Key compet</w:t>
      </w:r>
      <w:r>
        <w:rPr>
          <w:noProof/>
        </w:rPr>
        <w:t>ences are high on the skills demand that employers look for and they received due attention in the countries’ education and training policies through setting up strategies and action plans; revising programmes and curricula; improving methods for assessmen</w:t>
      </w:r>
      <w:r>
        <w:rPr>
          <w:noProof/>
        </w:rPr>
        <w:t xml:space="preserve">t of key competences; and training of teachers and trainers on learning key competences. </w:t>
      </w:r>
      <w:r>
        <w:rPr>
          <w:rFonts w:cs="Arial"/>
          <w:noProof/>
        </w:rPr>
        <w:t xml:space="preserve">EU initiatives, e.g. </w:t>
      </w:r>
      <w:r>
        <w:rPr>
          <w:noProof/>
        </w:rPr>
        <w:t xml:space="preserve">the EU frameworks for key competences, languages (CEFR), entrepreneurial (EntreComp) and digital competences (DigComp), </w:t>
      </w:r>
      <w:r>
        <w:rPr>
          <w:rFonts w:cs="Arial"/>
          <w:noProof/>
        </w:rPr>
        <w:t xml:space="preserve">affect these policies </w:t>
      </w:r>
      <w:r>
        <w:rPr>
          <w:rStyle w:val="FootnoteReference"/>
          <w:rFonts w:cs="Arial"/>
          <w:noProof/>
        </w:rPr>
        <w:footnoteReference w:id="55"/>
      </w:r>
      <w:r>
        <w:rPr>
          <w:rFonts w:cs="Arial"/>
          <w:noProof/>
        </w:rPr>
        <w:t xml:space="preserve">. </w:t>
      </w:r>
    </w:p>
    <w:p w:rsidR="00620F75" w:rsidRDefault="001F403D">
      <w:pPr>
        <w:rPr>
          <w:noProof/>
        </w:rPr>
      </w:pPr>
      <w:r>
        <w:rPr>
          <w:noProof/>
        </w:rPr>
        <w:t xml:space="preserve">Digital competences, competences in science, technology and maths, country and foreign languages, entrepreneurship and financial literacy were among most frequently addressed while learning to learn, social and civic competences and cultural awareness and </w:t>
      </w:r>
      <w:r>
        <w:rPr>
          <w:noProof/>
        </w:rPr>
        <w:t>expression competences received less attention. Sometimes, national policies address key competences as a package, aiming mainly to raise awareness and set a vision, rather than embedding them into the system. A trend to develop tools in support to key com</w:t>
      </w:r>
      <w:r>
        <w:rPr>
          <w:noProof/>
        </w:rPr>
        <w:t>petences (competence mapping tools, tools to support the acquisition of digital skills, learning-to-learn, entrepreneurship competence and other emerging key competences) is on the rise.</w:t>
      </w:r>
    </w:p>
    <w:p w:rsidR="00620F75" w:rsidRDefault="001F403D">
      <w:pPr>
        <w:rPr>
          <w:rFonts w:cs="Arial"/>
          <w:bCs/>
          <w:noProof/>
        </w:rPr>
      </w:pPr>
      <w:r>
        <w:rPr>
          <w:rFonts w:cs="Arial"/>
          <w:b/>
          <w:bCs/>
          <w:noProof/>
          <w:color w:val="0B6192"/>
        </w:rPr>
        <w:t xml:space="preserve">Digital competences </w:t>
      </w:r>
      <w:r>
        <w:rPr>
          <w:rFonts w:cs="Arial"/>
          <w:bCs/>
          <w:noProof/>
        </w:rPr>
        <w:t>attracted most attention among the countries.</w:t>
      </w:r>
      <w:r>
        <w:rPr>
          <w:noProof/>
        </w:rPr>
        <w:t xml:space="preserve"> </w:t>
      </w:r>
      <w:r>
        <w:rPr>
          <w:rFonts w:cs="Arial"/>
          <w:bCs/>
          <w:noProof/>
        </w:rPr>
        <w:t xml:space="preserve">There is an increase in inter-ministerial/ inter-departmental cooperation towards addressing digital competences </w:t>
      </w:r>
      <w:r>
        <w:rPr>
          <w:rFonts w:cs="Arial"/>
          <w:bCs/>
          <w:noProof/>
        </w:rPr>
        <w:lastRenderedPageBreak/>
        <w:t>in VET; also establishing of dedicated authorities for digital affairs. Comprehensive digital strategies addressing learners and teachers as we</w:t>
      </w:r>
      <w:r>
        <w:rPr>
          <w:rFonts w:cs="Arial"/>
          <w:bCs/>
          <w:noProof/>
        </w:rPr>
        <w:t xml:space="preserve">ll as the provision of appropriate infrastructure and learning tools have been designed (e.g. Austria, Croatia, Estonia, French-speaking Belgium, Luxembourg, Norway). Courses on digital skills, the internet and programming have been offered in schools and </w:t>
      </w:r>
      <w:r>
        <w:rPr>
          <w:rFonts w:cs="Arial"/>
          <w:bCs/>
          <w:noProof/>
        </w:rPr>
        <w:t xml:space="preserve">to the wide public including disadvantaged groups (e.g. Bulgaria, Croatia, Cyprus, the Czech Republic, French-speaking Belgium, Luxembourg). </w:t>
      </w:r>
    </w:p>
    <w:p w:rsidR="00620F75" w:rsidRDefault="00620F75">
      <w:pPr>
        <w:rPr>
          <w:rFonts w:cs="Arial"/>
          <w:bCs/>
          <w:noProof/>
        </w:rPr>
      </w:pPr>
    </w:p>
    <w:p w:rsidR="00620F75" w:rsidRDefault="001F403D">
      <w:pPr>
        <w:keepNext/>
        <w:spacing w:after="60"/>
        <w:rPr>
          <w:rFonts w:cstheme="minorHAnsi"/>
          <w:b/>
          <w:iCs/>
          <w:noProof/>
          <w:szCs w:val="24"/>
        </w:rPr>
      </w:pPr>
      <w:r>
        <w:rPr>
          <w:rFonts w:cstheme="minorHAnsi"/>
          <w:b/>
          <w:iCs/>
          <w:noProof/>
          <w:szCs w:val="24"/>
        </w:rPr>
        <w:t xml:space="preserve">Example 8: Digital skills programmes in Germany, Italy, Cyprus, Ireland </w:t>
      </w:r>
    </w:p>
    <w:p w:rsidR="00620F75" w:rsidRDefault="001F403D">
      <w:pPr>
        <w:pBdr>
          <w:top w:val="single" w:sz="4" w:space="1" w:color="auto"/>
          <w:left w:val="single" w:sz="4" w:space="4" w:color="auto"/>
          <w:bottom w:val="single" w:sz="4" w:space="1" w:color="auto"/>
          <w:right w:val="single" w:sz="4" w:space="4" w:color="auto"/>
        </w:pBdr>
        <w:spacing w:line="280" w:lineRule="exact"/>
        <w:rPr>
          <w:rFonts w:cs="Arial"/>
          <w:bCs/>
          <w:noProof/>
        </w:rPr>
      </w:pPr>
      <w:r>
        <w:rPr>
          <w:rFonts w:cs="Arial"/>
          <w:bCs/>
          <w:noProof/>
        </w:rPr>
        <w:t xml:space="preserve">In Germany and Italy, funding and tax incentives were provided to support investment that contributes to the acquisition of digital competence. </w:t>
      </w:r>
    </w:p>
    <w:p w:rsidR="00620F75" w:rsidRDefault="001F403D">
      <w:pPr>
        <w:pBdr>
          <w:top w:val="single" w:sz="4" w:space="1" w:color="auto"/>
          <w:left w:val="single" w:sz="4" w:space="4" w:color="auto"/>
          <w:bottom w:val="single" w:sz="4" w:space="1" w:color="auto"/>
          <w:right w:val="single" w:sz="4" w:space="4" w:color="auto"/>
        </w:pBdr>
        <w:spacing w:line="280" w:lineRule="exact"/>
        <w:rPr>
          <w:rFonts w:cs="Arial"/>
          <w:bCs/>
          <w:noProof/>
        </w:rPr>
      </w:pPr>
      <w:r>
        <w:rPr>
          <w:rFonts w:cs="Arial"/>
          <w:bCs/>
          <w:noProof/>
        </w:rPr>
        <w:t xml:space="preserve">Cyprus introduced the European Computer Driving License (ECDL) Certification Programme, for participation on a </w:t>
      </w:r>
      <w:r>
        <w:rPr>
          <w:rFonts w:cs="Arial"/>
          <w:bCs/>
          <w:noProof/>
        </w:rPr>
        <w:t xml:space="preserve">voluntary and free-of-charge basis. </w:t>
      </w:r>
    </w:p>
    <w:p w:rsidR="00620F75" w:rsidRDefault="001F403D">
      <w:pPr>
        <w:pBdr>
          <w:top w:val="single" w:sz="4" w:space="1" w:color="auto"/>
          <w:left w:val="single" w:sz="4" w:space="4" w:color="auto"/>
          <w:bottom w:val="single" w:sz="4" w:space="1" w:color="auto"/>
          <w:right w:val="single" w:sz="4" w:space="4" w:color="auto"/>
        </w:pBdr>
        <w:spacing w:line="280" w:lineRule="exact"/>
        <w:rPr>
          <w:rFonts w:cs="Arial"/>
          <w:bCs/>
          <w:noProof/>
        </w:rPr>
      </w:pPr>
      <w:r>
        <w:rPr>
          <w:rFonts w:cs="Arial"/>
          <w:bCs/>
          <w:noProof/>
        </w:rPr>
        <w:t>In Ireland, the Explore programme started, in June 2018, to provide older workers in the manufacturing sector with training on basic digital skills.</w:t>
      </w:r>
    </w:p>
    <w:p w:rsidR="00620F75" w:rsidRDefault="001F403D">
      <w:pPr>
        <w:pBdr>
          <w:top w:val="single" w:sz="4" w:space="1" w:color="auto"/>
          <w:left w:val="single" w:sz="4" w:space="4" w:color="auto"/>
          <w:bottom w:val="single" w:sz="4" w:space="1" w:color="auto"/>
          <w:right w:val="single" w:sz="4" w:space="4" w:color="auto"/>
        </w:pBdr>
        <w:rPr>
          <w:i/>
          <w:noProof/>
          <w:szCs w:val="20"/>
        </w:rPr>
      </w:pPr>
      <w:r>
        <w:rPr>
          <w:i/>
          <w:noProof/>
          <w:szCs w:val="20"/>
        </w:rPr>
        <w:t>Source: Cedefop (2020, forthcoming). Enhancing European cooperation in</w:t>
      </w:r>
      <w:r>
        <w:rPr>
          <w:i/>
          <w:noProof/>
          <w:szCs w:val="20"/>
        </w:rPr>
        <w:t xml:space="preserve"> VET: Outcomes of the Riga round. Progress in common priorities for 2015-20.</w:t>
      </w:r>
    </w:p>
    <w:p w:rsidR="00620F75" w:rsidRDefault="001F403D">
      <w:pPr>
        <w:rPr>
          <w:noProof/>
        </w:rPr>
      </w:pPr>
      <w:r>
        <w:rPr>
          <w:noProof/>
        </w:rPr>
        <w:t xml:space="preserve">The need for digital competences and entrepreneurship is rising since they are key to flexible learning approaches, to promoting creativity and innovation and to supporting other </w:t>
      </w:r>
      <w:r>
        <w:rPr>
          <w:noProof/>
        </w:rPr>
        <w:t xml:space="preserve">key competences, such as literacy, science, technology, engineering and mathematics.  In addition, the need for further work on personal, social, learning to learn, citizenship and cultural awareness and expression competences is strong. </w:t>
      </w:r>
    </w:p>
    <w:p w:rsidR="00620F75" w:rsidRDefault="001F403D">
      <w:pPr>
        <w:rPr>
          <w:noProof/>
        </w:rPr>
      </w:pPr>
      <w:r>
        <w:rPr>
          <w:noProof/>
        </w:rPr>
        <w:t>VET has good pote</w:t>
      </w:r>
      <w:r>
        <w:rPr>
          <w:noProof/>
        </w:rPr>
        <w:t xml:space="preserve">ntial to equip learners with key competences. As the Cedefop’s 2016 opinion survey on VET </w:t>
      </w:r>
      <w:r>
        <w:rPr>
          <w:rStyle w:val="FootnoteReference"/>
          <w:noProof/>
        </w:rPr>
        <w:footnoteReference w:id="56"/>
      </w:r>
      <w:r>
        <w:rPr>
          <w:noProof/>
        </w:rPr>
        <w:t xml:space="preserve"> revealed, respondents from VET were more likely to say that they developed entrepreneurship, creativity, communication, digital and team-working skills while respon</w:t>
      </w:r>
      <w:r>
        <w:rPr>
          <w:noProof/>
        </w:rPr>
        <w:t>dents from general education were more satisfied on the development of their social and civic competences, foreign languages, science and technology skills and critical thinking skills</w:t>
      </w:r>
      <w:r>
        <w:rPr>
          <w:rStyle w:val="FootnoteReference"/>
          <w:noProof/>
        </w:rPr>
        <w:footnoteReference w:id="57"/>
      </w:r>
      <w:r>
        <w:rPr>
          <w:noProof/>
        </w:rPr>
        <w:t xml:space="preserve">. </w:t>
      </w:r>
    </w:p>
    <w:p w:rsidR="00620F75" w:rsidRDefault="001F403D">
      <w:pPr>
        <w:pStyle w:val="Heading3"/>
        <w:rPr>
          <w:noProof/>
          <w:lang w:val="en-US"/>
        </w:rPr>
      </w:pPr>
      <w:r>
        <w:rPr>
          <w:noProof/>
          <w:lang w:val="en-US"/>
        </w:rPr>
        <w:t xml:space="preserve"> </w:t>
      </w:r>
      <w:bookmarkStart w:id="69" w:name="_Toc34039144"/>
      <w:bookmarkStart w:id="70" w:name="_Toc34040445"/>
      <w:bookmarkStart w:id="71" w:name="_Toc34041702"/>
      <w:bookmarkStart w:id="72" w:name="_Toc34042204"/>
      <w:bookmarkStart w:id="73" w:name="_Toc32997306"/>
      <w:bookmarkStart w:id="74" w:name="_Toc43376102"/>
      <w:r>
        <w:rPr>
          <w:noProof/>
          <w:lang w:val="en-US"/>
        </w:rPr>
        <w:t>Priority 5 - initial and continuous professional development of VET</w:t>
      </w:r>
      <w:r>
        <w:rPr>
          <w:noProof/>
          <w:lang w:val="en-US"/>
        </w:rPr>
        <w:t xml:space="preserve"> teachers, trainers and mentors</w:t>
      </w:r>
      <w:bookmarkEnd w:id="69"/>
      <w:bookmarkEnd w:id="70"/>
      <w:bookmarkEnd w:id="71"/>
      <w:bookmarkEnd w:id="72"/>
      <w:bookmarkEnd w:id="73"/>
      <w:bookmarkEnd w:id="74"/>
    </w:p>
    <w:p w:rsidR="00620F75" w:rsidRDefault="001F403D">
      <w:pPr>
        <w:rPr>
          <w:rFonts w:cs="Arial"/>
          <w:noProof/>
        </w:rPr>
      </w:pPr>
      <w:r>
        <w:rPr>
          <w:noProof/>
        </w:rPr>
        <w:t>Competent and motivated teachers and trainers are essential for high quality and inclusive VET. Different EU-level working groups have focused on competences and professional development of VET teaching and training staff. S</w:t>
      </w:r>
      <w:r>
        <w:rPr>
          <w:noProof/>
        </w:rPr>
        <w:t xml:space="preserve">ome countries looked for ways to address </w:t>
      </w:r>
      <w:r>
        <w:rPr>
          <w:rFonts w:cs="Arial"/>
          <w:noProof/>
        </w:rPr>
        <w:t>teacher shortages and make teaching more attractive by increasing salaries (e.g. Latvia), developing career opportunities and attracting professionals from industry (e.g. Hungary, Norway, Slovakia, Northern Ireland)</w:t>
      </w:r>
      <w:r>
        <w:rPr>
          <w:rFonts w:cs="Arial"/>
          <w:noProof/>
        </w:rPr>
        <w:t>. Despite the work done in this respect further attention is required on this area in the future.</w:t>
      </w:r>
    </w:p>
    <w:p w:rsidR="00620F75" w:rsidRDefault="001F403D">
      <w:pPr>
        <w:rPr>
          <w:noProof/>
        </w:rPr>
      </w:pPr>
      <w:r>
        <w:rPr>
          <w:noProof/>
        </w:rPr>
        <w:lastRenderedPageBreak/>
        <w:t xml:space="preserve">Redefining </w:t>
      </w:r>
      <w:r>
        <w:rPr>
          <w:b/>
          <w:noProof/>
          <w:color w:val="0B6192"/>
        </w:rPr>
        <w:t>VET teachers’ entry requirements</w:t>
      </w:r>
      <w:r>
        <w:rPr>
          <w:noProof/>
          <w:color w:val="0B6192"/>
        </w:rPr>
        <w:t xml:space="preserve"> </w:t>
      </w:r>
      <w:r>
        <w:rPr>
          <w:noProof/>
        </w:rPr>
        <w:t>and updating pre-service and initial in-service training is mostly targeted at addressing insufficient preparednes</w:t>
      </w:r>
      <w:r>
        <w:rPr>
          <w:noProof/>
        </w:rPr>
        <w:t xml:space="preserve">s of teachers with respect to the challenges they are faced with. </w:t>
      </w:r>
    </w:p>
    <w:p w:rsidR="00620F75" w:rsidRDefault="001F403D">
      <w:pPr>
        <w:rPr>
          <w:rFonts w:cs="Arial"/>
          <w:noProof/>
        </w:rPr>
      </w:pPr>
      <w:r>
        <w:rPr>
          <w:rFonts w:cs="Arial"/>
          <w:noProof/>
        </w:rPr>
        <w:t xml:space="preserve">To support </w:t>
      </w:r>
      <w:r>
        <w:rPr>
          <w:rFonts w:cs="Arial"/>
          <w:b/>
          <w:noProof/>
          <w:color w:val="0B6192"/>
        </w:rPr>
        <w:t>teachers and trainers continuous professional development</w:t>
      </w:r>
      <w:r>
        <w:rPr>
          <w:rFonts w:cs="Arial"/>
          <w:noProof/>
        </w:rPr>
        <w:t>, most countries introduced programmes and courses, extended career development opportunities and promoted work placement</w:t>
      </w:r>
      <w:r>
        <w:rPr>
          <w:rFonts w:cs="Arial"/>
          <w:noProof/>
        </w:rPr>
        <w:t>s in companies (e.g. French-speaking Belgium, Croatia, Czechia, France, Hungary, Luxemburg, Latvia, Slovenia) to keep teacher competences up-to-date on the industry, labour market and technological developments. Some countries moved towards more flexible a</w:t>
      </w:r>
      <w:r>
        <w:rPr>
          <w:rFonts w:cs="Arial"/>
          <w:noProof/>
        </w:rPr>
        <w:t xml:space="preserve">nd innovative provision of CPD, including digital resources and provision. </w:t>
      </w:r>
    </w:p>
    <w:p w:rsidR="00620F75" w:rsidRDefault="001F403D">
      <w:pPr>
        <w:keepNext/>
        <w:spacing w:after="60"/>
        <w:rPr>
          <w:rFonts w:cstheme="minorHAnsi"/>
          <w:b/>
          <w:iCs/>
          <w:noProof/>
          <w:szCs w:val="24"/>
        </w:rPr>
      </w:pPr>
      <w:r>
        <w:rPr>
          <w:rFonts w:cstheme="minorHAnsi"/>
          <w:b/>
          <w:iCs/>
          <w:noProof/>
          <w:szCs w:val="24"/>
        </w:rPr>
        <w:t xml:space="preserve">Example 9: Continuing professional development of teachers and trainers on digital skills in Spain </w:t>
      </w:r>
    </w:p>
    <w:p w:rsidR="00620F75" w:rsidRDefault="001F403D">
      <w:pPr>
        <w:pBdr>
          <w:top w:val="single" w:sz="4" w:space="1" w:color="auto"/>
          <w:left w:val="single" w:sz="4" w:space="4" w:color="auto"/>
          <w:bottom w:val="single" w:sz="4" w:space="1" w:color="auto"/>
          <w:right w:val="single" w:sz="4" w:space="4" w:color="auto"/>
        </w:pBdr>
        <w:spacing w:line="280" w:lineRule="exact"/>
        <w:rPr>
          <w:rFonts w:cs="Arial"/>
          <w:noProof/>
        </w:rPr>
      </w:pPr>
      <w:r>
        <w:rPr>
          <w:rFonts w:cs="Arial"/>
          <w:noProof/>
        </w:rPr>
        <w:t xml:space="preserve">In Spain, the National Institute of Education Technologies and Teacher Training </w:t>
      </w:r>
      <w:r>
        <w:rPr>
          <w:rFonts w:cs="Arial"/>
          <w:noProof/>
        </w:rPr>
        <w:t>(INTEF) has been developing interactive and multimedia digital education resources for teachers’ CPD, such as open and online courses; a ‘Digital Competence Portfolio for Teachers; an Open Badge Backpack for the acknowledgement of professional competencies</w:t>
      </w:r>
      <w:r>
        <w:rPr>
          <w:rFonts w:cs="Arial"/>
          <w:noProof/>
        </w:rPr>
        <w:t>; and a mobile app for micro self-training aimed at the improvement of Digital Competences. INTEF also promotes networking among teachers to exchange resources and experience</w:t>
      </w:r>
      <w:r>
        <w:rPr>
          <w:rStyle w:val="FootnoteReference"/>
          <w:rFonts w:cs="Arial"/>
          <w:noProof/>
        </w:rPr>
        <w:footnoteReference w:id="58"/>
      </w:r>
      <w:r>
        <w:rPr>
          <w:rFonts w:cs="Arial"/>
          <w:noProof/>
        </w:rPr>
        <w:t>.</w:t>
      </w:r>
    </w:p>
    <w:p w:rsidR="00620F75" w:rsidRDefault="001F403D">
      <w:pPr>
        <w:pBdr>
          <w:top w:val="single" w:sz="4" w:space="1" w:color="auto"/>
          <w:left w:val="single" w:sz="4" w:space="4" w:color="auto"/>
          <w:bottom w:val="single" w:sz="4" w:space="1" w:color="auto"/>
          <w:right w:val="single" w:sz="4" w:space="4" w:color="auto"/>
        </w:pBdr>
        <w:rPr>
          <w:rFonts w:cs="Arial"/>
          <w:noProof/>
        </w:rPr>
      </w:pPr>
      <w:r>
        <w:rPr>
          <w:i/>
          <w:noProof/>
          <w:szCs w:val="20"/>
        </w:rPr>
        <w:t>Source: Cedefop.</w:t>
      </w:r>
      <w:r>
        <w:rPr>
          <w:rFonts w:cs="Arial"/>
          <w:noProof/>
        </w:rPr>
        <w:t xml:space="preserve"> </w:t>
      </w:r>
    </w:p>
    <w:p w:rsidR="00620F75" w:rsidRDefault="001F403D">
      <w:pPr>
        <w:rPr>
          <w:noProof/>
        </w:rPr>
      </w:pPr>
      <w:r>
        <w:rPr>
          <w:noProof/>
        </w:rPr>
        <w:t>Professional developments of VET leaders received limited attention: few countries have introduced specialised programmes to prepare VET school leaders for their role, which often includes taking decisions about teacher professional development. Taking int</w:t>
      </w:r>
      <w:r>
        <w:rPr>
          <w:noProof/>
        </w:rPr>
        <w:t xml:space="preserve">o account the number of initiatives as regards teachers’ and leaders’ CPD, countries will need to consider monitoring of its content, quality and effectiveness for better learning. </w:t>
      </w:r>
    </w:p>
    <w:p w:rsidR="00620F75" w:rsidRDefault="001F403D">
      <w:pPr>
        <w:rPr>
          <w:noProof/>
        </w:rPr>
      </w:pPr>
      <w:r>
        <w:rPr>
          <w:noProof/>
        </w:rPr>
        <w:t>With the development of apprenticeships and work-based learning in most of</w:t>
      </w:r>
      <w:r>
        <w:rPr>
          <w:noProof/>
        </w:rPr>
        <w:t xml:space="preserve"> the countries, there is a growing need for more employees from companies who can act as </w:t>
      </w:r>
      <w:r>
        <w:rPr>
          <w:b/>
          <w:noProof/>
          <w:color w:val="0B6192"/>
        </w:rPr>
        <w:t>trainers/mentors</w:t>
      </w:r>
      <w:r>
        <w:rPr>
          <w:noProof/>
        </w:rPr>
        <w:t xml:space="preserve">. Countries (e.g. Bulgaria, Greece, Hungary, Lithuania, Poland, Portugal, Slovakia, Slovenia, Spain) worked on (re)defining the requirements to become </w:t>
      </w:r>
      <w:r>
        <w:rPr>
          <w:noProof/>
        </w:rPr>
        <w:t>a trainer, introducing/updating training programmes and opening up learning opportunities through school visiting schemes.</w:t>
      </w:r>
    </w:p>
    <w:p w:rsidR="00620F75" w:rsidRDefault="001F403D">
      <w:pPr>
        <w:pStyle w:val="Heading2"/>
        <w:rPr>
          <w:noProof/>
          <w:lang w:val="en-US"/>
        </w:rPr>
      </w:pPr>
      <w:bookmarkStart w:id="75" w:name="_Toc34039145"/>
      <w:bookmarkStart w:id="76" w:name="_Toc34040446"/>
      <w:bookmarkStart w:id="77" w:name="_Toc34041703"/>
      <w:bookmarkStart w:id="78" w:name="_Toc34042205"/>
      <w:bookmarkStart w:id="79" w:name="_Toc32997307"/>
      <w:bookmarkStart w:id="80" w:name="_Toc43376103"/>
      <w:r>
        <w:rPr>
          <w:noProof/>
          <w:lang w:val="en-US"/>
        </w:rPr>
        <w:t>Overview of EU support</w:t>
      </w:r>
      <w:bookmarkEnd w:id="75"/>
      <w:bookmarkEnd w:id="76"/>
      <w:bookmarkEnd w:id="77"/>
      <w:bookmarkEnd w:id="78"/>
      <w:bookmarkEnd w:id="79"/>
      <w:bookmarkEnd w:id="80"/>
      <w:r>
        <w:rPr>
          <w:noProof/>
          <w:lang w:val="en-US"/>
        </w:rPr>
        <w:t xml:space="preserve"> </w:t>
      </w:r>
    </w:p>
    <w:p w:rsidR="00620F75" w:rsidRDefault="001F403D">
      <w:pPr>
        <w:rPr>
          <w:noProof/>
          <w:color w:val="000000" w:themeColor="text1"/>
        </w:rPr>
      </w:pPr>
      <w:r>
        <w:rPr>
          <w:noProof/>
          <w:color w:val="000000" w:themeColor="text1"/>
        </w:rPr>
        <w:t>The Commission supports VET modernisation through:</w:t>
      </w:r>
    </w:p>
    <w:p w:rsidR="00620F75" w:rsidRDefault="00620F75">
      <w:pPr>
        <w:rPr>
          <w:noProof/>
          <w:color w:val="000000" w:themeColor="text1"/>
        </w:rPr>
      </w:pPr>
    </w:p>
    <w:p w:rsidR="00620F75" w:rsidRDefault="001F403D">
      <w:pPr>
        <w:numPr>
          <w:ilvl w:val="0"/>
          <w:numId w:val="31"/>
        </w:numPr>
        <w:spacing w:before="0" w:after="240"/>
        <w:rPr>
          <w:noProof/>
          <w:color w:val="000000" w:themeColor="text1"/>
        </w:rPr>
      </w:pPr>
      <w:r>
        <w:rPr>
          <w:b/>
          <w:i/>
          <w:noProof/>
          <w:color w:val="000000" w:themeColor="text1"/>
        </w:rPr>
        <w:t>Legal acts</w:t>
      </w:r>
      <w:r>
        <w:rPr>
          <w:noProof/>
          <w:color w:val="000000" w:themeColor="text1"/>
        </w:rPr>
        <w:t xml:space="preserve"> — Council recommendations on a European quality assurance reference framework for vocational education and training (EQAVET), on a European credit system for vocational education and training (ECVET) and on the European framework for quality and effective</w:t>
      </w:r>
      <w:r>
        <w:rPr>
          <w:noProof/>
          <w:color w:val="000000" w:themeColor="text1"/>
        </w:rPr>
        <w:t xml:space="preserve"> apprenticeships (March 2018);</w:t>
      </w:r>
    </w:p>
    <w:p w:rsidR="00620F75" w:rsidRDefault="001F403D">
      <w:pPr>
        <w:numPr>
          <w:ilvl w:val="0"/>
          <w:numId w:val="31"/>
        </w:numPr>
        <w:spacing w:before="0" w:after="240"/>
        <w:rPr>
          <w:noProof/>
          <w:color w:val="000000" w:themeColor="text1"/>
        </w:rPr>
      </w:pPr>
      <w:r>
        <w:rPr>
          <w:b/>
          <w:i/>
          <w:noProof/>
          <w:color w:val="000000" w:themeColor="text1"/>
        </w:rPr>
        <w:lastRenderedPageBreak/>
        <w:t>Mutual learning</w:t>
      </w:r>
      <w:r>
        <w:rPr>
          <w:noProof/>
          <w:color w:val="000000" w:themeColor="text1"/>
        </w:rPr>
        <w:t xml:space="preserve"> — Focusing on the priorities defined in the EU VET agenda and leading to expert reports (e.g. 20 guiding principles for high-performance and work-based learning);</w:t>
      </w:r>
    </w:p>
    <w:p w:rsidR="00620F75" w:rsidRDefault="001F403D">
      <w:pPr>
        <w:numPr>
          <w:ilvl w:val="0"/>
          <w:numId w:val="31"/>
        </w:numPr>
        <w:spacing w:before="0" w:after="240"/>
        <w:rPr>
          <w:noProof/>
          <w:color w:val="000000" w:themeColor="text1"/>
        </w:rPr>
      </w:pPr>
      <w:r>
        <w:rPr>
          <w:b/>
          <w:i/>
          <w:noProof/>
          <w:color w:val="000000" w:themeColor="text1"/>
        </w:rPr>
        <w:t>Policy initiatives</w:t>
      </w:r>
      <w:r>
        <w:rPr>
          <w:noProof/>
          <w:color w:val="000000" w:themeColor="text1"/>
        </w:rPr>
        <w:t xml:space="preserve"> — Such as the European Alli</w:t>
      </w:r>
      <w:r>
        <w:rPr>
          <w:noProof/>
          <w:color w:val="000000" w:themeColor="text1"/>
        </w:rPr>
        <w:t>ance for Apprenticeships, the European Vocational Skills Week and the Centres of vocational excellence;</w:t>
      </w:r>
    </w:p>
    <w:p w:rsidR="00620F75" w:rsidRDefault="001F403D">
      <w:pPr>
        <w:numPr>
          <w:ilvl w:val="0"/>
          <w:numId w:val="31"/>
        </w:numPr>
        <w:spacing w:before="0" w:after="240"/>
        <w:rPr>
          <w:noProof/>
          <w:color w:val="000000" w:themeColor="text1"/>
        </w:rPr>
      </w:pPr>
      <w:r>
        <w:rPr>
          <w:b/>
          <w:i/>
          <w:noProof/>
          <w:color w:val="000000" w:themeColor="text1"/>
        </w:rPr>
        <w:t>Targeted funding</w:t>
      </w:r>
      <w:r>
        <w:rPr>
          <w:noProof/>
          <w:color w:val="000000" w:themeColor="text1"/>
        </w:rPr>
        <w:t xml:space="preserve"> — Notably through the current European Social Fund (ESF) and Erasmus + Programmes;</w:t>
      </w:r>
    </w:p>
    <w:p w:rsidR="00620F75" w:rsidRDefault="001F403D">
      <w:pPr>
        <w:numPr>
          <w:ilvl w:val="0"/>
          <w:numId w:val="31"/>
        </w:numPr>
        <w:spacing w:before="0" w:after="240"/>
        <w:rPr>
          <w:noProof/>
          <w:color w:val="000000" w:themeColor="text1"/>
        </w:rPr>
      </w:pPr>
      <w:r>
        <w:rPr>
          <w:b/>
          <w:i/>
          <w:noProof/>
          <w:color w:val="000000" w:themeColor="text1"/>
        </w:rPr>
        <w:t>Monitoring of progress</w:t>
      </w:r>
      <w:r>
        <w:rPr>
          <w:noProof/>
          <w:color w:val="000000" w:themeColor="text1"/>
        </w:rPr>
        <w:t xml:space="preserve"> — carried out by the two Agen</w:t>
      </w:r>
      <w:r>
        <w:rPr>
          <w:noProof/>
          <w:color w:val="000000" w:themeColor="text1"/>
        </w:rPr>
        <w:t>cies, the European Centre for the Development of Vocational Training (Cedefop) and the European Training Foundation (for candidate countries), feeding into the European Semester and annual Education and Training Monitor.</w:t>
      </w:r>
    </w:p>
    <w:p w:rsidR="00620F75" w:rsidRDefault="00620F75">
      <w:pPr>
        <w:rPr>
          <w:noProof/>
        </w:rPr>
      </w:pPr>
    </w:p>
    <w:p w:rsidR="00620F75" w:rsidRDefault="001F403D">
      <w:pPr>
        <w:pStyle w:val="Heading3"/>
        <w:rPr>
          <w:noProof/>
          <w:lang w:val="en-US"/>
        </w:rPr>
      </w:pPr>
      <w:bookmarkStart w:id="81" w:name="_Toc34039146"/>
      <w:bookmarkStart w:id="82" w:name="_Toc34040447"/>
      <w:bookmarkStart w:id="83" w:name="_Toc34041704"/>
      <w:bookmarkStart w:id="84" w:name="_Toc34042206"/>
      <w:bookmarkStart w:id="85" w:name="_Toc32997308"/>
      <w:bookmarkStart w:id="86" w:name="_Toc43376104"/>
      <w:r>
        <w:rPr>
          <w:noProof/>
          <w:lang w:val="en-US"/>
        </w:rPr>
        <w:t>Legal acts</w:t>
      </w:r>
      <w:bookmarkEnd w:id="81"/>
      <w:bookmarkEnd w:id="82"/>
      <w:bookmarkEnd w:id="83"/>
      <w:bookmarkEnd w:id="84"/>
      <w:bookmarkEnd w:id="85"/>
      <w:bookmarkEnd w:id="86"/>
    </w:p>
    <w:p w:rsidR="00620F75" w:rsidRDefault="001F403D">
      <w:pPr>
        <w:pStyle w:val="Heading4"/>
        <w:numPr>
          <w:ilvl w:val="0"/>
          <w:numId w:val="8"/>
        </w:numPr>
        <w:rPr>
          <w:noProof/>
        </w:rPr>
      </w:pPr>
      <w:r>
        <w:rPr>
          <w:noProof/>
        </w:rPr>
        <w:t>EQAVET</w:t>
      </w:r>
    </w:p>
    <w:p w:rsidR="00620F75" w:rsidRDefault="001F403D">
      <w:pPr>
        <w:rPr>
          <w:noProof/>
        </w:rPr>
      </w:pPr>
      <w:r>
        <w:rPr>
          <w:noProof/>
        </w:rPr>
        <w:t>The Recommendati</w:t>
      </w:r>
      <w:r>
        <w:rPr>
          <w:noProof/>
        </w:rPr>
        <w:t>on of the European Parliament and of the Council of 18 June 2009 on the establishment of a European Quality Assurance Reference Framework for Vocational Education and Training (EQAVET) defines a reference framework to support Member States in improving the</w:t>
      </w:r>
      <w:r>
        <w:rPr>
          <w:noProof/>
        </w:rPr>
        <w:t xml:space="preserve"> quality of their vocational education and training systems. In addition, the EQAVET Recommendation also aims to contribute to increased transparency of vocational education and training policy developments between Member States, thereby aiming to promote </w:t>
      </w:r>
      <w:r>
        <w:rPr>
          <w:noProof/>
        </w:rPr>
        <w:t>mutual trust, mobility of workers and learners, and lifelong learning.</w:t>
      </w:r>
    </w:p>
    <w:p w:rsidR="00620F75" w:rsidRDefault="001F403D">
      <w:pPr>
        <w:rPr>
          <w:noProof/>
        </w:rPr>
      </w:pPr>
      <w:r>
        <w:rPr>
          <w:noProof/>
        </w:rPr>
        <w:t xml:space="preserve">The importance of maintaining quality in VET was initially already included in the 2000 Lisbon strategy underlining that the transition to a knowledge-based economy requires modern and </w:t>
      </w:r>
      <w:r>
        <w:rPr>
          <w:noProof/>
        </w:rPr>
        <w:t>adaptable VET. The 2002 Copenhagen Declaration subsequently proposed EU cooperation in quality assurance in VET in order to enhance quality in VET as well as to support mutual trust and the recognition of vocational qualifications.</w:t>
      </w:r>
    </w:p>
    <w:p w:rsidR="00620F75" w:rsidRDefault="001F403D">
      <w:pPr>
        <w:rPr>
          <w:noProof/>
        </w:rPr>
      </w:pPr>
      <w:r>
        <w:rPr>
          <w:noProof/>
        </w:rPr>
        <w:t>The EQAVET Framework com</w:t>
      </w:r>
      <w:r>
        <w:rPr>
          <w:noProof/>
        </w:rPr>
        <w:t>prises quality criteria, descriptors and indicators applicable to quality management at both VET-system and VET-provider levels organised around the quality assurance and improvement cycle (planning, implementation, evaluation/ assessment and review/revisi</w:t>
      </w:r>
      <w:r>
        <w:rPr>
          <w:noProof/>
        </w:rPr>
        <w:t>on).</w:t>
      </w:r>
    </w:p>
    <w:p w:rsidR="00620F75" w:rsidRDefault="001F403D">
      <w:pPr>
        <w:rPr>
          <w:noProof/>
        </w:rPr>
      </w:pPr>
      <w:r>
        <w:rPr>
          <w:noProof/>
        </w:rPr>
        <w:t>Following the adoption of the EQAVET Recommendation in 2009, EU Member States cooperate in the framework of the EQAVET Network composed of the EQAVET National Reference points.</w:t>
      </w:r>
    </w:p>
    <w:p w:rsidR="00620F75" w:rsidRDefault="001F403D">
      <w:pPr>
        <w:rPr>
          <w:noProof/>
        </w:rPr>
      </w:pPr>
      <w:r>
        <w:rPr>
          <w:noProof/>
        </w:rPr>
        <w:t>This section aims to take stock of the experience gained with the implemen</w:t>
      </w:r>
      <w:r>
        <w:rPr>
          <w:noProof/>
        </w:rPr>
        <w:t>tation of the EQAVET Recommendation over the last 10 years.</w:t>
      </w:r>
    </w:p>
    <w:p w:rsidR="00620F75" w:rsidRDefault="001F403D">
      <w:pPr>
        <w:pStyle w:val="Heading5"/>
        <w:rPr>
          <w:noProof/>
        </w:rPr>
      </w:pPr>
      <w:r>
        <w:rPr>
          <w:noProof/>
        </w:rPr>
        <w:t>Progress in quality assurance for vocational education and training in the EU</w:t>
      </w:r>
    </w:p>
    <w:p w:rsidR="00620F75" w:rsidRDefault="001F403D">
      <w:pPr>
        <w:rPr>
          <w:noProof/>
        </w:rPr>
      </w:pPr>
      <w:r>
        <w:rPr>
          <w:noProof/>
        </w:rPr>
        <w:t>Since 2009, important improvements to QA arrangements in the EU Member States have been made. A study on the EU VET in</w:t>
      </w:r>
      <w:r>
        <w:rPr>
          <w:noProof/>
        </w:rPr>
        <w:t>struments, notably ECVET and EQAVET, was published in 2019 which had the objective to examine the progress EU Member States have made in the implementation of these instruments since their adoption in 2019.</w:t>
      </w:r>
    </w:p>
    <w:p w:rsidR="00620F75" w:rsidRDefault="001F403D">
      <w:pPr>
        <w:rPr>
          <w:noProof/>
        </w:rPr>
      </w:pPr>
      <w:r>
        <w:rPr>
          <w:noProof/>
        </w:rPr>
        <w:lastRenderedPageBreak/>
        <w:t>According to this study, 19 EU Member States have</w:t>
      </w:r>
      <w:r>
        <w:rPr>
          <w:noProof/>
        </w:rPr>
        <w:t xml:space="preserve"> made major changes to their QA arrangements for IVET while others have made some adjustments over the last 10 years. A similar trend can be observed for CVET. Around 20 EU Member States have made changes to their QA arrangements in CVET. </w:t>
      </w:r>
    </w:p>
    <w:p w:rsidR="00620F75" w:rsidRDefault="001F403D">
      <w:pPr>
        <w:rPr>
          <w:noProof/>
        </w:rPr>
      </w:pPr>
      <w:r>
        <w:rPr>
          <w:noProof/>
        </w:rPr>
        <w:t>The many changes</w:t>
      </w:r>
      <w:r>
        <w:rPr>
          <w:noProof/>
        </w:rPr>
        <w:t xml:space="preserve"> between 2009 and 2018 concern:</w:t>
      </w:r>
    </w:p>
    <w:p w:rsidR="00620F75" w:rsidRDefault="001F403D">
      <w:pPr>
        <w:pStyle w:val="ListParagraph"/>
        <w:numPr>
          <w:ilvl w:val="0"/>
          <w:numId w:val="19"/>
        </w:numPr>
        <w:rPr>
          <w:noProof/>
        </w:rPr>
      </w:pPr>
      <w:r>
        <w:rPr>
          <w:noProof/>
        </w:rPr>
        <w:t>The introduction of new structures in charge of quality assurance such as inspectorates and new agencies in charge or quality assurance</w:t>
      </w:r>
    </w:p>
    <w:p w:rsidR="00620F75" w:rsidRDefault="001F403D">
      <w:pPr>
        <w:pStyle w:val="ListParagraph"/>
        <w:numPr>
          <w:ilvl w:val="0"/>
          <w:numId w:val="19"/>
        </w:numPr>
        <w:rPr>
          <w:noProof/>
        </w:rPr>
      </w:pPr>
      <w:r>
        <w:rPr>
          <w:noProof/>
        </w:rPr>
        <w:t>Creating of a new monitoring and quality assurance system comprising internal and extern</w:t>
      </w:r>
      <w:r>
        <w:rPr>
          <w:noProof/>
        </w:rPr>
        <w:t>al evaluation as well changes to guidelines for self-assessment of VET providers</w:t>
      </w:r>
    </w:p>
    <w:p w:rsidR="00620F75" w:rsidRDefault="001F403D">
      <w:pPr>
        <w:pStyle w:val="ListParagraph"/>
        <w:numPr>
          <w:ilvl w:val="0"/>
          <w:numId w:val="19"/>
        </w:numPr>
        <w:rPr>
          <w:noProof/>
        </w:rPr>
      </w:pPr>
      <w:r>
        <w:rPr>
          <w:noProof/>
        </w:rPr>
        <w:t>Improving quality assurance arrangements in the area of apprenticeship schemes and work based learning</w:t>
      </w:r>
    </w:p>
    <w:p w:rsidR="00620F75" w:rsidRDefault="001F403D">
      <w:pPr>
        <w:pStyle w:val="ListParagraph"/>
        <w:numPr>
          <w:ilvl w:val="0"/>
          <w:numId w:val="19"/>
        </w:numPr>
        <w:rPr>
          <w:noProof/>
        </w:rPr>
      </w:pPr>
      <w:r>
        <w:rPr>
          <w:noProof/>
        </w:rPr>
        <w:t>Putting a stronger focus on outcomes of VET provision trough the develop</w:t>
      </w:r>
      <w:r>
        <w:rPr>
          <w:noProof/>
        </w:rPr>
        <w:t>ment of new indicators for monitoring the performance of VET programmes</w:t>
      </w:r>
    </w:p>
    <w:p w:rsidR="00620F75" w:rsidRDefault="001F403D">
      <w:pPr>
        <w:pStyle w:val="ListParagraph"/>
        <w:numPr>
          <w:ilvl w:val="0"/>
          <w:numId w:val="19"/>
        </w:numPr>
        <w:rPr>
          <w:noProof/>
        </w:rPr>
      </w:pPr>
      <w:r>
        <w:rPr>
          <w:noProof/>
        </w:rPr>
        <w:t xml:space="preserve">Strengthening the involvement of stakeholders such as employers, trade unions and learners in the design and implementation of quality assurance procedures </w:t>
      </w:r>
    </w:p>
    <w:p w:rsidR="00620F75" w:rsidRDefault="001F403D">
      <w:pPr>
        <w:pStyle w:val="Heading5"/>
        <w:rPr>
          <w:noProof/>
        </w:rPr>
      </w:pPr>
      <w:r>
        <w:rPr>
          <w:noProof/>
        </w:rPr>
        <w:t xml:space="preserve">Quality assurance </w:t>
      </w:r>
      <w:r>
        <w:rPr>
          <w:noProof/>
        </w:rPr>
        <w:t>developments at VET system level</w:t>
      </w:r>
    </w:p>
    <w:p w:rsidR="00620F75" w:rsidRDefault="001F403D">
      <w:pPr>
        <w:rPr>
          <w:noProof/>
        </w:rPr>
      </w:pPr>
      <w:r>
        <w:rPr>
          <w:noProof/>
        </w:rPr>
        <w:t>The EQAVET Framework puts a lot of emphasis on strengthening effective feedback loops in VET. The importance of feedback loops was also underlined in the Riga conclusions adopted by the EU Minister in charge of VET in 2015.</w:t>
      </w:r>
      <w:r>
        <w:rPr>
          <w:noProof/>
        </w:rPr>
        <w:t xml:space="preserve"> The second Riga priority calls on the EU Member States to establish continuous information and feedback loops in initial VET and continuing VET systems based on learning outcomes.</w:t>
      </w:r>
    </w:p>
    <w:p w:rsidR="00620F75" w:rsidRDefault="001F403D">
      <w:pPr>
        <w:rPr>
          <w:noProof/>
        </w:rPr>
      </w:pPr>
      <w:r>
        <w:rPr>
          <w:noProof/>
        </w:rPr>
        <w:t>Many EU Member States have worked on improving feedback loops. In the Czech</w:t>
      </w:r>
      <w:r>
        <w:rPr>
          <w:noProof/>
        </w:rPr>
        <w:t xml:space="preserve"> Republic for example, an EQAVET project was launched in 2017 consisting among others of the development of an app for mobile devices to facilitate the dissemination of information about employers' requirements for graduates as well as labour market data.</w:t>
      </w:r>
    </w:p>
    <w:p w:rsidR="00620F75" w:rsidRDefault="001F403D">
      <w:pPr>
        <w:rPr>
          <w:noProof/>
        </w:rPr>
      </w:pPr>
      <w:r>
        <w:rPr>
          <w:noProof/>
        </w:rPr>
        <w:t>Furthermore, a high number of EU Member States have focused specifically on the development of VET graduate tracking measures as part of their quality assurance arrangements. Greece has developed a more comprehensive and systematic VET graduate tracking me</w:t>
      </w:r>
      <w:r>
        <w:rPr>
          <w:noProof/>
        </w:rPr>
        <w:t>chanism, linking labour market needs to VET at a national level. The aim is to ensure that enhanced information on VET graduate tracking, as well as skills need forecast, are used as valuable input at VET system level in order to inform VET policy-making a</w:t>
      </w:r>
      <w:r>
        <w:rPr>
          <w:noProof/>
        </w:rPr>
        <w:t>nd improve VET provision and VET qualifications at all levels.</w:t>
      </w:r>
    </w:p>
    <w:p w:rsidR="00620F75" w:rsidRDefault="001F403D">
      <w:pPr>
        <w:rPr>
          <w:noProof/>
        </w:rPr>
      </w:pPr>
      <w:r>
        <w:rPr>
          <w:noProof/>
        </w:rPr>
        <w:t xml:space="preserve">In the context of the Council Recommendation on tracking graduates, the Commission has set up a joint Expert Group for higher education and VET graduate tracking in 2018. By the end of 2020, </w:t>
      </w:r>
      <w:r>
        <w:rPr>
          <w:noProof/>
        </w:rPr>
        <w:t>the Expert Group is expected to assess the state of graduate tracking in Member States and prepare recommendations to the Commission and Member States how to implement the Council Recommendation.</w:t>
      </w:r>
    </w:p>
    <w:p w:rsidR="00620F75" w:rsidRDefault="001F403D">
      <w:pPr>
        <w:pStyle w:val="Heading5"/>
        <w:rPr>
          <w:noProof/>
        </w:rPr>
      </w:pPr>
      <w:r>
        <w:rPr>
          <w:noProof/>
        </w:rPr>
        <w:t>Quality assurance developments at VET provider level</w:t>
      </w:r>
    </w:p>
    <w:p w:rsidR="00620F75" w:rsidRDefault="001F403D">
      <w:pPr>
        <w:rPr>
          <w:noProof/>
        </w:rPr>
      </w:pPr>
      <w:r>
        <w:rPr>
          <w:noProof/>
        </w:rPr>
        <w:t>Self-as</w:t>
      </w:r>
      <w:r>
        <w:rPr>
          <w:noProof/>
        </w:rPr>
        <w:t xml:space="preserve">sessment of VET providers is one of the key instruments to foster quality and to develop a culture of quality. Several EU Member States have improved their processes for self-assessment of VET providers. In Croatia, several regional training workshops for </w:t>
      </w:r>
      <w:r>
        <w:rPr>
          <w:noProof/>
        </w:rPr>
        <w:t>VET schools were organised to provide support on self-assessment and promote a culture of quality.</w:t>
      </w:r>
    </w:p>
    <w:p w:rsidR="00620F75" w:rsidRDefault="001F403D">
      <w:pPr>
        <w:rPr>
          <w:noProof/>
        </w:rPr>
      </w:pPr>
      <w:r>
        <w:rPr>
          <w:noProof/>
        </w:rPr>
        <w:lastRenderedPageBreak/>
        <w:t xml:space="preserve">The EQAVET Framework also emphasis that learners’ feedback is gathered on their individual learning experience and on the learning and teaching environment. </w:t>
      </w:r>
      <w:r>
        <w:rPr>
          <w:noProof/>
        </w:rPr>
        <w:t>The 2018 EQAVET Forum was devoted to this topic and several good practices from inter alia the Netherlands were discussed and analysed. In the framework of a EU funded project carried out by the Romanian EQAVET NRP, Romania is developing a methodology to m</w:t>
      </w:r>
      <w:r>
        <w:rPr>
          <w:noProof/>
        </w:rPr>
        <w:t>easure students' satisfaction with the way learning outcomes are achieved and assessed.</w:t>
      </w:r>
    </w:p>
    <w:p w:rsidR="00620F75" w:rsidRDefault="001F403D">
      <w:pPr>
        <w:pStyle w:val="Heading5"/>
        <w:rPr>
          <w:noProof/>
        </w:rPr>
      </w:pPr>
      <w:r>
        <w:rPr>
          <w:noProof/>
        </w:rPr>
        <w:t>Use of EQAVET indicators</w:t>
      </w:r>
    </w:p>
    <w:p w:rsidR="00620F75" w:rsidRDefault="001F403D">
      <w:pPr>
        <w:rPr>
          <w:noProof/>
        </w:rPr>
      </w:pPr>
      <w:r>
        <w:rPr>
          <w:noProof/>
        </w:rPr>
        <w:t>The EQAVET Recommendation includes a set of reference quality indicators for developing quality in VET which can be used to support the develop</w:t>
      </w:r>
      <w:r>
        <w:rPr>
          <w:noProof/>
        </w:rPr>
        <w:t>ment and improvement of VET systems and/or VET providers. Many EU Member States are using these EQAVET indicators to improve their QA arrangements and to exchange good practices with other EU Members States on these issues.</w:t>
      </w:r>
    </w:p>
    <w:p w:rsidR="00620F75" w:rsidRDefault="001F403D">
      <w:pPr>
        <w:rPr>
          <w:noProof/>
        </w:rPr>
      </w:pPr>
      <w:r>
        <w:rPr>
          <w:noProof/>
        </w:rPr>
        <w:t xml:space="preserve">Sweden focused on strengthening </w:t>
      </w:r>
      <w:r>
        <w:rPr>
          <w:noProof/>
        </w:rPr>
        <w:t>quality assurance in VET by identifying mechanisms that can be used by the National Agency for Education and national programme councils for analysing the quality in VET and for quality development over time. Study visits to other EU Members States were or</w:t>
      </w:r>
      <w:r>
        <w:rPr>
          <w:noProof/>
        </w:rPr>
        <w:t>ganised to learn from and be inspired by the QA-process in other EU Member States and to analyse how EQAVET indicators are used, as well as to learn how stakeholders and VET providers on a systemic and local level cooperate to increase quality in VET educa</w:t>
      </w:r>
      <w:r>
        <w:rPr>
          <w:noProof/>
        </w:rPr>
        <w:t>tion in other EU Member States.</w:t>
      </w:r>
    </w:p>
    <w:p w:rsidR="00620F75" w:rsidRDefault="001F403D">
      <w:pPr>
        <w:pStyle w:val="Heading5"/>
        <w:rPr>
          <w:noProof/>
        </w:rPr>
      </w:pPr>
      <w:r>
        <w:rPr>
          <w:noProof/>
        </w:rPr>
        <w:t>Governance</w:t>
      </w:r>
    </w:p>
    <w:p w:rsidR="00620F75" w:rsidRDefault="001F403D">
      <w:pPr>
        <w:rPr>
          <w:noProof/>
        </w:rPr>
      </w:pPr>
      <w:r>
        <w:rPr>
          <w:noProof/>
        </w:rPr>
        <w:t>The EQAVET Recommendation asks Member States to establish a Quality assurance National Reference Point for VET (NRPs) that is linked to the relevant structures and quality assurance set up of the Member State. The</w:t>
      </w:r>
      <w:r>
        <w:rPr>
          <w:noProof/>
        </w:rPr>
        <w:t xml:space="preserve"> NRPs are bringing together existing specialised bodies and partners, supporting self-evaluation as a complementary and effective means of quality assurance and disseminating information on EQAVET to national partners.</w:t>
      </w:r>
    </w:p>
    <w:p w:rsidR="00620F75" w:rsidRDefault="001F403D">
      <w:pPr>
        <w:rPr>
          <w:noProof/>
        </w:rPr>
      </w:pPr>
      <w:r>
        <w:rPr>
          <w:noProof/>
        </w:rPr>
        <w:t>These EQAVET NRPs constitute the EQAV</w:t>
      </w:r>
      <w:r>
        <w:rPr>
          <w:noProof/>
        </w:rPr>
        <w:t>ET Network comprising representatives from all countries that signed up to deliver EQAVET, as well as members of the European Commission, Education and Training Foundation, Cedefop, social partners and the EQAVET Secretariat.</w:t>
      </w:r>
    </w:p>
    <w:p w:rsidR="00620F75" w:rsidRDefault="001F403D">
      <w:pPr>
        <w:rPr>
          <w:noProof/>
        </w:rPr>
      </w:pPr>
      <w:r>
        <w:rPr>
          <w:noProof/>
        </w:rPr>
        <w:t>Support is provided to countri</w:t>
      </w:r>
      <w:r>
        <w:rPr>
          <w:noProof/>
        </w:rPr>
        <w:t>es through frequently organised Peer Learning Activities, where participants discuss effective practice around priority areas identified by the Network. Additionally, materials and resources are provided by the EQAVET Secretariat, including examples of goo</w:t>
      </w:r>
      <w:r>
        <w:rPr>
          <w:noProof/>
        </w:rPr>
        <w:t>d practice and guidance documents.</w:t>
      </w:r>
    </w:p>
    <w:p w:rsidR="00620F75" w:rsidRDefault="001F403D">
      <w:pPr>
        <w:rPr>
          <w:noProof/>
        </w:rPr>
      </w:pPr>
      <w:r>
        <w:rPr>
          <w:noProof/>
        </w:rPr>
        <w:t>Specific issues are also explored through EQAVET Network working groups. Working groups have been established for a range of topics, including adult learning and CVET, the use of EQAVET indicators, international quality m</w:t>
      </w:r>
      <w:r>
        <w:rPr>
          <w:noProof/>
        </w:rPr>
        <w:t>anagement standards such as EFQM and ISO standards.</w:t>
      </w:r>
    </w:p>
    <w:p w:rsidR="00620F75" w:rsidRDefault="001F403D">
      <w:pPr>
        <w:rPr>
          <w:noProof/>
        </w:rPr>
      </w:pPr>
      <w:r>
        <w:rPr>
          <w:noProof/>
        </w:rPr>
        <w:t>In addition, an Annual EQAVET Forum is organised during the European Vocational Skills Week since 2016. The Forum is used to discuss VET quality assurance issues and to reach out to an audience outside th</w:t>
      </w:r>
      <w:r>
        <w:rPr>
          <w:noProof/>
        </w:rPr>
        <w:t>e EQAVET Network.</w:t>
      </w:r>
    </w:p>
    <w:p w:rsidR="00620F75" w:rsidRDefault="001F403D">
      <w:pPr>
        <w:rPr>
          <w:noProof/>
        </w:rPr>
      </w:pPr>
      <w:r>
        <w:rPr>
          <w:noProof/>
        </w:rPr>
        <w:t>According to the 2019 Study on ECVET and EQAVET, EQAVET users generally reported a range of strengths with the current EQAVET governance structure. The NRPs were generally considered to provide a necessary point of contact in national aut</w:t>
      </w:r>
      <w:r>
        <w:rPr>
          <w:noProof/>
        </w:rPr>
        <w:t xml:space="preserve">horities to drive forward national developments in QA, by playing the role as “national advocates for EQAVET”. </w:t>
      </w:r>
    </w:p>
    <w:p w:rsidR="00620F75" w:rsidRDefault="001F403D">
      <w:pPr>
        <w:rPr>
          <w:noProof/>
        </w:rPr>
      </w:pPr>
      <w:r>
        <w:rPr>
          <w:noProof/>
        </w:rPr>
        <w:lastRenderedPageBreak/>
        <w:t>Furthermore, the establishment of NRPs was also reported to have resulted in a ‘community of practice’ which facilitates the exchange of good pr</w:t>
      </w:r>
      <w:r>
        <w:rPr>
          <w:noProof/>
        </w:rPr>
        <w:t xml:space="preserve">actices. Many EQAVET NRP representatives also reported examples where they had contacted other NRPs to discuss their practice and how they overcome implementation challenges. </w:t>
      </w:r>
    </w:p>
    <w:p w:rsidR="00620F75" w:rsidRDefault="001F403D">
      <w:pPr>
        <w:rPr>
          <w:noProof/>
        </w:rPr>
      </w:pPr>
      <w:r>
        <w:rPr>
          <w:noProof/>
        </w:rPr>
        <w:t>However, several EQAVET NRP representatives stated that the EQAVET Network was t</w:t>
      </w:r>
      <w:r>
        <w:rPr>
          <w:noProof/>
        </w:rPr>
        <w:t>oo diverse given that it involves policy makers, funders, QA specialists and practitioners. Each of these sub groups prefer to focus on different aspects which means that some issues cannot be discussed in sufficient depth.</w:t>
      </w:r>
    </w:p>
    <w:p w:rsidR="00620F75" w:rsidRDefault="001F403D">
      <w:pPr>
        <w:rPr>
          <w:noProof/>
        </w:rPr>
      </w:pPr>
      <w:r>
        <w:rPr>
          <w:noProof/>
        </w:rPr>
        <w:t>Since 2016, EQAVET NRPs can also</w:t>
      </w:r>
      <w:r>
        <w:rPr>
          <w:noProof/>
        </w:rPr>
        <w:t xml:space="preserve"> apply for a call for proposals for EQAVET NRPs. The general objective of these calls for proposals is to support EQAVET NRPs to further develop quality assurance mechanisms in VET in line with the EQAVET Recommendation as well as to focus on specific topi</w:t>
      </w:r>
      <w:r>
        <w:rPr>
          <w:noProof/>
        </w:rPr>
        <w:t>cs such as improving graduate tracking and making use of graduate tracking data in their quality assurance systems.</w:t>
      </w:r>
    </w:p>
    <w:p w:rsidR="00620F75" w:rsidRDefault="001F403D">
      <w:pPr>
        <w:rPr>
          <w:noProof/>
        </w:rPr>
      </w:pPr>
      <w:r>
        <w:rPr>
          <w:noProof/>
        </w:rPr>
        <w:t>In the framework of the 2019 EQAVET NRP call for proposals, 20 projects were selected for a total amount of around 2.5 million Euro. These p</w:t>
      </w:r>
      <w:r>
        <w:rPr>
          <w:noProof/>
        </w:rPr>
        <w:t>rojects focus on the following main topics:</w:t>
      </w:r>
    </w:p>
    <w:p w:rsidR="00620F75" w:rsidRDefault="001F403D">
      <w:pPr>
        <w:pStyle w:val="ListParagraph"/>
        <w:numPr>
          <w:ilvl w:val="0"/>
          <w:numId w:val="9"/>
        </w:numPr>
        <w:rPr>
          <w:noProof/>
        </w:rPr>
      </w:pPr>
      <w:r>
        <w:rPr>
          <w:noProof/>
        </w:rPr>
        <w:t>supporting the development of a culture of continuous Quality Assurance (QA) in VET;</w:t>
      </w:r>
    </w:p>
    <w:p w:rsidR="00620F75" w:rsidRDefault="001F403D">
      <w:pPr>
        <w:pStyle w:val="ListParagraph"/>
        <w:numPr>
          <w:ilvl w:val="0"/>
          <w:numId w:val="9"/>
        </w:numPr>
        <w:rPr>
          <w:noProof/>
        </w:rPr>
      </w:pPr>
      <w:r>
        <w:rPr>
          <w:noProof/>
        </w:rPr>
        <w:t>collecting data concerning skill need forecast;</w:t>
      </w:r>
    </w:p>
    <w:p w:rsidR="00620F75" w:rsidRDefault="001F403D">
      <w:pPr>
        <w:pStyle w:val="ListParagraph"/>
        <w:numPr>
          <w:ilvl w:val="0"/>
          <w:numId w:val="9"/>
        </w:numPr>
        <w:rPr>
          <w:noProof/>
        </w:rPr>
      </w:pPr>
      <w:r>
        <w:rPr>
          <w:noProof/>
        </w:rPr>
        <w:t>improving links between the VET providers and the labour market;</w:t>
      </w:r>
    </w:p>
    <w:p w:rsidR="00620F75" w:rsidRDefault="001F403D">
      <w:pPr>
        <w:pStyle w:val="ListParagraph"/>
        <w:numPr>
          <w:ilvl w:val="0"/>
          <w:numId w:val="9"/>
        </w:numPr>
        <w:rPr>
          <w:noProof/>
        </w:rPr>
      </w:pPr>
      <w:r>
        <w:rPr>
          <w:noProof/>
        </w:rPr>
        <w:t>improving qual</w:t>
      </w:r>
      <w:r>
        <w:rPr>
          <w:noProof/>
        </w:rPr>
        <w:t>ity assurance mechanisms and indicators at system and/or provider level;</w:t>
      </w:r>
    </w:p>
    <w:p w:rsidR="00620F75" w:rsidRDefault="001F403D">
      <w:pPr>
        <w:pStyle w:val="ListParagraph"/>
        <w:numPr>
          <w:ilvl w:val="0"/>
          <w:numId w:val="9"/>
        </w:numPr>
        <w:rPr>
          <w:noProof/>
        </w:rPr>
      </w:pPr>
      <w:r>
        <w:rPr>
          <w:noProof/>
        </w:rPr>
        <w:t>developing and or improving comprehensive and reliable graduate tracking systems;</w:t>
      </w:r>
    </w:p>
    <w:p w:rsidR="00620F75" w:rsidRDefault="001F403D">
      <w:pPr>
        <w:pStyle w:val="ListParagraph"/>
        <w:numPr>
          <w:ilvl w:val="0"/>
          <w:numId w:val="9"/>
        </w:numPr>
        <w:rPr>
          <w:noProof/>
        </w:rPr>
      </w:pPr>
      <w:r>
        <w:rPr>
          <w:noProof/>
        </w:rPr>
        <w:t>disseminating quality assurance principles;</w:t>
      </w:r>
    </w:p>
    <w:p w:rsidR="00620F75" w:rsidRDefault="001F403D">
      <w:pPr>
        <w:pStyle w:val="ListParagraph"/>
        <w:numPr>
          <w:ilvl w:val="0"/>
          <w:numId w:val="9"/>
        </w:numPr>
        <w:rPr>
          <w:noProof/>
        </w:rPr>
      </w:pPr>
      <w:r>
        <w:rPr>
          <w:noProof/>
        </w:rPr>
        <w:t>promoting work-based learning;</w:t>
      </w:r>
    </w:p>
    <w:p w:rsidR="00620F75" w:rsidRDefault="001F403D">
      <w:pPr>
        <w:pStyle w:val="ListParagraph"/>
        <w:numPr>
          <w:ilvl w:val="0"/>
          <w:numId w:val="9"/>
        </w:numPr>
        <w:rPr>
          <w:noProof/>
        </w:rPr>
      </w:pPr>
      <w:r>
        <w:rPr>
          <w:noProof/>
        </w:rPr>
        <w:t>developing and/or implemen</w:t>
      </w:r>
      <w:r>
        <w:rPr>
          <w:noProof/>
        </w:rPr>
        <w:t>ting feedback loops and flexible learning pathways;</w:t>
      </w:r>
    </w:p>
    <w:p w:rsidR="00620F75" w:rsidRDefault="001F403D">
      <w:pPr>
        <w:pStyle w:val="ListParagraph"/>
        <w:numPr>
          <w:ilvl w:val="0"/>
          <w:numId w:val="9"/>
        </w:numPr>
        <w:rPr>
          <w:noProof/>
        </w:rPr>
      </w:pPr>
      <w:r>
        <w:rPr>
          <w:noProof/>
        </w:rPr>
        <w:t>adopting and/or improving the learning outcomes approach.</w:t>
      </w:r>
    </w:p>
    <w:p w:rsidR="00620F75" w:rsidRDefault="001F403D">
      <w:pPr>
        <w:rPr>
          <w:b/>
          <w:noProof/>
        </w:rPr>
      </w:pPr>
      <w:r>
        <w:rPr>
          <w:b/>
          <w:noProof/>
        </w:rPr>
        <w:t xml:space="preserve">Box 1 - Concrete examples of work of EQAVET NRP </w:t>
      </w:r>
    </w:p>
    <w:tbl>
      <w:tblPr>
        <w:tblStyle w:val="TableGrid"/>
        <w:tblW w:w="0" w:type="auto"/>
        <w:tblLook w:val="04A0" w:firstRow="1" w:lastRow="0" w:firstColumn="1" w:lastColumn="0" w:noHBand="0" w:noVBand="1"/>
      </w:tblPr>
      <w:tblGrid>
        <w:gridCol w:w="9288"/>
      </w:tblGrid>
      <w:tr w:rsidR="00620F75">
        <w:tc>
          <w:tcPr>
            <w:tcW w:w="9288" w:type="dxa"/>
          </w:tcPr>
          <w:p w:rsidR="00620F75" w:rsidRDefault="001F403D">
            <w:pPr>
              <w:rPr>
                <w:noProof/>
              </w:rPr>
            </w:pPr>
            <w:r>
              <w:rPr>
                <w:b/>
                <w:bCs/>
                <w:noProof/>
              </w:rPr>
              <w:t>Austria</w:t>
            </w:r>
            <w:r>
              <w:rPr>
                <w:noProof/>
              </w:rPr>
              <w:t xml:space="preserve">: The "train the trainer" concept and its pilot training as a valuable means to enhance the knowledge of the trainers and teachers; </w:t>
            </w:r>
          </w:p>
          <w:p w:rsidR="00620F75" w:rsidRDefault="001F403D">
            <w:pPr>
              <w:rPr>
                <w:noProof/>
              </w:rPr>
            </w:pPr>
            <w:r>
              <w:rPr>
                <w:b/>
                <w:bCs/>
                <w:noProof/>
              </w:rPr>
              <w:t>Bulgaria</w:t>
            </w:r>
            <w:r>
              <w:rPr>
                <w:noProof/>
              </w:rPr>
              <w:t xml:space="preserve">: Promotion of EU practices linked to feedback loops (guidelines on how to use leading indicators); </w:t>
            </w:r>
          </w:p>
          <w:p w:rsidR="00620F75" w:rsidRDefault="001F403D">
            <w:pPr>
              <w:rPr>
                <w:noProof/>
              </w:rPr>
            </w:pPr>
            <w:r>
              <w:rPr>
                <w:b/>
                <w:bCs/>
                <w:noProof/>
              </w:rPr>
              <w:t>Croatia</w:t>
            </w:r>
            <w:r>
              <w:rPr>
                <w:noProof/>
              </w:rPr>
              <w:t>: Devel</w:t>
            </w:r>
            <w:r>
              <w:rPr>
                <w:noProof/>
              </w:rPr>
              <w:t xml:space="preserve">opment and piloting of VET graduate tracking mechanisms; </w:t>
            </w:r>
          </w:p>
          <w:p w:rsidR="00620F75" w:rsidRDefault="001F403D">
            <w:pPr>
              <w:rPr>
                <w:noProof/>
              </w:rPr>
            </w:pPr>
            <w:r>
              <w:rPr>
                <w:b/>
                <w:bCs/>
                <w:noProof/>
              </w:rPr>
              <w:t>Czech Republic</w:t>
            </w:r>
            <w:r>
              <w:rPr>
                <w:noProof/>
              </w:rPr>
              <w:t>: The training programmes for I-VET and C-VET cooperation to bridge the generation gap were designed in line with the EQAVET quality cycle and respond to the priorities of the New Skil</w:t>
            </w:r>
            <w:r>
              <w:rPr>
                <w:noProof/>
              </w:rPr>
              <w:t xml:space="preserve">ls Agenda; </w:t>
            </w:r>
          </w:p>
          <w:p w:rsidR="00620F75" w:rsidRDefault="001F403D">
            <w:pPr>
              <w:rPr>
                <w:noProof/>
              </w:rPr>
            </w:pPr>
            <w:r>
              <w:rPr>
                <w:b/>
                <w:bCs/>
                <w:noProof/>
              </w:rPr>
              <w:t>Finland</w:t>
            </w:r>
            <w:r>
              <w:rPr>
                <w:noProof/>
              </w:rPr>
              <w:t xml:space="preserve">: Guide for quality management of qualification design, assessment and validation; </w:t>
            </w:r>
          </w:p>
          <w:p w:rsidR="00620F75" w:rsidRDefault="001F403D">
            <w:pPr>
              <w:rPr>
                <w:noProof/>
              </w:rPr>
            </w:pPr>
            <w:r>
              <w:rPr>
                <w:b/>
                <w:bCs/>
                <w:noProof/>
              </w:rPr>
              <w:t>Germany</w:t>
            </w:r>
            <w:r>
              <w:rPr>
                <w:noProof/>
              </w:rPr>
              <w:t>: Renewed portal with relevant information on quality assurance in work-based learning based on recent VET studies. The portal provides relevant i</w:t>
            </w:r>
            <w:r>
              <w:rPr>
                <w:noProof/>
              </w:rPr>
              <w:t xml:space="preserve">nformation on the German dual system; </w:t>
            </w:r>
          </w:p>
          <w:p w:rsidR="00620F75" w:rsidRDefault="001F403D">
            <w:pPr>
              <w:rPr>
                <w:noProof/>
              </w:rPr>
            </w:pPr>
            <w:r>
              <w:rPr>
                <w:b/>
                <w:bCs/>
                <w:noProof/>
              </w:rPr>
              <w:t>Greece</w:t>
            </w:r>
            <w:r>
              <w:rPr>
                <w:noProof/>
              </w:rPr>
              <w:t xml:space="preserve">: A methodological framework to tackle skills gaps; </w:t>
            </w:r>
          </w:p>
          <w:p w:rsidR="00620F75" w:rsidRDefault="001F403D">
            <w:pPr>
              <w:rPr>
                <w:noProof/>
              </w:rPr>
            </w:pPr>
            <w:r>
              <w:rPr>
                <w:b/>
                <w:bCs/>
                <w:noProof/>
              </w:rPr>
              <w:t>Hungary</w:t>
            </w:r>
            <w:r>
              <w:rPr>
                <w:noProof/>
              </w:rPr>
              <w:t xml:space="preserve">: A set of guidelines for career tracking at VET provider level were developed and tested; </w:t>
            </w:r>
          </w:p>
          <w:p w:rsidR="00620F75" w:rsidRDefault="001F403D">
            <w:pPr>
              <w:rPr>
                <w:noProof/>
              </w:rPr>
            </w:pPr>
            <w:r>
              <w:rPr>
                <w:b/>
                <w:bCs/>
                <w:noProof/>
              </w:rPr>
              <w:t>Italy</w:t>
            </w:r>
            <w:r>
              <w:rPr>
                <w:noProof/>
              </w:rPr>
              <w:t xml:space="preserve">: Survey on training for VET trainers and quality system in 20 Italian regions; </w:t>
            </w:r>
          </w:p>
          <w:p w:rsidR="00620F75" w:rsidRDefault="001F403D">
            <w:pPr>
              <w:rPr>
                <w:noProof/>
              </w:rPr>
            </w:pPr>
            <w:r>
              <w:rPr>
                <w:b/>
                <w:bCs/>
                <w:noProof/>
              </w:rPr>
              <w:lastRenderedPageBreak/>
              <w:t>Latvia</w:t>
            </w:r>
            <w:r>
              <w:rPr>
                <w:noProof/>
              </w:rPr>
              <w:t xml:space="preserve">: recommendations on work-based learning and on how QA can be improved in the Latvian context; </w:t>
            </w:r>
          </w:p>
          <w:p w:rsidR="00620F75" w:rsidRDefault="001F403D">
            <w:pPr>
              <w:rPr>
                <w:noProof/>
              </w:rPr>
            </w:pPr>
            <w:r>
              <w:rPr>
                <w:b/>
                <w:bCs/>
                <w:noProof/>
              </w:rPr>
              <w:t>Lithuania</w:t>
            </w:r>
            <w:r>
              <w:rPr>
                <w:noProof/>
              </w:rPr>
              <w:t>: Survey on companies’ satisfaction with competences of VET grad</w:t>
            </w:r>
            <w:r>
              <w:rPr>
                <w:noProof/>
              </w:rPr>
              <w:t xml:space="preserve">uates; </w:t>
            </w:r>
          </w:p>
          <w:p w:rsidR="00620F75" w:rsidRDefault="001F403D">
            <w:pPr>
              <w:rPr>
                <w:noProof/>
              </w:rPr>
            </w:pPr>
            <w:r>
              <w:rPr>
                <w:b/>
                <w:bCs/>
                <w:noProof/>
              </w:rPr>
              <w:t>The Netherlands</w:t>
            </w:r>
            <w:r>
              <w:rPr>
                <w:noProof/>
              </w:rPr>
              <w:t xml:space="preserve">: Guidelines for teachers and students on how to enhance the quality culture; </w:t>
            </w:r>
          </w:p>
          <w:p w:rsidR="00620F75" w:rsidRDefault="001F403D">
            <w:pPr>
              <w:rPr>
                <w:noProof/>
              </w:rPr>
            </w:pPr>
            <w:r>
              <w:rPr>
                <w:b/>
                <w:bCs/>
                <w:noProof/>
              </w:rPr>
              <w:t>Romania</w:t>
            </w:r>
            <w:r>
              <w:rPr>
                <w:noProof/>
              </w:rPr>
              <w:t>: The involvement of students and parents in the debate around quality assurance in VET and the EQAVET framework. Good feedback on project's impact</w:t>
            </w:r>
            <w:r>
              <w:rPr>
                <w:noProof/>
              </w:rPr>
              <w:t xml:space="preserve">; </w:t>
            </w:r>
          </w:p>
          <w:p w:rsidR="00620F75" w:rsidRDefault="001F403D">
            <w:pPr>
              <w:rPr>
                <w:noProof/>
              </w:rPr>
            </w:pPr>
            <w:r>
              <w:rPr>
                <w:b/>
                <w:bCs/>
                <w:noProof/>
              </w:rPr>
              <w:t>Slovakia</w:t>
            </w:r>
            <w:r>
              <w:rPr>
                <w:noProof/>
              </w:rPr>
              <w:t xml:space="preserve">: The European Peer Review Methodology adapted to the Slovak context; </w:t>
            </w:r>
          </w:p>
          <w:p w:rsidR="00620F75" w:rsidRDefault="001F403D">
            <w:pPr>
              <w:rPr>
                <w:noProof/>
              </w:rPr>
            </w:pPr>
            <w:r>
              <w:rPr>
                <w:b/>
                <w:bCs/>
                <w:noProof/>
              </w:rPr>
              <w:t>Slovenia</w:t>
            </w:r>
            <w:r>
              <w:rPr>
                <w:noProof/>
              </w:rPr>
              <w:t xml:space="preserve">: Transnational review of EQAVET tools to promote transparency and mutual trust; </w:t>
            </w:r>
          </w:p>
          <w:p w:rsidR="00620F75" w:rsidRDefault="001F403D">
            <w:pPr>
              <w:rPr>
                <w:noProof/>
              </w:rPr>
            </w:pPr>
            <w:r>
              <w:rPr>
                <w:b/>
                <w:bCs/>
                <w:noProof/>
              </w:rPr>
              <w:t>Sweden</w:t>
            </w:r>
            <w:r>
              <w:rPr>
                <w:noProof/>
              </w:rPr>
              <w:t xml:space="preserve">: Cross-sectoral discussions and networking among National Programme Councils </w:t>
            </w:r>
            <w:r>
              <w:rPr>
                <w:noProof/>
              </w:rPr>
              <w:t xml:space="preserve">representing different economic sectors; </w:t>
            </w:r>
          </w:p>
        </w:tc>
      </w:tr>
    </w:tbl>
    <w:p w:rsidR="00620F75" w:rsidRDefault="00620F75">
      <w:pPr>
        <w:rPr>
          <w:noProof/>
        </w:rPr>
      </w:pPr>
    </w:p>
    <w:p w:rsidR="00620F75" w:rsidRDefault="001F403D">
      <w:pPr>
        <w:pStyle w:val="Heading4"/>
        <w:rPr>
          <w:noProof/>
        </w:rPr>
      </w:pPr>
      <w:r>
        <w:rPr>
          <w:noProof/>
        </w:rPr>
        <w:t>ECVET</w:t>
      </w:r>
    </w:p>
    <w:p w:rsidR="00620F75" w:rsidRDefault="001F403D">
      <w:pPr>
        <w:rPr>
          <w:noProof/>
        </w:rPr>
      </w:pPr>
      <w:r>
        <w:rPr>
          <w:noProof/>
        </w:rPr>
        <w:t>The ECVET Recommendation adopted in 2009 defines a technical framework to assess and document learning outcomes – the knowledge, skills and competences developed by learners. It also aimed to serve as a mea</w:t>
      </w:r>
      <w:r>
        <w:rPr>
          <w:noProof/>
        </w:rPr>
        <w:t>ns to facilitate labour mobility by enhancing transparency and recognition of such learning outcomes.</w:t>
      </w:r>
    </w:p>
    <w:p w:rsidR="00620F75" w:rsidRDefault="001F403D">
      <w:pPr>
        <w:rPr>
          <w:noProof/>
        </w:rPr>
      </w:pPr>
      <w:r>
        <w:rPr>
          <w:noProof/>
        </w:rPr>
        <w:t>ECVET is based on the following principles:</w:t>
      </w:r>
    </w:p>
    <w:p w:rsidR="00620F75" w:rsidRDefault="001F403D">
      <w:pPr>
        <w:pStyle w:val="ListParagraph"/>
        <w:numPr>
          <w:ilvl w:val="0"/>
          <w:numId w:val="20"/>
        </w:numPr>
        <w:rPr>
          <w:noProof/>
        </w:rPr>
      </w:pPr>
      <w:r>
        <w:rPr>
          <w:noProof/>
        </w:rPr>
        <w:t xml:space="preserve">Qualifications are made up of learning outcome units that can each be assessed and validated; </w:t>
      </w:r>
    </w:p>
    <w:p w:rsidR="00620F75" w:rsidRDefault="001F403D">
      <w:pPr>
        <w:pStyle w:val="ListParagraph"/>
        <w:numPr>
          <w:ilvl w:val="0"/>
          <w:numId w:val="20"/>
        </w:numPr>
        <w:rPr>
          <w:noProof/>
        </w:rPr>
      </w:pPr>
      <w:r>
        <w:rPr>
          <w:noProof/>
        </w:rPr>
        <w:t xml:space="preserve">Assessed units </w:t>
      </w:r>
      <w:r>
        <w:rPr>
          <w:noProof/>
        </w:rPr>
        <w:t>of learning outcomes represent the learners’ credit, which can be transferred to another country or setting and cumulated towards a full qualification.</w:t>
      </w:r>
    </w:p>
    <w:p w:rsidR="00620F75" w:rsidRDefault="001F403D">
      <w:pPr>
        <w:rPr>
          <w:noProof/>
        </w:rPr>
      </w:pPr>
      <w:r>
        <w:rPr>
          <w:noProof/>
        </w:rPr>
        <w:t>The validation or certification of parts of qualifications, which are the responsibility of the competent bodies in accordance with national provisions, allow that different units can be certified following learning experience in different countries, conte</w:t>
      </w:r>
      <w:r>
        <w:rPr>
          <w:noProof/>
        </w:rPr>
        <w:t xml:space="preserve">xts (i.e. through validation of work experience), and timeframes (i.e. continuing training distributed over time). As a result, learning pathways become more flexible and mobility is supported. </w:t>
      </w:r>
    </w:p>
    <w:p w:rsidR="00620F75" w:rsidRDefault="001F403D">
      <w:pPr>
        <w:rPr>
          <w:noProof/>
        </w:rPr>
      </w:pPr>
      <w:r>
        <w:rPr>
          <w:noProof/>
        </w:rPr>
        <w:t>This section takes stock of the 10 years of ECVET implementat</w:t>
      </w:r>
      <w:r>
        <w:rPr>
          <w:noProof/>
        </w:rPr>
        <w:t>ion. It is based on the 2014 external evaluation, on Cedefop reports, on the follow up by the Education Audiovisual and Culture Executive Agency of relevant pilot projects as well as on the 2019 study on EU VET instruments.</w:t>
      </w:r>
    </w:p>
    <w:p w:rsidR="00620F75" w:rsidRDefault="001F403D">
      <w:pPr>
        <w:keepNext/>
        <w:keepLines/>
        <w:jc w:val="left"/>
        <w:outlineLvl w:val="4"/>
        <w:rPr>
          <w:rFonts w:eastAsiaTheme="majorEastAsia" w:cstheme="majorBidi"/>
          <w:b/>
          <w:noProof/>
          <w:color w:val="365F91" w:themeColor="accent1" w:themeShade="BF"/>
        </w:rPr>
      </w:pPr>
      <w:r>
        <w:rPr>
          <w:rFonts w:eastAsiaTheme="majorEastAsia" w:cstheme="majorBidi"/>
          <w:b/>
          <w:noProof/>
          <w:color w:val="365F91" w:themeColor="accent1" w:themeShade="BF"/>
        </w:rPr>
        <w:t>ECVET at VET system level</w:t>
      </w:r>
    </w:p>
    <w:p w:rsidR="00620F75" w:rsidRDefault="001F403D">
      <w:pPr>
        <w:rPr>
          <w:noProof/>
        </w:rPr>
      </w:pPr>
      <w:r>
        <w:rPr>
          <w:noProof/>
        </w:rPr>
        <w:t>One th</w:t>
      </w:r>
      <w:r>
        <w:rPr>
          <w:noProof/>
        </w:rPr>
        <w:t>e main important areas of ECVET’s influence at national level have been on increasing the introduction and implementation of learning outcomes approaches and the structuring of qualifications into units or groups of learning outcomes.</w:t>
      </w:r>
    </w:p>
    <w:p w:rsidR="00620F75" w:rsidRDefault="001F403D">
      <w:pPr>
        <w:rPr>
          <w:noProof/>
        </w:rPr>
      </w:pPr>
      <w:r>
        <w:rPr>
          <w:noProof/>
        </w:rPr>
        <w:t>The concept and use o</w:t>
      </w:r>
      <w:r>
        <w:rPr>
          <w:noProof/>
        </w:rPr>
        <w:t>f groups or units of learning outcomes have been central to reforms of VET systems in a variety of countries: Estonia, Latvia and Lithuania, Malta and Romania attributed a strong influence of ECVET on their substantive VET reforms. In Romania, ECVET, in co</w:t>
      </w:r>
      <w:r>
        <w:rPr>
          <w:noProof/>
        </w:rPr>
        <w:t>njunction with the EQF, has been the main pillar for the revision of qualifications in the technical VET system, for example.</w:t>
      </w:r>
    </w:p>
    <w:p w:rsidR="00620F75" w:rsidRDefault="001F403D">
      <w:pPr>
        <w:rPr>
          <w:b/>
          <w:noProof/>
        </w:rPr>
      </w:pPr>
      <w:r>
        <w:rPr>
          <w:b/>
          <w:noProof/>
        </w:rPr>
        <w:lastRenderedPageBreak/>
        <w:t>Box 2 - Examples ECVET contribution to reforms at VET system level</w:t>
      </w:r>
    </w:p>
    <w:tbl>
      <w:tblPr>
        <w:tblStyle w:val="TableGrid"/>
        <w:tblW w:w="0" w:type="auto"/>
        <w:tblLook w:val="04A0" w:firstRow="1" w:lastRow="0" w:firstColumn="1" w:lastColumn="0" w:noHBand="0" w:noVBand="1"/>
      </w:tblPr>
      <w:tblGrid>
        <w:gridCol w:w="9288"/>
      </w:tblGrid>
      <w:tr w:rsidR="00620F75">
        <w:tc>
          <w:tcPr>
            <w:tcW w:w="9288" w:type="dxa"/>
          </w:tcPr>
          <w:p w:rsidR="00620F75" w:rsidRDefault="001F403D">
            <w:pPr>
              <w:rPr>
                <w:noProof/>
              </w:rPr>
            </w:pPr>
            <w:r>
              <w:rPr>
                <w:noProof/>
              </w:rPr>
              <w:t>In the French Community of Belgium, the ECVET-inspired certific</w:t>
            </w:r>
            <w:r>
              <w:rPr>
                <w:noProof/>
              </w:rPr>
              <w:t xml:space="preserve">ation by units of learning outcomes – where each unit is certified and becomes transferable – was a major element within a comprehensive reform of the VET system, also linked to the NQF. </w:t>
            </w:r>
          </w:p>
          <w:p w:rsidR="00620F75" w:rsidRDefault="001F403D">
            <w:pPr>
              <w:rPr>
                <w:noProof/>
              </w:rPr>
            </w:pPr>
            <w:r>
              <w:rPr>
                <w:noProof/>
              </w:rPr>
              <w:t>In Finland, VET qualifications were already divided into units and a</w:t>
            </w:r>
            <w:r>
              <w:rPr>
                <w:noProof/>
              </w:rPr>
              <w:t xml:space="preserve"> credit system was applied before ECVET was launched. However, following a sustained testing phase, the ECVET principles have been introduced in the reforms of the qualification and credit system in force since August 2015.</w:t>
            </w:r>
          </w:p>
          <w:p w:rsidR="00620F75" w:rsidRDefault="001F403D">
            <w:pPr>
              <w:rPr>
                <w:noProof/>
              </w:rPr>
            </w:pPr>
            <w:r>
              <w:rPr>
                <w:noProof/>
              </w:rPr>
              <w:t>In Romania, where qualifications</w:t>
            </w:r>
            <w:r>
              <w:rPr>
                <w:noProof/>
              </w:rPr>
              <w:t xml:space="preserve"> were already composed of units, ECVET triggered the development of a credit system for initial VET. It will be implemented when the NQF is fully established.</w:t>
            </w:r>
          </w:p>
          <w:p w:rsidR="00620F75" w:rsidRDefault="001F403D">
            <w:pPr>
              <w:rPr>
                <w:noProof/>
              </w:rPr>
            </w:pPr>
            <w:r>
              <w:rPr>
                <w:noProof/>
              </w:rPr>
              <w:t xml:space="preserve">In 2012 Malta, building on the project VET-CCS, modified its well-established NQF to better take </w:t>
            </w:r>
            <w:r>
              <w:rPr>
                <w:noProof/>
              </w:rPr>
              <w:t>into account the validation of prior learning and to prepare the ground for the conversion of VET qualifications into an ECVET format, with transferable units and point allocation.</w:t>
            </w:r>
          </w:p>
        </w:tc>
      </w:tr>
    </w:tbl>
    <w:p w:rsidR="00620F75" w:rsidRDefault="001F403D">
      <w:pPr>
        <w:rPr>
          <w:noProof/>
        </w:rPr>
      </w:pPr>
      <w:r>
        <w:rPr>
          <w:noProof/>
        </w:rPr>
        <w:t xml:space="preserve"> </w:t>
      </w:r>
    </w:p>
    <w:p w:rsidR="00620F75" w:rsidRDefault="001F403D">
      <w:pPr>
        <w:keepNext/>
        <w:keepLines/>
        <w:jc w:val="left"/>
        <w:outlineLvl w:val="4"/>
        <w:rPr>
          <w:rFonts w:eastAsiaTheme="majorEastAsia" w:cstheme="majorBidi"/>
          <w:b/>
          <w:noProof/>
          <w:color w:val="365F91" w:themeColor="accent1" w:themeShade="BF"/>
        </w:rPr>
      </w:pPr>
      <w:r>
        <w:rPr>
          <w:rFonts w:eastAsiaTheme="majorEastAsia" w:cstheme="majorBidi"/>
          <w:b/>
          <w:noProof/>
          <w:color w:val="365F91" w:themeColor="accent1" w:themeShade="BF"/>
        </w:rPr>
        <w:t>ECVET for better mobility</w:t>
      </w:r>
    </w:p>
    <w:p w:rsidR="00620F75" w:rsidRDefault="001F403D">
      <w:pPr>
        <w:rPr>
          <w:noProof/>
        </w:rPr>
      </w:pPr>
      <w:r>
        <w:rPr>
          <w:noProof/>
        </w:rPr>
        <w:t>ECVET has strongly contributed to the developm</w:t>
      </w:r>
      <w:r>
        <w:rPr>
          <w:noProof/>
        </w:rPr>
        <w:t>ent of better-quality mobility experiences for VET learners, through more effective agreement on, and documentation, of learning outcomes. In some countries this has reinforced the shift to use learning outcomes acquired abroad to obtain a VET qualificatio</w:t>
      </w:r>
      <w:r>
        <w:rPr>
          <w:noProof/>
        </w:rPr>
        <w:t>n, while also ensuring that the mobility experience is better structured, organised and quality assured. In addition, ECVET has contributed in a few countries to developing more flexible vocational pathways both generally (AT, MT, FI) and for learners faci</w:t>
      </w:r>
      <w:r>
        <w:rPr>
          <w:noProof/>
        </w:rPr>
        <w:t xml:space="preserve">ng barriers to learning (IE, HU, PT). Nevertheless, it is recognised that its contribution to increasing flexible learning pathways for upskilling and reskilling could be greater. </w:t>
      </w:r>
    </w:p>
    <w:p w:rsidR="00620F75" w:rsidRDefault="001F403D">
      <w:pPr>
        <w:rPr>
          <w:noProof/>
        </w:rPr>
      </w:pPr>
      <w:r>
        <w:rPr>
          <w:noProof/>
        </w:rPr>
        <w:t>On the other hand, some stakeholders argue that the concept of units of lea</w:t>
      </w:r>
      <w:r>
        <w:rPr>
          <w:noProof/>
        </w:rPr>
        <w:t>rning outcomes which are to be assessed and certified separately for accumulation are incompatible with the key characteristics of their VET qualifications. It has also had less success with the use of ECVET credit points to transfer assessed learning outc</w:t>
      </w:r>
      <w:r>
        <w:rPr>
          <w:noProof/>
        </w:rPr>
        <w:t>omes. Countries which implement national credit point systems for VET programmes or ECTS for mobility have not adopted ECVET points for mobility outcomes. Despite the fact that ECVET is being implemented since 10 years, it did not result in the establishme</w:t>
      </w:r>
      <w:r>
        <w:rPr>
          <w:noProof/>
        </w:rPr>
        <w:t xml:space="preserve">nt of an EU credit system in VET. </w:t>
      </w:r>
    </w:p>
    <w:p w:rsidR="00620F75" w:rsidRDefault="001F403D">
      <w:pPr>
        <w:pStyle w:val="Heading5"/>
        <w:rPr>
          <w:noProof/>
        </w:rPr>
      </w:pPr>
      <w:r>
        <w:rPr>
          <w:noProof/>
        </w:rPr>
        <w:t>Governance</w:t>
      </w:r>
    </w:p>
    <w:p w:rsidR="00620F75" w:rsidRDefault="001F403D">
      <w:pPr>
        <w:rPr>
          <w:noProof/>
        </w:rPr>
      </w:pPr>
      <w:r>
        <w:rPr>
          <w:noProof/>
        </w:rPr>
        <w:t>The Commission, following the adoption of the ECVET Recommendation, has promoted a network of ECVET stakeholders and set up the ECVET Users’ Group, which is the main governance body. It includes national repres</w:t>
      </w:r>
      <w:r>
        <w:rPr>
          <w:noProof/>
        </w:rPr>
        <w:t>entatives, social partners and other stakeholders, and meets on average twice a year. The wider network includes more than 2,000 members, and is used as a dissemination list; some 100 – 200 members participate in the ECVET Forum organised once a year.</w:t>
      </w:r>
    </w:p>
    <w:p w:rsidR="00620F75" w:rsidRDefault="001F403D">
      <w:pPr>
        <w:rPr>
          <w:noProof/>
        </w:rPr>
      </w:pPr>
      <w:r>
        <w:rPr>
          <w:noProof/>
        </w:rPr>
        <w:t>In s</w:t>
      </w:r>
      <w:r>
        <w:rPr>
          <w:noProof/>
        </w:rPr>
        <w:t>everal Member States national contact or coordination points for ECVET (NCPs) have been designated and which are financed through grants allocated to the Erasmus+ National Agencies. As they are not foreseen in the ECVET Recommendation, they don’t share any</w:t>
      </w:r>
      <w:r>
        <w:rPr>
          <w:noProof/>
        </w:rPr>
        <w:t xml:space="preserve"> terms of reference and their nature, role and activity vary significantly between countries. </w:t>
      </w:r>
    </w:p>
    <w:p w:rsidR="00620F75" w:rsidRDefault="001F403D">
      <w:pPr>
        <w:rPr>
          <w:noProof/>
        </w:rPr>
      </w:pPr>
      <w:r>
        <w:rPr>
          <w:noProof/>
        </w:rPr>
        <w:lastRenderedPageBreak/>
        <w:t>The funding provided to National Erasmus+ Agencies</w:t>
      </w:r>
      <w:r>
        <w:rPr>
          <w:noProof/>
          <w:sz w:val="18"/>
          <w:szCs w:val="18"/>
        </w:rPr>
        <w:t xml:space="preserve"> </w:t>
      </w:r>
      <w:r>
        <w:rPr>
          <w:noProof/>
        </w:rPr>
        <w:t>to implement ECVET is used to support and coordinate national teams of ECVET experts. The teams</w:t>
      </w:r>
      <w:r>
        <w:rPr>
          <w:rFonts w:cs="Arial"/>
          <w:noProof/>
        </w:rPr>
        <w:t xml:space="preserve"> </w:t>
      </w:r>
      <w:r>
        <w:rPr>
          <w:noProof/>
        </w:rPr>
        <w:t xml:space="preserve">provide a pool of expertise who promote the adoption, the application and the use of ECVET at national level and provide counselling to VET relevant competent bodies and institutions. </w:t>
      </w:r>
    </w:p>
    <w:p w:rsidR="00620F75" w:rsidRDefault="001F403D">
      <w:pPr>
        <w:rPr>
          <w:noProof/>
        </w:rPr>
      </w:pPr>
      <w:r>
        <w:rPr>
          <w:noProof/>
        </w:rPr>
        <w:t xml:space="preserve">The teams of experts provide primarily consultancy to VET providers in </w:t>
      </w:r>
      <w:r>
        <w:rPr>
          <w:noProof/>
        </w:rPr>
        <w:t>the development of a better-quality mobility experience, namely in the application of the ECVET templates and defining, assessing and recognising (units of) learning outcomes related to transnational mobility experience. This need is intensified by the gro</w:t>
      </w:r>
      <w:r>
        <w:rPr>
          <w:noProof/>
        </w:rPr>
        <w:t>wing emphasis on long-term mobility measures including ErasmusPro. In some countries, the growing number of private providers presents a new target group. As mobility is becoming more a formally integrated element of national VET programmes, it increases t</w:t>
      </w:r>
      <w:r>
        <w:rPr>
          <w:noProof/>
        </w:rPr>
        <w:t xml:space="preserve">he need for awareness about and application of the EU instruments including ECVET. </w:t>
      </w:r>
    </w:p>
    <w:p w:rsidR="00620F75" w:rsidRDefault="001F403D">
      <w:pPr>
        <w:rPr>
          <w:rFonts w:eastAsia="Times New Roman"/>
          <w:noProof/>
        </w:rPr>
      </w:pPr>
      <w:r>
        <w:rPr>
          <w:noProof/>
        </w:rPr>
        <w:t xml:space="preserve">Some National </w:t>
      </w:r>
      <w:r>
        <w:rPr>
          <w:rFonts w:eastAsia="Times New Roman"/>
          <w:noProof/>
        </w:rPr>
        <w:t>Agencies conduct an expanded ECVET work where the primary focus is on the application of the learning outcomes approach in different contexts as a means to im</w:t>
      </w:r>
      <w:r>
        <w:rPr>
          <w:rFonts w:eastAsia="Times New Roman"/>
          <w:noProof/>
        </w:rPr>
        <w:t>prove quality. Within the VET community, VET providers (teachers, headmasters, assessors) are frequently targeted to be informed about the use of learning outcomes in teaching and particularly in assessment but also in developing training programmes. ECVET</w:t>
      </w:r>
      <w:r>
        <w:rPr>
          <w:rFonts w:eastAsia="Times New Roman"/>
          <w:noProof/>
        </w:rPr>
        <w:t xml:space="preserve"> teams contribute to exploiting ECVET as a tool to increase quality of domestic work-based learning schemes as well. </w:t>
      </w:r>
    </w:p>
    <w:p w:rsidR="00620F75" w:rsidRDefault="001F403D">
      <w:pPr>
        <w:rPr>
          <w:noProof/>
        </w:rPr>
      </w:pPr>
      <w:r>
        <w:rPr>
          <w:noProof/>
        </w:rPr>
        <w:t>ECVET aims to contribute to mutual trust among the various actors involved in VET in national and international level. A number of ECVET t</w:t>
      </w:r>
      <w:r>
        <w:rPr>
          <w:noProof/>
        </w:rPr>
        <w:t>eams work towards the application of ECVET to increase the transparency and flexibility of national qualifications systems and to facilitate lifelong learning. ECVET is also tested and used to contribute to quality assurance of validation policies and prac</w:t>
      </w:r>
      <w:r>
        <w:rPr>
          <w:noProof/>
        </w:rPr>
        <w:t>tices and to build flexible pathways in adult learning provision. Promoting ECVET as a tool to support permeability between higher education and VET is being exploited as well by several ECVET teams. The national teams work together with experts and contac</w:t>
      </w:r>
      <w:r>
        <w:rPr>
          <w:noProof/>
        </w:rPr>
        <w:t xml:space="preserve">t points of other transparency and flexibility EU instruments such as EQF and EUROPASS NCPSs, EQAVET, Euroguidance, ECTS, EPALE, EFQEA dependent on national policy priorities. </w:t>
      </w:r>
    </w:p>
    <w:p w:rsidR="00620F75" w:rsidRDefault="00620F75">
      <w:pPr>
        <w:pStyle w:val="Heading5"/>
        <w:rPr>
          <w:noProof/>
        </w:rPr>
      </w:pPr>
    </w:p>
    <w:p w:rsidR="00620F75" w:rsidRDefault="001F403D">
      <w:pPr>
        <w:pStyle w:val="Heading4"/>
        <w:rPr>
          <w:noProof/>
        </w:rPr>
      </w:pPr>
      <w:r>
        <w:rPr>
          <w:noProof/>
        </w:rPr>
        <w:t>Apprenticeships</w:t>
      </w:r>
    </w:p>
    <w:p w:rsidR="00620F75" w:rsidRDefault="001F403D">
      <w:pPr>
        <w:rPr>
          <w:noProof/>
        </w:rPr>
      </w:pPr>
      <w:r>
        <w:rPr>
          <w:noProof/>
        </w:rPr>
        <w:t xml:space="preserve">The Council adopted on 15 March 2018 a Recommendation on a </w:t>
      </w:r>
      <w:r>
        <w:rPr>
          <w:b/>
          <w:noProof/>
        </w:rPr>
        <w:t>European Framework for Quality and Effective Apprenticeships</w:t>
      </w:r>
      <w:r>
        <w:rPr>
          <w:noProof/>
        </w:rPr>
        <w:t xml:space="preserve"> (2018/C 153/01), following the Commission’s proposal of October 2017. The Framework sets out 14 criteria to define quality and effective apprenticeships, ensuring both the development of job-rela</w:t>
      </w:r>
      <w:r>
        <w:rPr>
          <w:noProof/>
        </w:rPr>
        <w:t xml:space="preserve">ted skills and the personal development of apprentices. It takes into account the diversity of vocational education and training (VET) systems across the EU and respects the Member States' competence in the area of VET. </w:t>
      </w:r>
    </w:p>
    <w:p w:rsidR="00620F75" w:rsidRDefault="001F403D">
      <w:pPr>
        <w:spacing w:after="120"/>
        <w:rPr>
          <w:noProof/>
          <w:lang w:eastAsia="en-GB"/>
        </w:rPr>
      </w:pPr>
      <w:r>
        <w:rPr>
          <w:noProof/>
          <w:lang w:eastAsia="en-GB"/>
        </w:rPr>
        <w:t xml:space="preserve">The Council Recommendation on a </w:t>
      </w:r>
      <w:hyperlink r:id="rId31" w:history="1">
        <w:r>
          <w:rPr>
            <w:noProof/>
            <w:color w:val="0563C1"/>
            <w:u w:val="single"/>
            <w:lang w:eastAsia="en-GB"/>
          </w:rPr>
          <w:t>European Framework for Quality and Effective Apprenticeships</w:t>
        </w:r>
      </w:hyperlink>
      <w:r>
        <w:rPr>
          <w:noProof/>
          <w:lang w:eastAsia="en-GB"/>
        </w:rPr>
        <w:t xml:space="preserve"> (EFQEA) sets out 14 criteria to define quality and effective apprenticeships (see below).</w:t>
      </w:r>
    </w:p>
    <w:p w:rsidR="00620F75" w:rsidRDefault="00620F75">
      <w:pPr>
        <w:spacing w:after="120"/>
        <w:rPr>
          <w:noProof/>
          <w:lang w:eastAsia="en-GB"/>
        </w:rPr>
      </w:pPr>
    </w:p>
    <w:p w:rsidR="00620F75" w:rsidRDefault="00620F75">
      <w:pPr>
        <w:spacing w:after="120"/>
        <w:rPr>
          <w:noProof/>
          <w:lang w:eastAsia="en-GB"/>
        </w:rPr>
      </w:pPr>
    </w:p>
    <w:p w:rsidR="00620F75" w:rsidRDefault="00620F75">
      <w:pPr>
        <w:spacing w:after="120"/>
        <w:rPr>
          <w:noProof/>
          <w:lang w:eastAsia="en-GB"/>
        </w:rPr>
      </w:pPr>
    </w:p>
    <w:p w:rsidR="00620F75" w:rsidRDefault="001F403D">
      <w:pPr>
        <w:rPr>
          <w:rFonts w:cstheme="minorHAnsi"/>
          <w:b/>
          <w:iCs/>
          <w:noProof/>
          <w:szCs w:val="24"/>
        </w:rPr>
      </w:pPr>
      <w:r>
        <w:rPr>
          <w:rFonts w:cstheme="minorHAnsi"/>
          <w:b/>
          <w:iCs/>
          <w:noProof/>
          <w:szCs w:val="24"/>
        </w:rPr>
        <w:lastRenderedPageBreak/>
        <w:t>Tabl</w:t>
      </w:r>
      <w:r>
        <w:rPr>
          <w:rFonts w:cstheme="minorHAnsi"/>
          <w:b/>
          <w:iCs/>
          <w:noProof/>
          <w:szCs w:val="24"/>
        </w:rPr>
        <w:t>e 1:</w:t>
      </w:r>
      <w:r>
        <w:rPr>
          <w:i/>
          <w:noProof/>
          <w:color w:val="0B6192"/>
          <w:sz w:val="22"/>
        </w:rPr>
        <w:t xml:space="preserve"> </w:t>
      </w:r>
      <w:r>
        <w:rPr>
          <w:rFonts w:cstheme="minorHAnsi"/>
          <w:b/>
          <w:iCs/>
          <w:noProof/>
          <w:szCs w:val="24"/>
        </w:rPr>
        <w:t>Criteria for quality and effective apprenticeships</w:t>
      </w:r>
    </w:p>
    <w:p w:rsidR="00620F75" w:rsidRDefault="00620F75">
      <w:pPr>
        <w:rPr>
          <w:rFonts w:cstheme="minorHAnsi"/>
          <w:b/>
          <w:iCs/>
          <w:noProof/>
          <w:szCs w:val="24"/>
        </w:rPr>
      </w:pPr>
    </w:p>
    <w:tbl>
      <w:tblPr>
        <w:tblW w:w="6885" w:type="dxa"/>
        <w:jc w:val="center"/>
        <w:tblBorders>
          <w:top w:val="single" w:sz="8" w:space="0" w:color="0B6192"/>
          <w:left w:val="single" w:sz="8" w:space="0" w:color="0B6192"/>
          <w:bottom w:val="single" w:sz="8" w:space="0" w:color="0B6192"/>
          <w:right w:val="single" w:sz="8" w:space="0" w:color="0B6192"/>
          <w:insideH w:val="single" w:sz="8" w:space="0" w:color="0B6192"/>
          <w:insideV w:val="single" w:sz="8" w:space="0" w:color="0B6192"/>
        </w:tblBorders>
        <w:tblCellMar>
          <w:left w:w="0" w:type="dxa"/>
          <w:right w:w="0" w:type="dxa"/>
        </w:tblCellMar>
        <w:tblLook w:val="04A0" w:firstRow="1" w:lastRow="0" w:firstColumn="1" w:lastColumn="0" w:noHBand="0" w:noVBand="1"/>
      </w:tblPr>
      <w:tblGrid>
        <w:gridCol w:w="3442"/>
        <w:gridCol w:w="3443"/>
      </w:tblGrid>
      <w:tr w:rsidR="00620F75">
        <w:trPr>
          <w:trHeight w:val="397"/>
          <w:jc w:val="center"/>
        </w:trPr>
        <w:tc>
          <w:tcPr>
            <w:tcW w:w="3442" w:type="dxa"/>
            <w:shd w:val="clear" w:color="auto" w:fill="0B6192"/>
            <w:tcMar>
              <w:top w:w="0" w:type="dxa"/>
              <w:left w:w="108" w:type="dxa"/>
              <w:bottom w:w="0" w:type="dxa"/>
              <w:right w:w="108" w:type="dxa"/>
            </w:tcMar>
            <w:hideMark/>
          </w:tcPr>
          <w:p w:rsidR="00620F75" w:rsidRDefault="001F403D">
            <w:pPr>
              <w:spacing w:before="60" w:after="60"/>
              <w:jc w:val="center"/>
              <w:rPr>
                <w:rFonts w:cstheme="minorHAnsi"/>
                <w:bCs/>
                <w:noProof/>
                <w:color w:val="FFFFFF" w:themeColor="background1"/>
                <w:sz w:val="20"/>
                <w:szCs w:val="20"/>
                <w:lang w:eastAsia="en-GB"/>
              </w:rPr>
            </w:pPr>
            <w:r>
              <w:rPr>
                <w:rFonts w:cstheme="minorHAnsi"/>
                <w:bCs/>
                <w:noProof/>
                <w:color w:val="FFFFFF" w:themeColor="background1"/>
                <w:sz w:val="20"/>
                <w:szCs w:val="20"/>
                <w:lang w:eastAsia="en-GB"/>
              </w:rPr>
              <w:t xml:space="preserve">7 criteria for </w:t>
            </w:r>
            <w:r>
              <w:rPr>
                <w:rFonts w:cstheme="minorHAnsi"/>
                <w:bCs/>
                <w:noProof/>
                <w:color w:val="FFFFFF" w:themeColor="background1"/>
                <w:sz w:val="20"/>
                <w:szCs w:val="20"/>
                <w:lang w:eastAsia="en-GB"/>
              </w:rPr>
              <w:br/>
              <w:t>learning and working conditions</w:t>
            </w:r>
          </w:p>
        </w:tc>
        <w:tc>
          <w:tcPr>
            <w:tcW w:w="3443" w:type="dxa"/>
            <w:shd w:val="clear" w:color="auto" w:fill="0B6192"/>
            <w:tcMar>
              <w:top w:w="0" w:type="dxa"/>
              <w:left w:w="108" w:type="dxa"/>
              <w:bottom w:w="0" w:type="dxa"/>
              <w:right w:w="108" w:type="dxa"/>
            </w:tcMar>
            <w:hideMark/>
          </w:tcPr>
          <w:p w:rsidR="00620F75" w:rsidRDefault="001F403D">
            <w:pPr>
              <w:spacing w:before="60" w:after="60"/>
              <w:jc w:val="center"/>
              <w:rPr>
                <w:rFonts w:cstheme="minorHAnsi"/>
                <w:bCs/>
                <w:noProof/>
                <w:color w:val="FFFFFF" w:themeColor="background1"/>
                <w:sz w:val="20"/>
                <w:szCs w:val="20"/>
                <w:lang w:eastAsia="en-GB"/>
              </w:rPr>
            </w:pPr>
            <w:r>
              <w:rPr>
                <w:rFonts w:cstheme="minorHAnsi"/>
                <w:bCs/>
                <w:noProof/>
                <w:color w:val="FFFFFF" w:themeColor="background1"/>
                <w:sz w:val="20"/>
                <w:szCs w:val="20"/>
                <w:lang w:eastAsia="en-GB"/>
              </w:rPr>
              <w:t xml:space="preserve">7 criteria for </w:t>
            </w:r>
            <w:r>
              <w:rPr>
                <w:rFonts w:cstheme="minorHAnsi"/>
                <w:bCs/>
                <w:noProof/>
                <w:color w:val="FFFFFF" w:themeColor="background1"/>
                <w:sz w:val="20"/>
                <w:szCs w:val="20"/>
                <w:lang w:eastAsia="en-GB"/>
              </w:rPr>
              <w:br/>
              <w:t>framework conditions</w:t>
            </w:r>
          </w:p>
        </w:tc>
      </w:tr>
      <w:tr w:rsidR="00620F75">
        <w:trPr>
          <w:trHeight w:val="397"/>
          <w:jc w:val="center"/>
        </w:trPr>
        <w:tc>
          <w:tcPr>
            <w:tcW w:w="3442" w:type="dxa"/>
            <w:tcMar>
              <w:top w:w="0" w:type="dxa"/>
              <w:left w:w="108" w:type="dxa"/>
              <w:bottom w:w="0" w:type="dxa"/>
              <w:right w:w="108" w:type="dxa"/>
            </w:tcMar>
            <w:vAlign w:val="center"/>
            <w:hideMark/>
          </w:tcPr>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Written agreement</w:t>
            </w:r>
          </w:p>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Learning outcomes</w:t>
            </w:r>
          </w:p>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Pedagogical support</w:t>
            </w:r>
          </w:p>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Workplace component</w:t>
            </w:r>
          </w:p>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Pay or compensation</w:t>
            </w:r>
          </w:p>
          <w:p w:rsidR="00620F75" w:rsidRDefault="001F403D">
            <w:pPr>
              <w:numPr>
                <w:ilvl w:val="0"/>
                <w:numId w:val="2"/>
              </w:numPr>
              <w:spacing w:before="60" w:after="60"/>
              <w:ind w:left="337"/>
              <w:jc w:val="left"/>
              <w:rPr>
                <w:rFonts w:eastAsia="Times New Roman" w:cstheme="minorHAnsi"/>
                <w:iCs/>
                <w:noProof/>
                <w:sz w:val="20"/>
                <w:szCs w:val="20"/>
                <w:lang w:eastAsia="en-GB"/>
              </w:rPr>
            </w:pPr>
            <w:r>
              <w:rPr>
                <w:rFonts w:eastAsia="Times New Roman" w:cstheme="minorHAnsi"/>
                <w:iCs/>
                <w:noProof/>
                <w:sz w:val="20"/>
                <w:szCs w:val="20"/>
                <w:lang w:eastAsia="en-GB"/>
              </w:rPr>
              <w:t>Social protection</w:t>
            </w:r>
          </w:p>
          <w:p w:rsidR="00620F75" w:rsidRDefault="001F403D">
            <w:pPr>
              <w:numPr>
                <w:ilvl w:val="0"/>
                <w:numId w:val="2"/>
              </w:numPr>
              <w:spacing w:before="60" w:after="60"/>
              <w:ind w:left="337"/>
              <w:jc w:val="left"/>
              <w:rPr>
                <w:rFonts w:eastAsia="Times New Roman" w:cstheme="minorHAnsi"/>
                <w:bCs/>
                <w:iCs/>
                <w:noProof/>
                <w:sz w:val="20"/>
                <w:szCs w:val="20"/>
                <w:lang w:eastAsia="en-GB"/>
              </w:rPr>
            </w:pPr>
            <w:r>
              <w:rPr>
                <w:rFonts w:eastAsia="Times New Roman" w:cstheme="minorHAnsi"/>
                <w:iCs/>
                <w:noProof/>
                <w:sz w:val="20"/>
                <w:szCs w:val="20"/>
                <w:lang w:eastAsia="en-GB"/>
              </w:rPr>
              <w:t>Work, health and safety conditions</w:t>
            </w:r>
          </w:p>
        </w:tc>
        <w:tc>
          <w:tcPr>
            <w:tcW w:w="3443" w:type="dxa"/>
            <w:tcMar>
              <w:top w:w="0" w:type="dxa"/>
              <w:left w:w="108" w:type="dxa"/>
              <w:bottom w:w="0" w:type="dxa"/>
              <w:right w:w="108" w:type="dxa"/>
            </w:tcMar>
            <w:vAlign w:val="center"/>
            <w:hideMark/>
          </w:tcPr>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Regulatory framework</w:t>
            </w:r>
          </w:p>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Involvement of social partners</w:t>
            </w:r>
          </w:p>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Support for companies</w:t>
            </w:r>
          </w:p>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Flexible pathways and mobility</w:t>
            </w:r>
          </w:p>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Career guidance and awareness raising</w:t>
            </w:r>
          </w:p>
          <w:p w:rsidR="00620F75" w:rsidRDefault="001F403D">
            <w:pPr>
              <w:numPr>
                <w:ilvl w:val="0"/>
                <w:numId w:val="3"/>
              </w:numPr>
              <w:spacing w:before="60" w:after="60"/>
              <w:ind w:left="300" w:hanging="284"/>
              <w:jc w:val="left"/>
              <w:rPr>
                <w:rFonts w:cstheme="minorHAnsi"/>
                <w:iCs/>
                <w:noProof/>
                <w:sz w:val="20"/>
                <w:szCs w:val="20"/>
                <w:lang w:eastAsia="en-GB"/>
              </w:rPr>
            </w:pPr>
            <w:r>
              <w:rPr>
                <w:rFonts w:cstheme="minorHAnsi"/>
                <w:iCs/>
                <w:noProof/>
                <w:sz w:val="20"/>
                <w:szCs w:val="20"/>
                <w:lang w:eastAsia="en-GB"/>
              </w:rPr>
              <w:t>Transparency</w:t>
            </w:r>
          </w:p>
          <w:p w:rsidR="00620F75" w:rsidRDefault="001F403D">
            <w:pPr>
              <w:numPr>
                <w:ilvl w:val="0"/>
                <w:numId w:val="3"/>
              </w:numPr>
              <w:spacing w:before="60" w:after="60"/>
              <w:ind w:left="300" w:hanging="284"/>
              <w:jc w:val="left"/>
              <w:rPr>
                <w:rFonts w:cstheme="minorHAnsi"/>
                <w:bCs/>
                <w:iCs/>
                <w:noProof/>
                <w:sz w:val="20"/>
                <w:szCs w:val="20"/>
                <w:lang w:eastAsia="en-GB"/>
              </w:rPr>
            </w:pPr>
            <w:r>
              <w:rPr>
                <w:rFonts w:cstheme="minorHAnsi"/>
                <w:iCs/>
                <w:noProof/>
                <w:sz w:val="20"/>
                <w:szCs w:val="20"/>
                <w:lang w:eastAsia="en-GB"/>
              </w:rPr>
              <w:t>Quality assurance and tracking of apprentices</w:t>
            </w:r>
          </w:p>
        </w:tc>
      </w:tr>
    </w:tbl>
    <w:p w:rsidR="00620F75" w:rsidRDefault="001F403D">
      <w:pPr>
        <w:rPr>
          <w:noProof/>
          <w:lang w:eastAsia="en-GB"/>
        </w:rPr>
      </w:pPr>
      <w:r>
        <w:rPr>
          <w:noProof/>
          <w:lang w:eastAsia="en-GB"/>
        </w:rPr>
        <w:t xml:space="preserve">To support </w:t>
      </w:r>
      <w:r>
        <w:rPr>
          <w:noProof/>
          <w:lang w:eastAsia="en-GB"/>
        </w:rPr>
        <w:t>implementation of the Recommendation the Commission has set up an Apprenticeship Support Services and is carrying out conducting awareness raising campaigns such as the European Vocational Skills Week.</w:t>
      </w:r>
    </w:p>
    <w:p w:rsidR="00620F75" w:rsidRDefault="001F403D">
      <w:pPr>
        <w:pStyle w:val="Heading4"/>
        <w:rPr>
          <w:noProof/>
        </w:rPr>
      </w:pPr>
      <w:r>
        <w:rPr>
          <w:noProof/>
        </w:rPr>
        <w:t>Upskilling Pathways</w:t>
      </w:r>
    </w:p>
    <w:p w:rsidR="00620F75" w:rsidRDefault="001F403D">
      <w:pPr>
        <w:rPr>
          <w:noProof/>
          <w:lang w:val="en-US"/>
        </w:rPr>
      </w:pPr>
      <w:r>
        <w:rPr>
          <w:noProof/>
          <w:lang w:val="en-US"/>
        </w:rPr>
        <w:t>The Recommendation Upskilling Path</w:t>
      </w:r>
      <w:r>
        <w:rPr>
          <w:noProof/>
          <w:lang w:val="en-US"/>
        </w:rPr>
        <w:t>ways targets low-qualified adults, a large vulnerable group who have at best achieved a lower secondary education qualification, i.e. those who most need to upskill and are least motivated to do so. It supports those adults with low levels of skills and qu</w:t>
      </w:r>
      <w:r>
        <w:rPr>
          <w:noProof/>
          <w:lang w:val="en-US"/>
        </w:rPr>
        <w:t xml:space="preserve">alifications to enhance their literacy, numeracy and digital skills and/or to acquire a broader set of skills by progressing towards higher qualifications. </w:t>
      </w:r>
    </w:p>
    <w:p w:rsidR="00620F75" w:rsidRDefault="001F403D">
      <w:pPr>
        <w:rPr>
          <w:noProof/>
          <w:lang w:val="en-US"/>
        </w:rPr>
      </w:pPr>
      <w:r>
        <w:rPr>
          <w:noProof/>
          <w:lang w:val="en-US"/>
        </w:rPr>
        <w:t>The Commission Staff Working Document “Taking stock of implementation measures”, February 2019, fou</w:t>
      </w:r>
      <w:r>
        <w:rPr>
          <w:noProof/>
          <w:lang w:val="en-US"/>
        </w:rPr>
        <w:t>nd that many of the measures targeting low skilled adults promote vocational and job specific skills. What is less clear is whether they adequately deliver missing basic skills, therefore, more work is required to ensure that basic literacy, numeracy and d</w:t>
      </w:r>
      <w:r>
        <w:rPr>
          <w:noProof/>
          <w:lang w:val="en-US"/>
        </w:rPr>
        <w:t xml:space="preserve">igital skills are embedded when necessary in tailored VET offers. </w:t>
      </w:r>
    </w:p>
    <w:p w:rsidR="00620F75" w:rsidRDefault="001F403D">
      <w:pPr>
        <w:rPr>
          <w:noProof/>
          <w:lang w:val="en-US"/>
        </w:rPr>
      </w:pPr>
      <w:r>
        <w:rPr>
          <w:noProof/>
          <w:lang w:val="en-US"/>
        </w:rPr>
        <w:t>Another characteristic is that measures reported are largely project-driven, often with ESF support, but a few countries do have a more sustainable approach incorporated in mainstream VET s</w:t>
      </w:r>
      <w:r>
        <w:rPr>
          <w:noProof/>
          <w:lang w:val="en-US"/>
        </w:rPr>
        <w:t xml:space="preserve">upply (Finland), or more permanent procedures to deliver basic skills (Austria, Denmark) as a precursor to VET. </w:t>
      </w:r>
    </w:p>
    <w:p w:rsidR="00620F75" w:rsidRDefault="001F403D">
      <w:pPr>
        <w:rPr>
          <w:noProof/>
          <w:lang w:val="en-US"/>
        </w:rPr>
      </w:pPr>
      <w:r>
        <w:rPr>
          <w:noProof/>
          <w:lang w:val="en-US"/>
        </w:rPr>
        <w:t xml:space="preserve">Efforts to </w:t>
      </w:r>
      <w:r>
        <w:rPr>
          <w:b/>
          <w:noProof/>
          <w:color w:val="0B6192"/>
          <w:lang w:val="en-US"/>
        </w:rPr>
        <w:t>tailor learning to individual needs</w:t>
      </w:r>
      <w:r>
        <w:rPr>
          <w:noProof/>
          <w:lang w:val="en-US"/>
        </w:rPr>
        <w:t xml:space="preserve">, incorporating the three steps, are not yet the norm and countries are at very different stages of development but are producing some interesting results, which also impact on the flexibility of VET programmes and the offer of more tailored pathways. </w:t>
      </w:r>
    </w:p>
    <w:p w:rsidR="00620F75" w:rsidRDefault="001F403D">
      <w:pPr>
        <w:rPr>
          <w:noProof/>
          <w:lang w:val="en-US"/>
        </w:rPr>
      </w:pPr>
      <w:r>
        <w:rPr>
          <w:b/>
          <w:noProof/>
          <w:color w:val="0B6192"/>
          <w:lang w:val="en-US"/>
        </w:rPr>
        <w:t>Mod</w:t>
      </w:r>
      <w:r>
        <w:rPr>
          <w:b/>
          <w:noProof/>
          <w:color w:val="0B6192"/>
          <w:lang w:val="en-US"/>
        </w:rPr>
        <w:t>ularisation</w:t>
      </w:r>
      <w:r>
        <w:rPr>
          <w:noProof/>
          <w:color w:val="0B6192"/>
          <w:lang w:val="en-US"/>
        </w:rPr>
        <w:t xml:space="preserve"> </w:t>
      </w:r>
      <w:r>
        <w:rPr>
          <w:noProof/>
          <w:lang w:val="en-US"/>
        </w:rPr>
        <w:t>of programmes is growing; modules are widely applied across further education and training in Ireland; competence-based system in Finland; modular vocational training and professional development programmes for unemployed people were introduced</w:t>
      </w:r>
      <w:r>
        <w:rPr>
          <w:noProof/>
          <w:lang w:val="en-US"/>
        </w:rPr>
        <w:t xml:space="preserve"> in Latvia; a modular basic skills programme in Croatia, and a modular format in both VET and second chance programmes in Romania. Access to single-subject courses in Denmark and the possibility to take subject at different levels concurrently offers great</w:t>
      </w:r>
      <w:r>
        <w:rPr>
          <w:noProof/>
          <w:lang w:val="en-US"/>
        </w:rPr>
        <w:t xml:space="preserve">er flexibility for tailoring, as does the option to combine parts of various programmes in Sweden – VET with upper secondary, basic skills and language learning with VET, or an </w:t>
      </w:r>
      <w:r>
        <w:rPr>
          <w:noProof/>
          <w:lang w:val="en-US"/>
        </w:rPr>
        <w:lastRenderedPageBreak/>
        <w:t>individual study plan at a Folk High School, while the VET offer for long term-</w:t>
      </w:r>
      <w:r>
        <w:rPr>
          <w:noProof/>
          <w:lang w:val="en-US"/>
        </w:rPr>
        <w:t xml:space="preserve">unemployed or newly arrived people is tailored to local occupational shortages. </w:t>
      </w:r>
    </w:p>
    <w:p w:rsidR="00620F75" w:rsidRDefault="001F403D">
      <w:pPr>
        <w:pStyle w:val="Heading3"/>
        <w:rPr>
          <w:noProof/>
        </w:rPr>
      </w:pPr>
      <w:bookmarkStart w:id="87" w:name="_Toc34039147"/>
      <w:bookmarkStart w:id="88" w:name="_Toc34040448"/>
      <w:bookmarkStart w:id="89" w:name="_Toc34041705"/>
      <w:bookmarkStart w:id="90" w:name="_Toc34042207"/>
      <w:bookmarkStart w:id="91" w:name="_Toc32997309"/>
      <w:bookmarkStart w:id="92" w:name="_Toc43376105"/>
      <w:r>
        <w:rPr>
          <w:noProof/>
        </w:rPr>
        <w:t>Fostering exchanges and mutual learning</w:t>
      </w:r>
      <w:bookmarkEnd w:id="87"/>
      <w:bookmarkEnd w:id="88"/>
      <w:bookmarkEnd w:id="89"/>
      <w:bookmarkEnd w:id="90"/>
      <w:bookmarkEnd w:id="91"/>
      <w:bookmarkEnd w:id="92"/>
    </w:p>
    <w:p w:rsidR="00620F75" w:rsidRDefault="001F403D">
      <w:pPr>
        <w:pStyle w:val="Heading5"/>
        <w:rPr>
          <w:noProof/>
        </w:rPr>
      </w:pPr>
      <w:r>
        <w:rPr>
          <w:noProof/>
        </w:rPr>
        <w:t>Working groups on VET and adult learning</w:t>
      </w:r>
    </w:p>
    <w:p w:rsidR="00620F75" w:rsidRDefault="001F403D">
      <w:pPr>
        <w:rPr>
          <w:noProof/>
        </w:rPr>
      </w:pPr>
      <w:r>
        <w:rPr>
          <w:noProof/>
        </w:rPr>
        <w:t>The European Commission facilities groups of Member State experts and representatives of socia</w:t>
      </w:r>
      <w:r>
        <w:rPr>
          <w:noProof/>
        </w:rPr>
        <w:t>l partners and civil society that examine national policy and good practice from different countries, look at the evidence from research, and draw up key conclusions and recommendations.</w:t>
      </w:r>
    </w:p>
    <w:p w:rsidR="00620F75" w:rsidRDefault="001F403D">
      <w:pPr>
        <w:rPr>
          <w:noProof/>
        </w:rPr>
      </w:pPr>
      <w:r>
        <w:rPr>
          <w:noProof/>
        </w:rPr>
        <w:t xml:space="preserve">In 2018-2020, the ET 2020 Working Group on </w:t>
      </w:r>
      <w:r>
        <w:rPr>
          <w:b/>
          <w:noProof/>
        </w:rPr>
        <w:t>Vocational Education and T</w:t>
      </w:r>
      <w:r>
        <w:rPr>
          <w:b/>
          <w:noProof/>
        </w:rPr>
        <w:t>raining (VET)</w:t>
      </w:r>
      <w:r>
        <w:rPr>
          <w:noProof/>
        </w:rPr>
        <w:t xml:space="preserve"> focuses on ‘Innovation and Digitalisation: Boosting high-quality VET and Higher VET’. The purpose is to discuss innovation and digitalisation in view of creating more flexible and modern high quality VET systems. This reflection is being carr</w:t>
      </w:r>
      <w:r>
        <w:rPr>
          <w:noProof/>
        </w:rPr>
        <w:t>ied out taking into account also other key elements, such as governance and financing under tight public budgets, relevant national strategies and tools and focussing on different stakeholders' perspectives.</w:t>
      </w:r>
    </w:p>
    <w:p w:rsidR="00620F75" w:rsidRDefault="001F403D">
      <w:pPr>
        <w:rPr>
          <w:rFonts w:cs="Calibri"/>
          <w:noProof/>
        </w:rPr>
      </w:pPr>
      <w:r>
        <w:rPr>
          <w:noProof/>
        </w:rPr>
        <w:t>The key issues have been ranked, namely new peda</w:t>
      </w:r>
      <w:r>
        <w:rPr>
          <w:noProof/>
        </w:rPr>
        <w:t>gogical approaches, adapting curricula to labour markets, including key competences, new learning environments, use of modern learning technologies, flexible VET systems, quality and excellence in VET, governance and funding, as well as support to VET mobi</w:t>
      </w:r>
      <w:r>
        <w:rPr>
          <w:noProof/>
        </w:rPr>
        <w:t xml:space="preserve">lity.  As part of the work of the group, a mapping exercise on VET excellence approaches in Europe was carried out. </w:t>
      </w:r>
    </w:p>
    <w:p w:rsidR="00620F75" w:rsidRDefault="001F403D">
      <w:pPr>
        <w:rPr>
          <w:noProof/>
          <w:lang w:val="en-US"/>
        </w:rPr>
      </w:pPr>
      <w:r>
        <w:rPr>
          <w:noProof/>
          <w:lang w:val="en-US"/>
        </w:rPr>
        <w:t xml:space="preserve">In the area of </w:t>
      </w:r>
      <w:r>
        <w:rPr>
          <w:b/>
          <w:noProof/>
          <w:lang w:val="en-US"/>
        </w:rPr>
        <w:t>adult learning</w:t>
      </w:r>
      <w:r>
        <w:rPr>
          <w:noProof/>
          <w:lang w:val="en-US"/>
        </w:rPr>
        <w:t>, in the period 2016-2018 the working group focused on developing policy guidance on adult learning at the wor</w:t>
      </w:r>
      <w:r>
        <w:rPr>
          <w:noProof/>
          <w:lang w:val="en-US"/>
        </w:rPr>
        <w:t>k place. The final report highlighted that adult learning in the workplace can make a significant contribution because it:</w:t>
      </w:r>
    </w:p>
    <w:p w:rsidR="00620F75" w:rsidRDefault="001F403D">
      <w:pPr>
        <w:pStyle w:val="ListParagraph"/>
        <w:numPr>
          <w:ilvl w:val="0"/>
          <w:numId w:val="5"/>
        </w:numPr>
        <w:rPr>
          <w:noProof/>
          <w:lang w:val="en-US"/>
        </w:rPr>
      </w:pPr>
      <w:r>
        <w:rPr>
          <w:noProof/>
          <w:lang w:val="en-US"/>
        </w:rPr>
        <w:t>is an accessible and attractive way for adults to maintain and update the knowledge and skills they need for life, at work and at hom</w:t>
      </w:r>
      <w:r>
        <w:rPr>
          <w:noProof/>
          <w:lang w:val="en-US"/>
        </w:rPr>
        <w:t>e.</w:t>
      </w:r>
    </w:p>
    <w:p w:rsidR="00620F75" w:rsidRDefault="001F403D">
      <w:pPr>
        <w:pStyle w:val="ListParagraph"/>
        <w:numPr>
          <w:ilvl w:val="0"/>
          <w:numId w:val="5"/>
        </w:numPr>
        <w:rPr>
          <w:noProof/>
          <w:lang w:val="en-US"/>
        </w:rPr>
      </w:pPr>
      <w:r>
        <w:rPr>
          <w:noProof/>
          <w:lang w:val="en-US"/>
        </w:rPr>
        <w:t>is an efficient and effective way for employers to keep their employees’ skills sets up to date, motivate their workforce and improve staff retention, as well as to improve competitiveness.</w:t>
      </w:r>
    </w:p>
    <w:p w:rsidR="00620F75" w:rsidRDefault="001F403D">
      <w:pPr>
        <w:pStyle w:val="ListParagraph"/>
        <w:numPr>
          <w:ilvl w:val="0"/>
          <w:numId w:val="5"/>
        </w:numPr>
        <w:rPr>
          <w:noProof/>
          <w:lang w:val="en-US"/>
        </w:rPr>
      </w:pPr>
      <w:r>
        <w:rPr>
          <w:noProof/>
          <w:lang w:val="en-US"/>
        </w:rPr>
        <w:t>is an economical and targeted way for Member States to increase</w:t>
      </w:r>
      <w:r>
        <w:rPr>
          <w:noProof/>
          <w:lang w:val="en-US"/>
        </w:rPr>
        <w:t xml:space="preserve"> their productivity, innovation and modernisation, maintain their competitiveness and employment rates and raise overall skills levels.</w:t>
      </w:r>
    </w:p>
    <w:p w:rsidR="00620F75" w:rsidRDefault="001F403D">
      <w:pPr>
        <w:pStyle w:val="ListParagraph"/>
        <w:numPr>
          <w:ilvl w:val="0"/>
          <w:numId w:val="5"/>
        </w:numPr>
        <w:rPr>
          <w:noProof/>
          <w:lang w:val="en-US"/>
        </w:rPr>
      </w:pPr>
      <w:r>
        <w:rPr>
          <w:noProof/>
          <w:lang w:val="en-US"/>
        </w:rPr>
        <w:t xml:space="preserve">supports social and economic (re-)integration of vulnerable groups, inclusion, social cohesion and equality. </w:t>
      </w:r>
    </w:p>
    <w:p w:rsidR="00620F75" w:rsidRDefault="001F403D">
      <w:pPr>
        <w:pStyle w:val="ListParagraph"/>
        <w:numPr>
          <w:ilvl w:val="0"/>
          <w:numId w:val="5"/>
        </w:numPr>
        <w:rPr>
          <w:noProof/>
          <w:lang w:val="en-US"/>
        </w:rPr>
      </w:pPr>
      <w:r>
        <w:rPr>
          <w:noProof/>
          <w:lang w:val="en-US"/>
        </w:rPr>
        <w:t xml:space="preserve">meets </w:t>
      </w:r>
      <w:r>
        <w:rPr>
          <w:noProof/>
          <w:lang w:val="en-US"/>
        </w:rPr>
        <w:t>individuals’, employers’ and society’s needs for greater adaptability to better prepare for future skills needs, mitigating projected skills shortages.</w:t>
      </w:r>
    </w:p>
    <w:p w:rsidR="00620F75" w:rsidRDefault="001F403D">
      <w:pPr>
        <w:pStyle w:val="ListParagraph"/>
        <w:numPr>
          <w:ilvl w:val="0"/>
          <w:numId w:val="5"/>
        </w:numPr>
        <w:rPr>
          <w:noProof/>
          <w:lang w:val="en-US"/>
        </w:rPr>
      </w:pPr>
      <w:r>
        <w:rPr>
          <w:noProof/>
          <w:lang w:val="en-US"/>
        </w:rPr>
        <w:t xml:space="preserve">improves adults’ lifelong employability. </w:t>
      </w:r>
    </w:p>
    <w:p w:rsidR="00620F75" w:rsidRDefault="001F403D">
      <w:pPr>
        <w:rPr>
          <w:noProof/>
          <w:lang w:val="en-US"/>
        </w:rPr>
      </w:pPr>
      <w:r>
        <w:rPr>
          <w:noProof/>
          <w:lang w:val="en-US"/>
        </w:rPr>
        <w:t xml:space="preserve">In the period 2018-2020 the group focuses on polices that can </w:t>
      </w:r>
      <w:r>
        <w:rPr>
          <w:noProof/>
          <w:lang w:val="en-US"/>
        </w:rPr>
        <w:t>empower adult individuals to learn.</w:t>
      </w:r>
    </w:p>
    <w:p w:rsidR="00620F75" w:rsidRDefault="001F403D">
      <w:pPr>
        <w:pStyle w:val="Heading5"/>
        <w:rPr>
          <w:noProof/>
          <w:lang w:val="en-US"/>
        </w:rPr>
      </w:pPr>
      <w:r>
        <w:rPr>
          <w:noProof/>
          <w:lang w:val="en-US"/>
        </w:rPr>
        <w:t>Mutual learning workshops</w:t>
      </w:r>
    </w:p>
    <w:p w:rsidR="00620F75" w:rsidRDefault="001F403D">
      <w:pPr>
        <w:rPr>
          <w:bCs/>
          <w:noProof/>
        </w:rPr>
      </w:pPr>
      <w:r>
        <w:rPr>
          <w:noProof/>
        </w:rPr>
        <w:t>The Commission designed and implemented new innovative high-level mutual learning programme for Member States in order to build their capacity for the development of concrete actions to make Ups</w:t>
      </w:r>
      <w:r>
        <w:rPr>
          <w:noProof/>
        </w:rPr>
        <w:t xml:space="preserve">killing Pathways a reality. </w:t>
      </w:r>
      <w:r>
        <w:rPr>
          <w:bCs/>
          <w:noProof/>
        </w:rPr>
        <w:t xml:space="preserve">The first two series organised between 2017 and 2019 were instrumental in building up national networks and mobilising countries to take decisive steps towards the implementation. As an immediate result, many </w:t>
      </w:r>
      <w:r>
        <w:rPr>
          <w:bCs/>
          <w:noProof/>
        </w:rPr>
        <w:lastRenderedPageBreak/>
        <w:t>of the participatin</w:t>
      </w:r>
      <w:r>
        <w:rPr>
          <w:bCs/>
          <w:noProof/>
        </w:rPr>
        <w:t xml:space="preserve">g countries were successful in the targeted call for proposals under the EaSI programme or are undertaking major reforms also with the support of the reform Support programme set up by the Commission. </w:t>
      </w:r>
    </w:p>
    <w:p w:rsidR="00620F75" w:rsidRDefault="001F403D">
      <w:pPr>
        <w:pStyle w:val="Heading5"/>
        <w:rPr>
          <w:noProof/>
          <w:lang w:val="en-US"/>
        </w:rPr>
      </w:pPr>
      <w:r>
        <w:rPr>
          <w:noProof/>
          <w:lang w:val="en-US"/>
        </w:rPr>
        <w:t>DGVT Peer reviews</w:t>
      </w:r>
    </w:p>
    <w:p w:rsidR="00620F75" w:rsidRDefault="001F403D">
      <w:pPr>
        <w:rPr>
          <w:noProof/>
          <w:lang w:val="en-US"/>
        </w:rPr>
      </w:pPr>
      <w:r>
        <w:rPr>
          <w:noProof/>
          <w:lang w:val="en-US"/>
        </w:rPr>
        <w:t xml:space="preserve">One of the forms of mutual learning </w:t>
      </w:r>
      <w:r>
        <w:rPr>
          <w:noProof/>
          <w:lang w:val="en-US"/>
        </w:rPr>
        <w:t>activities in the field of VET carried out between 2015-2020 were peer review exercised organised within the meetings of the Directors-General for Vocational Education and Training. They were used to discuss in details specific challenges and best practice</w:t>
      </w:r>
      <w:r>
        <w:rPr>
          <w:noProof/>
          <w:lang w:val="en-US"/>
        </w:rPr>
        <w:t>s of Member States in a number of topics linked to successful VET systems and country specific recommendations: national reforms and policies on apprenticeships in 2016 in Slovakia, teachers and training in apprenticeships and work-based learning and track</w:t>
      </w:r>
      <w:r>
        <w:rPr>
          <w:noProof/>
          <w:lang w:val="en-US"/>
        </w:rPr>
        <w:t>ing VET graduates.</w:t>
      </w:r>
    </w:p>
    <w:p w:rsidR="00620F75" w:rsidRDefault="001F403D">
      <w:pPr>
        <w:pStyle w:val="Heading3"/>
        <w:rPr>
          <w:noProof/>
        </w:rPr>
      </w:pPr>
      <w:bookmarkStart w:id="93" w:name="_Toc34039148"/>
      <w:bookmarkStart w:id="94" w:name="_Toc34040449"/>
      <w:bookmarkStart w:id="95" w:name="_Toc34041706"/>
      <w:bookmarkStart w:id="96" w:name="_Toc34042208"/>
      <w:bookmarkStart w:id="97" w:name="_Toc32997310"/>
      <w:bookmarkStart w:id="98" w:name="_Toc43376106"/>
      <w:r>
        <w:rPr>
          <w:noProof/>
        </w:rPr>
        <w:t>Policy initiatives</w:t>
      </w:r>
      <w:bookmarkEnd w:id="93"/>
      <w:bookmarkEnd w:id="94"/>
      <w:bookmarkEnd w:id="95"/>
      <w:bookmarkEnd w:id="96"/>
      <w:bookmarkEnd w:id="97"/>
      <w:bookmarkEnd w:id="98"/>
      <w:r>
        <w:rPr>
          <w:noProof/>
        </w:rPr>
        <w:t xml:space="preserve"> </w:t>
      </w:r>
    </w:p>
    <w:p w:rsidR="00620F75" w:rsidRDefault="001F403D">
      <w:pPr>
        <w:pStyle w:val="Heading5"/>
        <w:rPr>
          <w:noProof/>
          <w:lang w:val="en-US"/>
        </w:rPr>
      </w:pPr>
      <w:r>
        <w:rPr>
          <w:noProof/>
          <w:lang w:val="en-US"/>
        </w:rPr>
        <w:t>EAfA and Apprenticeships support services</w:t>
      </w:r>
    </w:p>
    <w:p w:rsidR="00620F75" w:rsidRDefault="001F403D">
      <w:pPr>
        <w:rPr>
          <w:noProof/>
        </w:rPr>
      </w:pPr>
      <w:r>
        <w:rPr>
          <w:noProof/>
        </w:rPr>
        <w:t xml:space="preserve">In 2013, the </w:t>
      </w:r>
      <w:r>
        <w:rPr>
          <w:b/>
          <w:noProof/>
          <w:color w:val="0B6192"/>
        </w:rPr>
        <w:t>European Alliance for Apprenticeships</w:t>
      </w:r>
      <w:r>
        <w:rPr>
          <w:noProof/>
          <w:color w:val="0B6192"/>
        </w:rPr>
        <w:t xml:space="preserve"> </w:t>
      </w:r>
      <w:r>
        <w:rPr>
          <w:noProof/>
        </w:rPr>
        <w:t>was launched in response to the youth unemployment crisis in Europe. It aims to strengthen the supply, quality, image and mo</w:t>
      </w:r>
      <w:r>
        <w:rPr>
          <w:noProof/>
        </w:rPr>
        <w:t xml:space="preserve">bility of apprenticeships, and it is open to EU Member States, Candidate countries, EFTA countries and stakeholders from these. </w:t>
      </w:r>
    </w:p>
    <w:p w:rsidR="00620F75" w:rsidRDefault="001F403D">
      <w:pPr>
        <w:rPr>
          <w:noProof/>
        </w:rPr>
      </w:pPr>
      <w:r>
        <w:rPr>
          <w:noProof/>
        </w:rPr>
        <w:t>Altogether, 36 countries have made national commitments under the Alliance, including 27 EU Member States (bar the UK), all 5 C</w:t>
      </w:r>
      <w:r>
        <w:rPr>
          <w:noProof/>
        </w:rPr>
        <w:t>andidate countries and all 4 EFTA countries. Also, 314 pledges were made by various apprenticeship stakeholders by the end of 2019. Since 2013, companies, employers and intermediaries have pledged to provide over 900,000 apprenticeship and other training o</w:t>
      </w:r>
      <w:r>
        <w:rPr>
          <w:noProof/>
        </w:rPr>
        <w:t xml:space="preserve">r first-job opportunities to young people. </w:t>
      </w:r>
    </w:p>
    <w:p w:rsidR="00620F75" w:rsidRDefault="001F403D">
      <w:pPr>
        <w:rPr>
          <w:rFonts w:cstheme="minorHAnsi"/>
          <w:b/>
          <w:iCs/>
          <w:noProof/>
          <w:szCs w:val="24"/>
        </w:rPr>
      </w:pPr>
      <w:r>
        <w:rPr>
          <w:rFonts w:cstheme="minorHAnsi"/>
          <w:b/>
          <w:iCs/>
          <w:noProof/>
          <w:szCs w:val="24"/>
        </w:rPr>
        <w:t>Figure 10: Pledgers in the European Alliance for Apprenticeships</w:t>
      </w:r>
    </w:p>
    <w:p w:rsidR="00620F75" w:rsidRDefault="001F403D">
      <w:pPr>
        <w:spacing w:after="120"/>
        <w:jc w:val="center"/>
        <w:rPr>
          <w:noProof/>
        </w:rPr>
      </w:pPr>
      <w:r>
        <w:rPr>
          <w:noProof/>
          <w:lang w:eastAsia="en-GB"/>
        </w:rPr>
        <w:drawing>
          <wp:inline distT="0" distB="0" distL="0" distR="0">
            <wp:extent cx="3332480" cy="1785101"/>
            <wp:effectExtent l="19050" t="19050" r="20320" b="24765"/>
            <wp:docPr id="1" name="Picture 1" descr="cid:image002.png@01D5B74B.B0D07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B74B.B0D077A0"/>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3341975" cy="1790187"/>
                    </a:xfrm>
                    <a:prstGeom prst="rect">
                      <a:avLst/>
                    </a:prstGeom>
                    <a:noFill/>
                    <a:ln>
                      <a:solidFill>
                        <a:srgbClr val="0B6192"/>
                      </a:solidFill>
                    </a:ln>
                  </pic:spPr>
                </pic:pic>
              </a:graphicData>
            </a:graphic>
          </wp:inline>
        </w:drawing>
      </w:r>
    </w:p>
    <w:p w:rsidR="00620F75" w:rsidRDefault="001F403D">
      <w:pPr>
        <w:rPr>
          <w:noProof/>
        </w:rPr>
      </w:pPr>
      <w:r>
        <w:rPr>
          <w:noProof/>
        </w:rPr>
        <w:t xml:space="preserve">In May 2017 the Commission initiated the </w:t>
      </w:r>
      <w:r>
        <w:rPr>
          <w:b/>
          <w:noProof/>
          <w:color w:val="0B6192"/>
        </w:rPr>
        <w:t>European Apprentices Network</w:t>
      </w:r>
      <w:r>
        <w:rPr>
          <w:noProof/>
          <w:color w:val="0B6192"/>
        </w:rPr>
        <w:t xml:space="preserve"> </w:t>
      </w:r>
      <w:r>
        <w:rPr>
          <w:noProof/>
        </w:rPr>
        <w:t xml:space="preserve">(EAN), together with the European Youth Forum (EYF) and the Organising </w:t>
      </w:r>
      <w:r>
        <w:rPr>
          <w:noProof/>
        </w:rPr>
        <w:t>Bureau of European School Student Unions (OBESSU).</w:t>
      </w:r>
      <w:r>
        <w:rPr>
          <w:rFonts w:ascii="Calibri" w:hAnsi="Calibri" w:cs="Calibri"/>
          <w:noProof/>
        </w:rPr>
        <w:t> </w:t>
      </w:r>
      <w:r>
        <w:rPr>
          <w:noProof/>
        </w:rPr>
        <w:t>As apprentices themselves had little opportunities to bring their contribution to discussions related to VET and apprenticeships, this network aims at giving a voice to European apprentices and enable them</w:t>
      </w:r>
      <w:r>
        <w:rPr>
          <w:noProof/>
        </w:rPr>
        <w:t xml:space="preserve"> to support EU policy making and implementation of apprenticeship policies.</w:t>
      </w:r>
    </w:p>
    <w:p w:rsidR="00620F75" w:rsidRDefault="001F403D">
      <w:pPr>
        <w:rPr>
          <w:noProof/>
        </w:rPr>
      </w:pPr>
      <w:r>
        <w:rPr>
          <w:noProof/>
        </w:rPr>
        <w:t>The network actively contributes to EAfA meetings and its members present the EAN position on quality apprenticeships in various meetings, conferences, events. In February 2018 the</w:t>
      </w:r>
      <w:r>
        <w:rPr>
          <w:noProof/>
        </w:rPr>
        <w:t xml:space="preserve">y have drafted a position paper presenting the Network's view on key priorities for </w:t>
      </w:r>
      <w:r>
        <w:rPr>
          <w:noProof/>
        </w:rPr>
        <w:lastRenderedPageBreak/>
        <w:t>quality apprenticeships. Moreover, the European Youth Forum's newly adopted Position on Quality Apprenticeships is largely based on the EAN work.</w:t>
      </w:r>
    </w:p>
    <w:p w:rsidR="00620F75" w:rsidRDefault="001F403D">
      <w:pPr>
        <w:rPr>
          <w:rFonts w:cstheme="minorHAnsi"/>
          <w:noProof/>
          <w:lang w:eastAsia="en-GB"/>
        </w:rPr>
      </w:pPr>
      <w:r>
        <w:rPr>
          <w:rFonts w:cstheme="minorHAnsi"/>
          <w:noProof/>
          <w:lang w:eastAsia="en-GB"/>
        </w:rPr>
        <w:t>As the key follow-up actio</w:t>
      </w:r>
      <w:r>
        <w:rPr>
          <w:rFonts w:cstheme="minorHAnsi"/>
          <w:noProof/>
          <w:lang w:eastAsia="en-GB"/>
        </w:rPr>
        <w:t xml:space="preserve">n to the Council Recommendation on EFQEA, the Commission launched an </w:t>
      </w:r>
      <w:r>
        <w:rPr>
          <w:rFonts w:cstheme="minorHAnsi"/>
          <w:b/>
          <w:bCs/>
          <w:noProof/>
          <w:color w:val="0B6192"/>
          <w:lang w:eastAsia="en-GB"/>
        </w:rPr>
        <w:t>Apprenticeship Support Services</w:t>
      </w:r>
      <w:r>
        <w:rPr>
          <w:rFonts w:cstheme="minorHAnsi"/>
          <w:noProof/>
          <w:color w:val="0B6192"/>
          <w:lang w:eastAsia="en-GB"/>
        </w:rPr>
        <w:t xml:space="preserve"> </w:t>
      </w:r>
      <w:r>
        <w:rPr>
          <w:rFonts w:cstheme="minorHAnsi"/>
          <w:noProof/>
          <w:lang w:eastAsia="en-GB"/>
        </w:rPr>
        <w:t>at the European Vocational Skills Week in Vienna in November 2018. The aim is to support Member States in their reform process to improve apprenticeship sy</w:t>
      </w:r>
      <w:r>
        <w:rPr>
          <w:rFonts w:cstheme="minorHAnsi"/>
          <w:noProof/>
          <w:lang w:eastAsia="en-GB"/>
        </w:rPr>
        <w:t>stems. The Support Services is built on three pillars:</w:t>
      </w:r>
    </w:p>
    <w:p w:rsidR="00620F75" w:rsidRDefault="001F403D">
      <w:pPr>
        <w:pStyle w:val="ListParagraph"/>
        <w:numPr>
          <w:ilvl w:val="0"/>
          <w:numId w:val="7"/>
        </w:numPr>
        <w:rPr>
          <w:rFonts w:cstheme="minorHAnsi"/>
          <w:noProof/>
          <w:lang w:eastAsia="en-GB"/>
        </w:rPr>
      </w:pPr>
      <w:r>
        <w:rPr>
          <w:rFonts w:cstheme="minorHAnsi"/>
          <w:noProof/>
          <w:lang w:eastAsia="en-GB"/>
        </w:rPr>
        <w:t xml:space="preserve">a knowledge-hub to share and access information relevant to apprenticeship design and delivery and to have a simplified access to apprenticeships related studies, evidence or statistical data; </w:t>
      </w:r>
    </w:p>
    <w:p w:rsidR="00620F75" w:rsidRDefault="001F403D">
      <w:pPr>
        <w:pStyle w:val="ListParagraph"/>
        <w:numPr>
          <w:ilvl w:val="0"/>
          <w:numId w:val="7"/>
        </w:numPr>
        <w:rPr>
          <w:rFonts w:cstheme="minorHAnsi"/>
          <w:noProof/>
          <w:lang w:eastAsia="en-GB"/>
        </w:rPr>
      </w:pPr>
      <w:r>
        <w:rPr>
          <w:rFonts w:cstheme="minorHAnsi"/>
          <w:noProof/>
          <w:lang w:eastAsia="en-GB"/>
        </w:rPr>
        <w:t>a netwo</w:t>
      </w:r>
      <w:r>
        <w:rPr>
          <w:rFonts w:cstheme="minorHAnsi"/>
          <w:noProof/>
          <w:lang w:eastAsia="en-GB"/>
        </w:rPr>
        <w:t>rking hub to facilitate the exchange of ideas and the development of cooperation amongst stakeholders;</w:t>
      </w:r>
    </w:p>
    <w:p w:rsidR="00620F75" w:rsidRDefault="001F403D">
      <w:pPr>
        <w:pStyle w:val="ListParagraph"/>
        <w:numPr>
          <w:ilvl w:val="0"/>
          <w:numId w:val="7"/>
        </w:numPr>
        <w:rPr>
          <w:rFonts w:cstheme="minorHAnsi"/>
          <w:noProof/>
          <w:lang w:eastAsia="en-GB"/>
        </w:rPr>
      </w:pPr>
      <w:r>
        <w:rPr>
          <w:rFonts w:cstheme="minorHAnsi"/>
          <w:noProof/>
          <w:lang w:eastAsia="en-GB"/>
        </w:rPr>
        <w:t>Benchlearning (a combination of benchmarking and peer learning) to provide a structured process and approach to mutual learning among Member States on im</w:t>
      </w:r>
      <w:r>
        <w:rPr>
          <w:rFonts w:cstheme="minorHAnsi"/>
          <w:noProof/>
          <w:lang w:eastAsia="en-GB"/>
        </w:rPr>
        <w:t>proving their apprenticeship systems.</w:t>
      </w:r>
    </w:p>
    <w:p w:rsidR="00620F75" w:rsidRDefault="001F403D">
      <w:pPr>
        <w:rPr>
          <w:rFonts w:cstheme="minorHAnsi"/>
          <w:noProof/>
          <w:lang w:eastAsia="fr-BE"/>
        </w:rPr>
      </w:pPr>
      <w:r>
        <w:rPr>
          <w:rFonts w:cstheme="minorHAnsi"/>
          <w:noProof/>
          <w:lang w:eastAsia="fr-BE"/>
        </w:rPr>
        <w:t>Within its first year, the Services actively supported EAfA stakeholders and in particular Member States in promoting the supply and quality of apprenticeships: key deliverables include, among others, the gradual deplo</w:t>
      </w:r>
      <w:r>
        <w:rPr>
          <w:rFonts w:cstheme="minorHAnsi"/>
          <w:noProof/>
          <w:lang w:eastAsia="fr-BE"/>
        </w:rPr>
        <w:t>yment of online training materials, the launch of a series of webinars, as well a survey to evaluate the results of EAfA and to better understand the needs of EAfA members. 25 Member States were mobilised to take part in the bench-learning process, with th</w:t>
      </w:r>
      <w:r>
        <w:rPr>
          <w:rFonts w:cstheme="minorHAnsi"/>
          <w:noProof/>
          <w:lang w:eastAsia="fr-BE"/>
        </w:rPr>
        <w:t>e first bench-learning cycle to be launched in early 2020.</w:t>
      </w:r>
    </w:p>
    <w:p w:rsidR="00620F75" w:rsidRDefault="001F403D">
      <w:pPr>
        <w:pStyle w:val="Heading5"/>
        <w:rPr>
          <w:noProof/>
          <w:lang w:val="en-US"/>
        </w:rPr>
      </w:pPr>
      <w:r>
        <w:rPr>
          <w:noProof/>
          <w:lang w:val="en-US"/>
        </w:rPr>
        <w:t>European Vocational Skills Week</w:t>
      </w:r>
    </w:p>
    <w:p w:rsidR="00620F75" w:rsidRDefault="001F403D">
      <w:pPr>
        <w:rPr>
          <w:noProof/>
        </w:rPr>
      </w:pPr>
      <w:r>
        <w:rPr>
          <w:noProof/>
        </w:rPr>
        <w:t>The European Vocational Skills Week (EVSW) is a European campaign implemented by an external contractor and supervised/organised by the European Commission, which ai</w:t>
      </w:r>
      <w:r>
        <w:rPr>
          <w:noProof/>
        </w:rPr>
        <w:t xml:space="preserve">ms to highlight VET as a great alternative to traditional education routes. It mobilises events and activities at local, regional and national level combined with events organised by the Commission during a specific week. </w:t>
      </w:r>
    </w:p>
    <w:p w:rsidR="00620F75" w:rsidRDefault="001F403D">
      <w:pPr>
        <w:rPr>
          <w:noProof/>
        </w:rPr>
      </w:pPr>
      <w:r>
        <w:rPr>
          <w:noProof/>
        </w:rPr>
        <w:t>Work began on a dedicated "VET We</w:t>
      </w:r>
      <w:r>
        <w:rPr>
          <w:noProof/>
        </w:rPr>
        <w:t xml:space="preserve">ek" in </w:t>
      </w:r>
      <w:r>
        <w:rPr>
          <w:b/>
          <w:noProof/>
          <w:color w:val="0B6192"/>
        </w:rPr>
        <w:t>mid-2016</w:t>
      </w:r>
      <w:r>
        <w:rPr>
          <w:noProof/>
        </w:rPr>
        <w:t>, inspired by discussions with associations of VET providers. A series of Brussels-based, policy and practice-focused events were organised backed by a broad communications campaign to reach VET stakeholders across Member States, and ultimat</w:t>
      </w:r>
      <w:r>
        <w:rPr>
          <w:noProof/>
        </w:rPr>
        <w:t xml:space="preserve">ely to citizens more widely.  The exercise was repeated in </w:t>
      </w:r>
      <w:r>
        <w:rPr>
          <w:b/>
          <w:noProof/>
          <w:color w:val="0B6192"/>
        </w:rPr>
        <w:t>2017</w:t>
      </w:r>
      <w:r>
        <w:rPr>
          <w:noProof/>
        </w:rPr>
        <w:t>, with a second European campaign, complemented by European events in Brussels from 20-24 November. 2017 introduced two new elements by focusing on activities in Member States and by defining m</w:t>
      </w:r>
      <w:r>
        <w:rPr>
          <w:noProof/>
        </w:rPr>
        <w:t xml:space="preserve">ain topics for events (business-education partnerships, VET from a sectoral perspective, and the importance of mobility in VET). In </w:t>
      </w:r>
      <w:r>
        <w:rPr>
          <w:b/>
          <w:noProof/>
          <w:color w:val="0B6192"/>
        </w:rPr>
        <w:t>2018</w:t>
      </w:r>
      <w:r>
        <w:rPr>
          <w:noProof/>
        </w:rPr>
        <w:t>, the EVSW was moved to the capital of the European Union’s Council Presidency (Austria). It introduced on-line voting f</w:t>
      </w:r>
      <w:r>
        <w:rPr>
          <w:noProof/>
        </w:rPr>
        <w:t xml:space="preserve">or EVSW awards, a separate awards nominations celebration evening, and new award categories (e.g. Erasmus+, ESF). The focus of the events was on the future of VET. In </w:t>
      </w:r>
      <w:r>
        <w:rPr>
          <w:b/>
          <w:noProof/>
          <w:color w:val="0B6192"/>
        </w:rPr>
        <w:t>2019</w:t>
      </w:r>
      <w:r>
        <w:rPr>
          <w:noProof/>
        </w:rPr>
        <w:t>,</w:t>
      </w:r>
      <w:r>
        <w:rPr>
          <w:b/>
          <w:noProof/>
        </w:rPr>
        <w:t xml:space="preserve"> </w:t>
      </w:r>
      <w:r>
        <w:rPr>
          <w:noProof/>
        </w:rPr>
        <w:t xml:space="preserve">the EVSW (in Helsinki under the Finnish Presidency) was focused on VET for all – Skills for Life. </w:t>
      </w:r>
      <w:r>
        <w:rPr>
          <w:b/>
          <w:noProof/>
          <w:color w:val="0B6192"/>
        </w:rPr>
        <w:t>2020</w:t>
      </w:r>
      <w:r>
        <w:rPr>
          <w:noProof/>
          <w:color w:val="0B6192"/>
        </w:rPr>
        <w:t xml:space="preserve"> </w:t>
      </w:r>
      <w:r>
        <w:rPr>
          <w:noProof/>
        </w:rPr>
        <w:t>(in Berlin, under the future German Presidency, the Week’s fifth anniversary)</w:t>
      </w:r>
      <w:r>
        <w:rPr>
          <w:b/>
          <w:noProof/>
        </w:rPr>
        <w:t xml:space="preserve"> </w:t>
      </w:r>
      <w:r>
        <w:rPr>
          <w:noProof/>
        </w:rPr>
        <w:t xml:space="preserve">will focus on VET for excellence in a digital era. </w:t>
      </w:r>
    </w:p>
    <w:p w:rsidR="00620F75" w:rsidRDefault="001F403D">
      <w:pPr>
        <w:spacing w:after="120"/>
        <w:rPr>
          <w:noProof/>
        </w:rPr>
      </w:pPr>
      <w:r>
        <w:rPr>
          <w:noProof/>
        </w:rPr>
        <w:t>Building on the initial</w:t>
      </w:r>
      <w:r>
        <w:rPr>
          <w:noProof/>
        </w:rPr>
        <w:t xml:space="preserve"> success experienced in 2016, the European Commission set targets every year to increase the impact of Week-associated events/activities. These were the results achieved, including targets for 2020.</w:t>
      </w:r>
    </w:p>
    <w:p w:rsidR="00620F75" w:rsidRDefault="00620F75">
      <w:pPr>
        <w:spacing w:after="120"/>
        <w:rPr>
          <w:noProof/>
        </w:rPr>
      </w:pPr>
    </w:p>
    <w:p w:rsidR="00620F75" w:rsidRDefault="001F403D">
      <w:pPr>
        <w:rPr>
          <w:rFonts w:cstheme="minorHAnsi"/>
          <w:b/>
          <w:iCs/>
          <w:noProof/>
          <w:szCs w:val="24"/>
        </w:rPr>
      </w:pPr>
      <w:r>
        <w:rPr>
          <w:rFonts w:cstheme="minorHAnsi"/>
          <w:b/>
          <w:iCs/>
          <w:noProof/>
          <w:szCs w:val="24"/>
        </w:rPr>
        <w:t xml:space="preserve">Table 2: Achievements of the European Vocational Skills </w:t>
      </w:r>
      <w:r>
        <w:rPr>
          <w:rFonts w:cstheme="minorHAnsi"/>
          <w:b/>
          <w:iCs/>
          <w:noProof/>
          <w:szCs w:val="24"/>
        </w:rPr>
        <w:t>Week 2016-2019</w:t>
      </w:r>
    </w:p>
    <w:tbl>
      <w:tblPr>
        <w:tblStyle w:val="TableGrid2"/>
        <w:tblW w:w="4808" w:type="pct"/>
        <w:tblLayout w:type="fixed"/>
        <w:tblLook w:val="04A0" w:firstRow="1" w:lastRow="0" w:firstColumn="1" w:lastColumn="0" w:noHBand="0" w:noVBand="1"/>
      </w:tblPr>
      <w:tblGrid>
        <w:gridCol w:w="1842"/>
        <w:gridCol w:w="1134"/>
        <w:gridCol w:w="1134"/>
        <w:gridCol w:w="1134"/>
        <w:gridCol w:w="1138"/>
        <w:gridCol w:w="1274"/>
        <w:gridCol w:w="1275"/>
      </w:tblGrid>
      <w:tr w:rsidR="00620F75">
        <w:trPr>
          <w:trHeight w:val="255"/>
        </w:trPr>
        <w:tc>
          <w:tcPr>
            <w:tcW w:w="1031" w:type="pct"/>
            <w:vMerge w:val="restar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Category</w:t>
            </w:r>
          </w:p>
        </w:tc>
        <w:tc>
          <w:tcPr>
            <w:tcW w:w="2542" w:type="pct"/>
            <w:gridSpan w:val="4"/>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Achievements</w:t>
            </w:r>
          </w:p>
        </w:tc>
        <w:tc>
          <w:tcPr>
            <w:tcW w:w="713" w:type="pct"/>
            <w:vMerge w:val="restar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Growth 2019/2016</w:t>
            </w:r>
          </w:p>
        </w:tc>
        <w:tc>
          <w:tcPr>
            <w:tcW w:w="714" w:type="pct"/>
            <w:vMerge w:val="restar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2020 Targets</w:t>
            </w:r>
          </w:p>
        </w:tc>
      </w:tr>
      <w:tr w:rsidR="00620F75">
        <w:trPr>
          <w:trHeight w:val="50"/>
        </w:trPr>
        <w:tc>
          <w:tcPr>
            <w:tcW w:w="1031" w:type="pct"/>
            <w:vMerge/>
            <w:shd w:val="clear" w:color="auto" w:fill="auto"/>
            <w:vAlign w:val="center"/>
          </w:tcPr>
          <w:p w:rsidR="00620F75" w:rsidRDefault="00620F75">
            <w:pPr>
              <w:spacing w:before="60" w:after="60"/>
              <w:jc w:val="center"/>
              <w:rPr>
                <w:rFonts w:cstheme="minorHAnsi"/>
                <w:b/>
                <w:noProof/>
                <w:sz w:val="20"/>
                <w:szCs w:val="20"/>
              </w:rPr>
            </w:pPr>
          </w:p>
        </w:tc>
        <w:tc>
          <w:tcPr>
            <w:tcW w:w="635" w:type="pc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2016</w:t>
            </w:r>
          </w:p>
        </w:tc>
        <w:tc>
          <w:tcPr>
            <w:tcW w:w="635" w:type="pct"/>
            <w:shd w:val="clear" w:color="auto" w:fill="0B6192"/>
            <w:vAlign w:val="center"/>
          </w:tcPr>
          <w:p w:rsidR="00620F75" w:rsidRDefault="001F403D">
            <w:pPr>
              <w:tabs>
                <w:tab w:val="left" w:pos="522"/>
                <w:tab w:val="center" w:pos="1587"/>
              </w:tabs>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2017</w:t>
            </w:r>
          </w:p>
        </w:tc>
        <w:tc>
          <w:tcPr>
            <w:tcW w:w="635" w:type="pc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2018</w:t>
            </w:r>
          </w:p>
        </w:tc>
        <w:tc>
          <w:tcPr>
            <w:tcW w:w="637" w:type="pc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2019</w:t>
            </w:r>
          </w:p>
        </w:tc>
        <w:tc>
          <w:tcPr>
            <w:tcW w:w="713" w:type="pct"/>
            <w:vMerge/>
            <w:shd w:val="clear" w:color="auto" w:fill="auto"/>
            <w:vAlign w:val="center"/>
          </w:tcPr>
          <w:p w:rsidR="00620F75" w:rsidRDefault="00620F75">
            <w:pPr>
              <w:spacing w:before="60" w:after="60"/>
              <w:jc w:val="center"/>
              <w:rPr>
                <w:rFonts w:cstheme="minorHAnsi"/>
                <w:b/>
                <w:noProof/>
                <w:sz w:val="20"/>
                <w:szCs w:val="20"/>
              </w:rPr>
            </w:pPr>
          </w:p>
        </w:tc>
        <w:tc>
          <w:tcPr>
            <w:tcW w:w="714" w:type="pct"/>
            <w:vMerge/>
            <w:shd w:val="clear" w:color="auto" w:fill="auto"/>
            <w:vAlign w:val="center"/>
          </w:tcPr>
          <w:p w:rsidR="00620F75" w:rsidRDefault="00620F75">
            <w:pPr>
              <w:spacing w:before="60" w:after="60"/>
              <w:jc w:val="center"/>
              <w:rPr>
                <w:rFonts w:cstheme="minorHAnsi"/>
                <w:b/>
                <w:noProof/>
                <w:sz w:val="20"/>
                <w:szCs w:val="20"/>
              </w:rPr>
            </w:pPr>
          </w:p>
        </w:tc>
      </w:tr>
      <w:tr w:rsidR="00620F75">
        <w:trPr>
          <w:trHeight w:val="50"/>
        </w:trPr>
        <w:tc>
          <w:tcPr>
            <w:tcW w:w="1031" w:type="pc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Events/activities in countries</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983</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1.585</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1.800</w:t>
            </w:r>
          </w:p>
        </w:tc>
        <w:tc>
          <w:tcPr>
            <w:tcW w:w="637"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1.749</w:t>
            </w:r>
          </w:p>
        </w:tc>
        <w:tc>
          <w:tcPr>
            <w:tcW w:w="713"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78%</w:t>
            </w:r>
          </w:p>
        </w:tc>
        <w:tc>
          <w:tcPr>
            <w:tcW w:w="714"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2.000</w:t>
            </w:r>
          </w:p>
        </w:tc>
      </w:tr>
      <w:tr w:rsidR="00620F75">
        <w:trPr>
          <w:trHeight w:val="306"/>
        </w:trPr>
        <w:tc>
          <w:tcPr>
            <w:tcW w:w="1031" w:type="pct"/>
            <w:shd w:val="clear" w:color="auto" w:fill="0B6192"/>
            <w:vAlign w:val="center"/>
          </w:tcPr>
          <w:p w:rsidR="00620F75" w:rsidRDefault="001F403D">
            <w:pPr>
              <w:spacing w:before="60" w:after="60"/>
              <w:jc w:val="center"/>
              <w:rPr>
                <w:rFonts w:cstheme="minorHAnsi"/>
                <w:b/>
                <w:noProof/>
                <w:color w:val="FFFFFF" w:themeColor="background1"/>
                <w:sz w:val="20"/>
                <w:szCs w:val="20"/>
              </w:rPr>
            </w:pPr>
            <w:r>
              <w:rPr>
                <w:rFonts w:cstheme="minorHAnsi"/>
                <w:b/>
                <w:noProof/>
                <w:color w:val="FFFFFF" w:themeColor="background1"/>
                <w:sz w:val="20"/>
                <w:szCs w:val="20"/>
              </w:rPr>
              <w:t>Outreach through these events/activities</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800.000</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986.000</w:t>
            </w:r>
          </w:p>
        </w:tc>
        <w:tc>
          <w:tcPr>
            <w:tcW w:w="635"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2.400.000</w:t>
            </w:r>
          </w:p>
        </w:tc>
        <w:tc>
          <w:tcPr>
            <w:tcW w:w="637"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2.700.000</w:t>
            </w:r>
          </w:p>
        </w:tc>
        <w:tc>
          <w:tcPr>
            <w:tcW w:w="713"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238%</w:t>
            </w:r>
          </w:p>
        </w:tc>
        <w:tc>
          <w:tcPr>
            <w:tcW w:w="714" w:type="pct"/>
            <w:shd w:val="clear" w:color="auto" w:fill="auto"/>
            <w:vAlign w:val="center"/>
          </w:tcPr>
          <w:p w:rsidR="00620F75" w:rsidRDefault="001F403D">
            <w:pPr>
              <w:spacing w:before="60" w:after="60"/>
              <w:jc w:val="center"/>
              <w:rPr>
                <w:rFonts w:cstheme="minorHAnsi"/>
                <w:noProof/>
                <w:sz w:val="20"/>
                <w:szCs w:val="20"/>
              </w:rPr>
            </w:pPr>
            <w:r>
              <w:rPr>
                <w:rFonts w:cstheme="minorHAnsi"/>
                <w:noProof/>
                <w:sz w:val="20"/>
                <w:szCs w:val="20"/>
              </w:rPr>
              <w:t>2.500.000</w:t>
            </w:r>
          </w:p>
        </w:tc>
      </w:tr>
    </w:tbl>
    <w:p w:rsidR="00620F75" w:rsidRDefault="001F403D">
      <w:pPr>
        <w:pStyle w:val="Heading3"/>
        <w:rPr>
          <w:noProof/>
        </w:rPr>
      </w:pPr>
      <w:bookmarkStart w:id="99" w:name="_Toc34039149"/>
      <w:bookmarkStart w:id="100" w:name="_Toc34040450"/>
      <w:bookmarkStart w:id="101" w:name="_Toc34041707"/>
      <w:bookmarkStart w:id="102" w:name="_Toc34042209"/>
      <w:bookmarkStart w:id="103" w:name="_Toc32997311"/>
      <w:bookmarkStart w:id="104" w:name="_Toc43376107"/>
      <w:r>
        <w:rPr>
          <w:noProof/>
        </w:rPr>
        <w:t xml:space="preserve">EU </w:t>
      </w:r>
      <w:r>
        <w:rPr>
          <w:noProof/>
        </w:rPr>
        <w:t>funding and support programmes</w:t>
      </w:r>
      <w:bookmarkEnd w:id="99"/>
      <w:bookmarkEnd w:id="100"/>
      <w:bookmarkEnd w:id="101"/>
      <w:bookmarkEnd w:id="102"/>
      <w:bookmarkEnd w:id="103"/>
      <w:bookmarkEnd w:id="104"/>
    </w:p>
    <w:p w:rsidR="00620F75" w:rsidRDefault="001F403D">
      <w:pPr>
        <w:rPr>
          <w:noProof/>
        </w:rPr>
      </w:pPr>
      <w:r>
        <w:rPr>
          <w:noProof/>
        </w:rPr>
        <w:t xml:space="preserve">The </w:t>
      </w:r>
      <w:r>
        <w:rPr>
          <w:b/>
          <w:noProof/>
          <w:color w:val="1F497D" w:themeColor="text2"/>
        </w:rPr>
        <w:t>ESF’s</w:t>
      </w:r>
      <w:r>
        <w:rPr>
          <w:noProof/>
        </w:rPr>
        <w:t xml:space="preserve"> mission is to promote high levels of employment, and investments in education and training are key for tomorrow's employability. To this end, in 2014-2020 one-third of the Fund’s total EU budget is allocated to educ</w:t>
      </w:r>
      <w:r>
        <w:rPr>
          <w:noProof/>
        </w:rPr>
        <w:t xml:space="preserve">ation and training investments – over 27.2 billion EUR out of EUR 84 billion. </w:t>
      </w:r>
    </w:p>
    <w:p w:rsidR="00620F75" w:rsidRDefault="001F403D">
      <w:pPr>
        <w:rPr>
          <w:noProof/>
        </w:rPr>
      </w:pPr>
      <w:r>
        <w:rPr>
          <w:noProof/>
        </w:rPr>
        <w:t>The Fund supports the entire education cycle from early childhood education to adult learning, and includes higher education and vocational education and training to make sure t</w:t>
      </w:r>
      <w:r>
        <w:rPr>
          <w:noProof/>
        </w:rPr>
        <w:t xml:space="preserve">hat people get the right knowledge and skills at all stages of life.  In this, the ESF places a particular focus on equal access for disadvantaged groups. Between 2014 and 2018, almost 9 million people have had the opportunity to upskill or reskill thanks </w:t>
      </w:r>
      <w:r>
        <w:rPr>
          <w:noProof/>
        </w:rPr>
        <w:t>to ESF support.</w:t>
      </w:r>
    </w:p>
    <w:p w:rsidR="00620F75" w:rsidRDefault="001F403D">
      <w:pPr>
        <w:rPr>
          <w:noProof/>
        </w:rPr>
      </w:pPr>
      <w:r>
        <w:rPr>
          <w:noProof/>
        </w:rPr>
        <w:t>Within this thematic objective, a significant budget is dedicated to actions supporting vocational education and training (VET) and adult learning. These include €7,2 billion for lifelong learning and upgrading the skills of the workforce a</w:t>
      </w:r>
      <w:r>
        <w:rPr>
          <w:noProof/>
        </w:rPr>
        <w:t>nd €6,8 billion for strengthening vocational education and training systems (for more information see Table 3).</w:t>
      </w:r>
    </w:p>
    <w:p w:rsidR="00620F75" w:rsidRDefault="001F403D">
      <w:pPr>
        <w:rPr>
          <w:noProof/>
        </w:rPr>
      </w:pPr>
      <w:r>
        <w:rPr>
          <w:noProof/>
        </w:rPr>
        <w:t>By end 2018, 1.7 million people have directly benefitted from actions aimed at improving the overall education and training systems and the tran</w:t>
      </w:r>
      <w:r>
        <w:rPr>
          <w:noProof/>
        </w:rPr>
        <w:t>sition from education to work. Thanks to the ESF support, Member States have invested in skills anticipation, adaptation of curricula and the establishment and development of work-based learning systems, including dual learning systems and apprenticeship s</w:t>
      </w:r>
      <w:r>
        <w:rPr>
          <w:noProof/>
        </w:rPr>
        <w:t xml:space="preserve">chemes. </w:t>
      </w:r>
    </w:p>
    <w:p w:rsidR="00620F75" w:rsidRDefault="001F403D">
      <w:pPr>
        <w:rPr>
          <w:noProof/>
        </w:rPr>
      </w:pPr>
      <w:r>
        <w:rPr>
          <w:noProof/>
        </w:rPr>
        <w:t>As proposed by the Commission, the European Social Fund Plus (ESF+) will continue to support education and training at all levels, with a particular focus on digital skills, and will be the main EU instrument to support the development of green sk</w:t>
      </w:r>
      <w:r>
        <w:rPr>
          <w:noProof/>
        </w:rPr>
        <w:t>ills. The ESF+ will support the upskilling and re-skilling of 5 million people for green jobs and the green economy.</w:t>
      </w:r>
    </w:p>
    <w:p w:rsidR="00620F75" w:rsidRDefault="001F403D">
      <w:pPr>
        <w:spacing w:line="276" w:lineRule="auto"/>
        <w:jc w:val="left"/>
        <w:rPr>
          <w:rFonts w:ascii="Verdana" w:eastAsia="Times New Roman" w:hAnsi="Verdana" w:cs="Arial"/>
          <w:b/>
          <w:noProof/>
          <w:sz w:val="18"/>
          <w:szCs w:val="18"/>
        </w:rPr>
      </w:pPr>
      <w:bookmarkStart w:id="105" w:name="_Toc29475221"/>
      <w:r>
        <w:rPr>
          <w:rFonts w:cstheme="minorHAnsi"/>
          <w:b/>
          <w:iCs/>
          <w:noProof/>
          <w:szCs w:val="24"/>
        </w:rPr>
        <w:t xml:space="preserve">Table 3 </w:t>
      </w:r>
      <w:r>
        <w:rPr>
          <w:rFonts w:cstheme="minorHAnsi"/>
          <w:b/>
          <w:iCs/>
          <w:noProof/>
          <w:szCs w:val="24"/>
        </w:rPr>
        <w:noBreakHyphen/>
        <w:t xml:space="preserve"> Distribution of total ESF Thematic objective 10 allocations to selected projects by area of intervention and Member State</w:t>
      </w:r>
      <w:r>
        <w:rPr>
          <w:rFonts w:ascii="Verdana" w:eastAsia="Times New Roman" w:hAnsi="Verdana" w:cs="Arial"/>
          <w:b/>
          <w:noProof/>
          <w:sz w:val="18"/>
          <w:szCs w:val="18"/>
        </w:rPr>
        <w:t>*</w:t>
      </w:r>
      <w:bookmarkEnd w:id="105"/>
    </w:p>
    <w:tbl>
      <w:tblPr>
        <w:tblW w:w="0" w:type="dxa"/>
        <w:tblLayout w:type="fixed"/>
        <w:tblCellMar>
          <w:left w:w="70" w:type="dxa"/>
          <w:right w:w="70" w:type="dxa"/>
        </w:tblCellMar>
        <w:tblLook w:val="04A0" w:firstRow="1" w:lastRow="0" w:firstColumn="1" w:lastColumn="0" w:noHBand="0" w:noVBand="1"/>
      </w:tblPr>
      <w:tblGrid>
        <w:gridCol w:w="709"/>
        <w:gridCol w:w="992"/>
        <w:gridCol w:w="993"/>
        <w:gridCol w:w="1417"/>
        <w:gridCol w:w="1559"/>
        <w:gridCol w:w="993"/>
        <w:gridCol w:w="1134"/>
        <w:gridCol w:w="992"/>
        <w:gridCol w:w="849"/>
      </w:tblGrid>
      <w:tr w:rsidR="00620F75">
        <w:tc>
          <w:tcPr>
            <w:tcW w:w="709" w:type="dxa"/>
            <w:noWrap/>
            <w:vAlign w:val="bottom"/>
            <w:hideMark/>
          </w:tcPr>
          <w:p w:rsidR="00620F75" w:rsidRDefault="00620F75">
            <w:pPr>
              <w:spacing w:before="0"/>
              <w:jc w:val="left"/>
              <w:rPr>
                <w:rFonts w:ascii="Calibri" w:eastAsia="Times New Roman" w:hAnsi="Calibri" w:cs="Times New Roman"/>
                <w:noProof/>
                <w:sz w:val="22"/>
                <w:lang w:val="en-US"/>
              </w:rPr>
            </w:pP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Pre-p</w:t>
            </w:r>
            <w:r>
              <w:rPr>
                <w:rFonts w:ascii="Calibri" w:eastAsia="Times New Roman" w:hAnsi="Calibri" w:cs="Calibri"/>
                <w:noProof/>
                <w:color w:val="000000"/>
                <w:sz w:val="18"/>
                <w:szCs w:val="18"/>
                <w:lang w:val="it-IT" w:eastAsia="it-IT"/>
              </w:rPr>
              <w:t>rimary education</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 xml:space="preserve">Primary education </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General upper-secondary &amp; post-secondary education/</w:t>
            </w:r>
          </w:p>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training</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Vocational upper-secondary &amp; post-secondary education/training</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Tertiary education</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Job-related (non-formal) education/</w:t>
            </w:r>
          </w:p>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training</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eastAsia="it-IT"/>
              </w:rPr>
            </w:pPr>
            <w:r>
              <w:rPr>
                <w:rFonts w:ascii="Calibri" w:eastAsia="Times New Roman" w:hAnsi="Calibri" w:cs="Calibri"/>
                <w:noProof/>
                <w:color w:val="000000"/>
                <w:sz w:val="18"/>
                <w:szCs w:val="18"/>
                <w:lang w:eastAsia="it-IT"/>
              </w:rPr>
              <w:t xml:space="preserve">Not Job-related (non-formal) </w:t>
            </w:r>
            <w:r>
              <w:rPr>
                <w:rFonts w:ascii="Calibri" w:eastAsia="Times New Roman" w:hAnsi="Calibri" w:cs="Calibri"/>
                <w:noProof/>
                <w:color w:val="000000"/>
                <w:sz w:val="18"/>
                <w:szCs w:val="18"/>
                <w:lang w:eastAsia="it-IT"/>
              </w:rPr>
              <w:t>education/training</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Total (EUR m)</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AT</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0.8%</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5.8%</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63.7%</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3.6%</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26.0%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184.6</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BE</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1.2%</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10.0%</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7.6%</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8.9%</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67.2%</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5.1%</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535.8</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BG</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62.3%</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4.2%</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22.5%</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11.0%</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229.4</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lastRenderedPageBreak/>
              <w:t>CY</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55.2%</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39.9%</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4.9%</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28.8</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CZ</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10.3%</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24.5%</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31.4%</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4.4%</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20.8%</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6.2%</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2.3%</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1,040.3</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DE</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DK</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1.1%</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27.0%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4.7%</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67.2%</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95.4</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EE</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0.9%</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0.4%</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50.4%</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22.9%</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18.7%</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6.6%</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200.6</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ES</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0.4%</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31.2%</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9.4%</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6.5%</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2.6%</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2,870.7</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FI</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0.3%</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17.5%</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13.5%</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9.9%</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51.4%</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7.4%</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190.6</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FR</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GR</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HR</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0.3%</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1.1%</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31.5%</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5.4%</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37.7%</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16.2%</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7.9%</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294.1</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HU</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IE</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48.0%</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52.0%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192.5</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IT</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0.2%</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0.6%</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48.5%</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17.9%</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21.6%</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10.8%</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0.4%</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3,268.5</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LT</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LU</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100.0%</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7.9</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LV</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54.7%</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16.7%</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0.1%</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28.5%</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238.8</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MT</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20.7%</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20.5%</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30.3%</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28.5%</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40.6</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PL</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PT</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11.1%</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59.0%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18.9%</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7.2%</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3.8%</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3,925.6</w:t>
            </w: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RO</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1.3%</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2.6%</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71.7%</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2.0%</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8.7%</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13.7%</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484.6</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SE</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SI</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0.6%</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2.1%</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43.0%</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6.1%</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13.7%</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32.6%</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1.9%</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251.1</w:t>
            </w:r>
          </w:p>
        </w:tc>
      </w:tr>
      <w:tr w:rsidR="00620F75">
        <w:tc>
          <w:tcPr>
            <w:tcW w:w="709" w:type="dxa"/>
            <w:shd w:val="clear" w:color="auto" w:fill="D9D9D9"/>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SK</w:t>
            </w: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color w:val="000000"/>
                <w:sz w:val="18"/>
                <w:szCs w:val="18"/>
                <w:lang w:val="it-IT" w:eastAsia="it-IT"/>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417"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55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3"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1134"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992"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c>
          <w:tcPr>
            <w:tcW w:w="849" w:type="dxa"/>
            <w:shd w:val="clear" w:color="auto" w:fill="D9D9D9"/>
            <w:noWrap/>
            <w:vAlign w:val="bottom"/>
            <w:hideMark/>
          </w:tcPr>
          <w:p w:rsidR="00620F75" w:rsidRDefault="00620F75">
            <w:pPr>
              <w:spacing w:before="0"/>
              <w:jc w:val="left"/>
              <w:rPr>
                <w:rFonts w:ascii="Calibri" w:eastAsia="Times New Roman" w:hAnsi="Calibri" w:cs="Calibri"/>
                <w:noProof/>
                <w:sz w:val="20"/>
                <w:szCs w:val="20"/>
                <w:lang w:val="fr-BE" w:eastAsia="fr-BE"/>
              </w:rPr>
            </w:pPr>
          </w:p>
        </w:tc>
      </w:tr>
      <w:tr w:rsidR="00620F75">
        <w:tc>
          <w:tcPr>
            <w:tcW w:w="709" w:type="dxa"/>
            <w:noWrap/>
            <w:vAlign w:val="bottom"/>
            <w:hideMark/>
          </w:tcPr>
          <w:p w:rsidR="00620F75" w:rsidRDefault="001F403D">
            <w:pPr>
              <w:spacing w:before="0"/>
              <w:jc w:val="lef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UK</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0.4%</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7.9%</w:t>
            </w:r>
          </w:p>
        </w:tc>
        <w:tc>
          <w:tcPr>
            <w:tcW w:w="1417"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28.1%</w:t>
            </w:r>
          </w:p>
        </w:tc>
        <w:tc>
          <w:tcPr>
            <w:tcW w:w="155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4.2%</w:t>
            </w:r>
          </w:p>
        </w:tc>
        <w:tc>
          <w:tcPr>
            <w:tcW w:w="993"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1134"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59.4%</w:t>
            </w:r>
          </w:p>
        </w:tc>
        <w:tc>
          <w:tcPr>
            <w:tcW w:w="992"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0.0%</w:t>
            </w:r>
          </w:p>
        </w:tc>
        <w:tc>
          <w:tcPr>
            <w:tcW w:w="849" w:type="dxa"/>
            <w:noWrap/>
            <w:vAlign w:val="bottom"/>
            <w:hideMark/>
          </w:tcPr>
          <w:p w:rsidR="00620F75" w:rsidRDefault="001F403D">
            <w:pPr>
              <w:spacing w:before="0"/>
              <w:jc w:val="right"/>
              <w:rPr>
                <w:rFonts w:ascii="Calibri" w:eastAsia="Times New Roman" w:hAnsi="Calibri" w:cs="Calibri"/>
                <w:noProof/>
                <w:color w:val="000000"/>
                <w:sz w:val="18"/>
                <w:szCs w:val="18"/>
                <w:lang w:val="it-IT" w:eastAsia="it-IT"/>
              </w:rPr>
            </w:pPr>
            <w:r>
              <w:rPr>
                <w:rFonts w:ascii="Calibri" w:eastAsia="Times New Roman" w:hAnsi="Calibri" w:cs="Calibri"/>
                <w:noProof/>
                <w:color w:val="000000"/>
                <w:sz w:val="18"/>
                <w:szCs w:val="18"/>
                <w:lang w:val="it-IT" w:eastAsia="it-IT"/>
              </w:rPr>
              <w:t>1,784.3</w:t>
            </w:r>
          </w:p>
        </w:tc>
      </w:tr>
      <w:tr w:rsidR="00620F75">
        <w:tc>
          <w:tcPr>
            <w:tcW w:w="709" w:type="dxa"/>
            <w:noWrap/>
            <w:vAlign w:val="bottom"/>
            <w:hideMark/>
          </w:tcPr>
          <w:p w:rsidR="00620F75" w:rsidRDefault="001F403D">
            <w:pPr>
              <w:spacing w:before="0"/>
              <w:jc w:val="lef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EU</w:t>
            </w:r>
          </w:p>
        </w:tc>
        <w:tc>
          <w:tcPr>
            <w:tcW w:w="992"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0.7%</w:t>
            </w:r>
          </w:p>
        </w:tc>
        <w:tc>
          <w:tcPr>
            <w:tcW w:w="993"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2.8%</w:t>
            </w:r>
          </w:p>
        </w:tc>
        <w:tc>
          <w:tcPr>
            <w:tcW w:w="1417"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29.9%</w:t>
            </w:r>
          </w:p>
        </w:tc>
        <w:tc>
          <w:tcPr>
            <w:tcW w:w="1559"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29.3%</w:t>
            </w:r>
          </w:p>
        </w:tc>
        <w:tc>
          <w:tcPr>
            <w:tcW w:w="993"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14.0%</w:t>
            </w:r>
          </w:p>
        </w:tc>
        <w:tc>
          <w:tcPr>
            <w:tcW w:w="1134"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19.9%</w:t>
            </w:r>
          </w:p>
        </w:tc>
        <w:tc>
          <w:tcPr>
            <w:tcW w:w="992" w:type="dxa"/>
            <w:noWrap/>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3.3%</w:t>
            </w:r>
          </w:p>
        </w:tc>
        <w:tc>
          <w:tcPr>
            <w:tcW w:w="849" w:type="dxa"/>
            <w:noWrap/>
            <w:vAlign w:val="bottom"/>
            <w:hideMark/>
          </w:tcPr>
          <w:p w:rsidR="00620F75" w:rsidRDefault="001F403D">
            <w:pPr>
              <w:spacing w:before="0"/>
              <w:jc w:val="right"/>
              <w:rPr>
                <w:rFonts w:ascii="Calibri" w:eastAsia="Times New Roman" w:hAnsi="Calibri" w:cs="Calibri"/>
                <w:b/>
                <w:bCs/>
                <w:noProof/>
                <w:color w:val="000000"/>
                <w:sz w:val="18"/>
                <w:szCs w:val="18"/>
                <w:lang w:val="it-IT" w:eastAsia="it-IT"/>
              </w:rPr>
            </w:pPr>
            <w:r>
              <w:rPr>
                <w:rFonts w:ascii="Calibri" w:eastAsia="Times New Roman" w:hAnsi="Calibri" w:cs="Calibri"/>
                <w:b/>
                <w:bCs/>
                <w:noProof/>
                <w:color w:val="000000"/>
                <w:sz w:val="18"/>
                <w:szCs w:val="18"/>
                <w:lang w:val="it-IT" w:eastAsia="it-IT"/>
              </w:rPr>
              <w:t>17,876.2</w:t>
            </w:r>
          </w:p>
        </w:tc>
      </w:tr>
    </w:tbl>
    <w:p w:rsidR="00620F75" w:rsidRDefault="001F403D">
      <w:pPr>
        <w:widowControl w:val="0"/>
        <w:spacing w:before="0" w:after="160" w:line="254" w:lineRule="auto"/>
        <w:jc w:val="left"/>
        <w:rPr>
          <w:rFonts w:ascii="Verdana" w:eastAsia="Times New Roman" w:hAnsi="Verdana" w:cs="Calibri"/>
          <w:i/>
          <w:noProof/>
          <w:color w:val="000000"/>
          <w:sz w:val="18"/>
          <w:szCs w:val="18"/>
          <w:lang w:eastAsia="it-IT"/>
        </w:rPr>
      </w:pPr>
      <w:r>
        <w:rPr>
          <w:rFonts w:ascii="Verdana" w:eastAsia="Times New Roman" w:hAnsi="Verdana" w:cs="Calibri"/>
          <w:i/>
          <w:noProof/>
          <w:color w:val="000000"/>
          <w:sz w:val="18"/>
          <w:szCs w:val="18"/>
          <w:lang w:eastAsia="it-IT"/>
        </w:rPr>
        <w:t>*Countries included in the calculation: AT, BE, BG, CZ, CY, DK, EE, ES, FI, HR, IE, IT, LU, LV, MT, PT, RO, SI, UK.</w:t>
      </w:r>
    </w:p>
    <w:p w:rsidR="00620F75" w:rsidRDefault="001F403D">
      <w:pPr>
        <w:widowControl w:val="0"/>
        <w:spacing w:before="0" w:after="160" w:line="254" w:lineRule="auto"/>
        <w:jc w:val="left"/>
        <w:rPr>
          <w:rFonts w:ascii="Verdana" w:eastAsia="Times New Roman" w:hAnsi="Verdana" w:cs="Calibri"/>
          <w:i/>
          <w:noProof/>
          <w:color w:val="000000"/>
          <w:sz w:val="18"/>
          <w:szCs w:val="18"/>
          <w:lang w:eastAsia="it-IT"/>
        </w:rPr>
      </w:pPr>
      <w:r>
        <w:rPr>
          <w:rFonts w:ascii="Verdana" w:eastAsia="Times New Roman" w:hAnsi="Verdana" w:cs="Calibri"/>
          <w:i/>
          <w:noProof/>
          <w:color w:val="000000"/>
          <w:sz w:val="18"/>
          <w:szCs w:val="18"/>
          <w:lang w:eastAsia="it-IT"/>
        </w:rPr>
        <w:t>Source: Contractor’s processing on list of operations published</w:t>
      </w:r>
      <w:r>
        <w:rPr>
          <w:rFonts w:ascii="Verdana" w:eastAsia="Times New Roman" w:hAnsi="Verdana" w:cs="Calibri"/>
          <w:i/>
          <w:noProof/>
          <w:color w:val="000000"/>
          <w:sz w:val="18"/>
          <w:szCs w:val="18"/>
          <w:lang w:eastAsia="it-IT"/>
        </w:rPr>
        <w:t xml:space="preserve"> by Member States</w:t>
      </w:r>
    </w:p>
    <w:p w:rsidR="00620F75" w:rsidRDefault="001F403D">
      <w:pPr>
        <w:rPr>
          <w:noProof/>
        </w:rPr>
      </w:pPr>
      <w:r>
        <w:rPr>
          <w:b/>
          <w:noProof/>
          <w:color w:val="1F497D" w:themeColor="text2"/>
        </w:rPr>
        <w:t>The European Regional Development Fund (ERDF)</w:t>
      </w:r>
      <w:r>
        <w:rPr>
          <w:noProof/>
          <w:color w:val="1F497D" w:themeColor="text2"/>
        </w:rPr>
        <w:t xml:space="preserve"> </w:t>
      </w:r>
      <w:r>
        <w:rPr>
          <w:noProof/>
        </w:rPr>
        <w:t>invests in education, training and lifelong learning infrastructure and equipment. ESF+ and ERDF work in complementarities to create incentives for educational reforms, including development o</w:t>
      </w:r>
      <w:r>
        <w:rPr>
          <w:noProof/>
        </w:rPr>
        <w:t xml:space="preserve">f skills. In the 2014-2020 programming period EUR 6,2 billion will be invested in education, training and lifelong learning from ERDF, nearly EUR 1 billion of that in vocational and adult education infrastructure and equipment. </w:t>
      </w:r>
    </w:p>
    <w:p w:rsidR="00620F75" w:rsidRDefault="001F403D">
      <w:pPr>
        <w:rPr>
          <w:noProof/>
        </w:rPr>
      </w:pPr>
      <w:r>
        <w:rPr>
          <w:noProof/>
        </w:rPr>
        <w:t>Education, training and lif</w:t>
      </w:r>
      <w:r>
        <w:rPr>
          <w:noProof/>
        </w:rPr>
        <w:t>elong learning remain a priority in the Commission proposal for the 2021-2027 period, in the framework of the policy objective 4, ‘A More social Europe - implementing the European Pillar of Social Rights’, where ERDF will focus on improving access to inclu</w:t>
      </w:r>
      <w:r>
        <w:rPr>
          <w:noProof/>
        </w:rPr>
        <w:t xml:space="preserve">sive and quality services in education, training and life-long learning through developing infrastructure. </w:t>
      </w:r>
    </w:p>
    <w:p w:rsidR="00620F75" w:rsidRDefault="001F403D">
      <w:pPr>
        <w:rPr>
          <w:noProof/>
        </w:rPr>
      </w:pPr>
      <w:r>
        <w:rPr>
          <w:noProof/>
        </w:rPr>
        <w:t>Development of skills should be considered as integral part of developing and implementing national or regional Smart specialisation strategies, whi</w:t>
      </w:r>
      <w:r>
        <w:rPr>
          <w:noProof/>
        </w:rPr>
        <w:t>ch implies a close cooperation between education, business and wider society. As a novelty in the 2021-2027 programming period, it is proposed that ERDF may support certain skills development under specific objective 4 ‘Developing skills for smart speciali</w:t>
      </w:r>
      <w:r>
        <w:rPr>
          <w:noProof/>
        </w:rPr>
        <w:t>sation, industrial transition and entrepreneurship’ of policy objective 1, ‘A smarter Europe by promoting innovative and smart economic transformation’. This support will focus on the smart specialisation priority areas identified in the entrepreneurial di</w:t>
      </w:r>
      <w:r>
        <w:rPr>
          <w:noProof/>
        </w:rPr>
        <w:t xml:space="preserve">scovery process. It could include Innovation management trainings in SMEs, re-skilling and upskilling within firms, </w:t>
      </w:r>
      <w:r>
        <w:rPr>
          <w:rFonts w:cs="Arial"/>
          <w:noProof/>
        </w:rPr>
        <w:t xml:space="preserve">strengthening the integration of education and training institutions including high education and </w:t>
      </w:r>
      <w:hyperlink r:id="rId34" w:history="1">
        <w:r>
          <w:rPr>
            <w:rStyle w:val="Hyperlink"/>
            <w:rFonts w:cs="Arial"/>
            <w:noProof/>
          </w:rPr>
          <w:t>centres of vocational excellence</w:t>
        </w:r>
      </w:hyperlink>
      <w:r>
        <w:rPr>
          <w:rFonts w:cs="Arial"/>
          <w:noProof/>
        </w:rPr>
        <w:t xml:space="preserve"> within national and regional innovation, and other. </w:t>
      </w:r>
    </w:p>
    <w:p w:rsidR="00620F75" w:rsidRDefault="001F403D">
      <w:pPr>
        <w:rPr>
          <w:noProof/>
        </w:rPr>
      </w:pPr>
      <w:r>
        <w:rPr>
          <w:b/>
          <w:noProof/>
          <w:color w:val="1F497D" w:themeColor="text2"/>
        </w:rPr>
        <w:t>The Erasmus+ Programme</w:t>
      </w:r>
      <w:r>
        <w:rPr>
          <w:noProof/>
          <w:color w:val="1F497D" w:themeColor="text2"/>
        </w:rPr>
        <w:t xml:space="preserve"> </w:t>
      </w:r>
      <w:r>
        <w:rPr>
          <w:noProof/>
        </w:rPr>
        <w:t>enables millions of young Europeans to study, train or learn abroad while bro</w:t>
      </w:r>
      <w:r>
        <w:rPr>
          <w:noProof/>
        </w:rPr>
        <w:t xml:space="preserve">adening their experience and awareness of Europe, and increasing their </w:t>
      </w:r>
      <w:r>
        <w:rPr>
          <w:noProof/>
        </w:rPr>
        <w:lastRenderedPageBreak/>
        <w:t>future chances on the job market. It finances also the mobility of teachers, trainers and staff for teaching or training.</w:t>
      </w:r>
    </w:p>
    <w:p w:rsidR="00620F75" w:rsidRDefault="001F403D">
      <w:pPr>
        <w:rPr>
          <w:noProof/>
        </w:rPr>
      </w:pPr>
      <w:r>
        <w:rPr>
          <w:noProof/>
        </w:rPr>
        <w:t xml:space="preserve">In the area of Vocational Education and Training, €3.1 Billion </w:t>
      </w:r>
      <w:r>
        <w:rPr>
          <w:noProof/>
        </w:rPr>
        <w:t>has been available in the period 2014-2020 for mobility, strategic partnerships and policy cooperation in VET, directly supporting the Riga policy priorities.). It has also played a key role in developing VET business partnerships aimed at promoting work-b</w:t>
      </w:r>
      <w:r>
        <w:rPr>
          <w:noProof/>
        </w:rPr>
        <w:t xml:space="preserve">ased learning in all its forms, with special attention to apprenticeship training, by involving social partners, companies and VET providers. </w:t>
      </w:r>
    </w:p>
    <w:p w:rsidR="00620F75" w:rsidRDefault="001F403D">
      <w:pPr>
        <w:rPr>
          <w:noProof/>
        </w:rPr>
      </w:pPr>
      <w:r>
        <w:rPr>
          <w:noProof/>
        </w:rPr>
        <w:t>Long-term mobility (i.e. 3-12 months duration) of VET learners has been promoted through introducing the ErasmusP</w:t>
      </w:r>
      <w:r>
        <w:rPr>
          <w:noProof/>
        </w:rPr>
        <w:t>ro activity into the programme as of 2018, with the objective to facilitate long-term placements in working environments in another country, and provide young people with job specific vocational skills, as well as key competences and transversal skills.</w:t>
      </w:r>
    </w:p>
    <w:p w:rsidR="00620F75" w:rsidRDefault="001F403D">
      <w:pPr>
        <w:rPr>
          <w:noProof/>
        </w:rPr>
      </w:pPr>
      <w:r>
        <w:rPr>
          <w:noProof/>
        </w:rPr>
        <w:t>Th</w:t>
      </w:r>
      <w:r>
        <w:rPr>
          <w:noProof/>
        </w:rPr>
        <w:t>e programme has also supported the work to raise the attractiveness and image of VET through the European Vocational Skills Week.</w:t>
      </w:r>
    </w:p>
    <w:p w:rsidR="00620F75" w:rsidRDefault="001F403D">
      <w:pPr>
        <w:rPr>
          <w:noProof/>
        </w:rPr>
      </w:pPr>
      <w:r>
        <w:rPr>
          <w:noProof/>
        </w:rPr>
        <w:t>The Erasmus Programme post-2020, as proposed by the Commission, will be substantially reinforced, extended and more inclusive.</w:t>
      </w:r>
      <w:r>
        <w:rPr>
          <w:noProof/>
        </w:rPr>
        <w:t xml:space="preserve"> It will provide strengthened support to VET, via increased opportunities for mobility of learners and teachers, trainers and staff; partnerships; opening up towards the world with the new international dimension; as well as the support to the Centres of v</w:t>
      </w:r>
      <w:r>
        <w:rPr>
          <w:noProof/>
        </w:rPr>
        <w:t>ocational excellence.</w:t>
      </w:r>
    </w:p>
    <w:p w:rsidR="00620F75" w:rsidRDefault="001F403D">
      <w:pPr>
        <w:rPr>
          <w:noProof/>
        </w:rPr>
      </w:pPr>
      <w:r>
        <w:rPr>
          <w:noProof/>
        </w:rPr>
        <w:t xml:space="preserve">According to the Commission proposal for Erasmus+, the programme will further strengthen the support for the mobility of VET learners and staff. When compared to the current funding period, the increase in the proposed budget for the </w:t>
      </w:r>
      <w:r>
        <w:rPr>
          <w:noProof/>
        </w:rPr>
        <w:t>period 2021 to 2027 will allow to significantly increase the number of people benefiting from VET mobility. As the demand is much higher than what the current budget can finance, this budgetary increase seems particularly relevant and it will reinforce the</w:t>
      </w:r>
      <w:r>
        <w:rPr>
          <w:noProof/>
        </w:rPr>
        <w:t xml:space="preserve"> opportunity for learning or work experience abroad, to be better prepared for the labour market; improve self-confidence, language skills, and the ability to interact with people, as well as the readiness to get to know other cultures. The programme will </w:t>
      </w:r>
      <w:r>
        <w:rPr>
          <w:noProof/>
        </w:rPr>
        <w:t>also offer people in continuing education the opportunity to live a mobility experience while they are upskilling and reskilling. The opportunity for international mobility of learners and VET staff in the same way as for higher education in the current pr</w:t>
      </w:r>
      <w:r>
        <w:rPr>
          <w:noProof/>
        </w:rPr>
        <w:t>ogram, is also foreseen.</w:t>
      </w:r>
    </w:p>
    <w:p w:rsidR="00620F75" w:rsidRDefault="001F403D">
      <w:pPr>
        <w:rPr>
          <w:noProof/>
        </w:rPr>
      </w:pPr>
      <w:r>
        <w:rPr>
          <w:noProof/>
        </w:rPr>
        <w:t xml:space="preserve">In the Commission proposal, it is suggested to give more attention to study fields linked to green and digital skills, such as renewable energy, climate change, environmental engineering, and artificial intelligence. The links </w:t>
      </w:r>
      <w:r>
        <w:rPr>
          <w:noProof/>
        </w:rPr>
        <w:t>between Erasmus and ESF will be reinforced, including by allowing the topping up of the Erasmus grants to support learners with fewer opportunities to engage in mobility; or by scaling up at national level successful projects in the Erasmus programme</w:t>
      </w:r>
    </w:p>
    <w:p w:rsidR="00620F75" w:rsidRDefault="001F403D">
      <w:pPr>
        <w:rPr>
          <w:noProof/>
        </w:rPr>
      </w:pPr>
      <w:r>
        <w:rPr>
          <w:noProof/>
        </w:rPr>
        <w:t>In it</w:t>
      </w:r>
      <w:r>
        <w:rPr>
          <w:noProof/>
        </w:rPr>
        <w:t>s proposal, the Commission emphasises the promotion and quality of VET through the development of international networks and partnerships. In this context, support will be given to Platforms of Centres of Vocational Excellence (CoVEs) – see section 5.4.1 -</w:t>
      </w:r>
      <w:r>
        <w:rPr>
          <w:noProof/>
        </w:rPr>
        <w:t xml:space="preserve"> bringing together VET providers, national and regional authorities, companies, research institutions, social partners, public employment services and other stakeholders. </w:t>
      </w:r>
    </w:p>
    <w:p w:rsidR="00620F75" w:rsidRDefault="001F403D">
      <w:pPr>
        <w:rPr>
          <w:rFonts w:ascii="Calibri" w:hAnsi="Calibri"/>
          <w:noProof/>
          <w:sz w:val="22"/>
        </w:rPr>
      </w:pPr>
      <w:r>
        <w:rPr>
          <w:noProof/>
        </w:rPr>
        <w:t xml:space="preserve">The </w:t>
      </w:r>
      <w:r>
        <w:rPr>
          <w:b/>
          <w:noProof/>
          <w:color w:val="1F497D" w:themeColor="text2"/>
        </w:rPr>
        <w:t>European Agricultural Fund for Rural Development (EAFRD)</w:t>
      </w:r>
      <w:r>
        <w:rPr>
          <w:noProof/>
          <w:color w:val="1F497D" w:themeColor="text2"/>
        </w:rPr>
        <w:t xml:space="preserve"> </w:t>
      </w:r>
      <w:r>
        <w:rPr>
          <w:noProof/>
        </w:rPr>
        <w:t>supports European polic</w:t>
      </w:r>
      <w:r>
        <w:rPr>
          <w:noProof/>
        </w:rPr>
        <w:t xml:space="preserve">y on rural development across the Member States and the regions of the Union. As one of the objectives for the 2014-20 programming period, the Fund focuses on achieving a </w:t>
      </w:r>
      <w:r>
        <w:rPr>
          <w:noProof/>
        </w:rPr>
        <w:lastRenderedPageBreak/>
        <w:t>balanced territorial development of rural economies and communities including the cre</w:t>
      </w:r>
      <w:r>
        <w:rPr>
          <w:noProof/>
        </w:rPr>
        <w:t xml:space="preserve">ation and maintenance of employment. Its priorities related to fostering knowledge transfer and innovation in agriculture, forestry and rural areas and promoting social inclusion, poverty reduction and economic development in rural areas deliver important </w:t>
      </w:r>
      <w:r>
        <w:rPr>
          <w:noProof/>
        </w:rPr>
        <w:t xml:space="preserve">contributions to skills development in the sector. </w:t>
      </w:r>
    </w:p>
    <w:p w:rsidR="00620F75" w:rsidRDefault="001F403D">
      <w:pPr>
        <w:rPr>
          <w:bCs/>
          <w:noProof/>
        </w:rPr>
      </w:pPr>
      <w:r>
        <w:rPr>
          <w:noProof/>
        </w:rPr>
        <w:t xml:space="preserve">Some activities funded under the </w:t>
      </w:r>
      <w:r>
        <w:rPr>
          <w:b/>
          <w:noProof/>
          <w:color w:val="1F497D" w:themeColor="text2"/>
        </w:rPr>
        <w:t>EU programme for employment and innovation (EaSI)</w:t>
      </w:r>
      <w:r>
        <w:rPr>
          <w:noProof/>
          <w:color w:val="1F497D" w:themeColor="text2"/>
        </w:rPr>
        <w:t xml:space="preserve"> </w:t>
      </w:r>
      <w:r>
        <w:rPr>
          <w:noProof/>
        </w:rPr>
        <w:t>to support implementation of the Upskilling Pathways Recommendation, more or less directly related to vocational educatio</w:t>
      </w:r>
      <w:r>
        <w:rPr>
          <w:noProof/>
        </w:rPr>
        <w:t xml:space="preserve">n and training. </w:t>
      </w:r>
      <w:r>
        <w:rPr>
          <w:bCs/>
          <w:noProof/>
        </w:rPr>
        <w:t xml:space="preserve">The EaSI programme is also funding call for proposals to support Upskilling Pathways, mainly aimed at national or regional public authorities as lead applicants, often with a consortium of strategic stakeholders. </w:t>
      </w:r>
    </w:p>
    <w:p w:rsidR="00620F75" w:rsidRDefault="001F403D">
      <w:pPr>
        <w:rPr>
          <w:noProof/>
        </w:rPr>
      </w:pPr>
      <w:r>
        <w:rPr>
          <w:noProof/>
        </w:rPr>
        <w:t>The European agenda for vo</w:t>
      </w:r>
      <w:r>
        <w:rPr>
          <w:noProof/>
        </w:rPr>
        <w:t xml:space="preserve">cational education and training is also supported by the </w:t>
      </w:r>
      <w:r>
        <w:rPr>
          <w:b/>
          <w:noProof/>
          <w:color w:val="1F497D" w:themeColor="text2"/>
        </w:rPr>
        <w:t>Structural Reform Support Programme (SRSP)</w:t>
      </w:r>
      <w:r>
        <w:rPr>
          <w:noProof/>
          <w:color w:val="1F497D" w:themeColor="text2"/>
        </w:rPr>
        <w:t xml:space="preserve"> </w:t>
      </w:r>
      <w:r>
        <w:rPr>
          <w:noProof/>
        </w:rPr>
        <w:t>that provides tailor-made support to all EU countries for their institutional, administrative and growth-enhancing reforms. Among the different policy areas</w:t>
      </w:r>
      <w:r>
        <w:rPr>
          <w:noProof/>
        </w:rPr>
        <w:t xml:space="preserve">, the Directorate General for Structural Reform Support - DG REFORM - provides technical support directly to Member States upon their request in their endeavour to design and implement reforms in the fields of skills, education and training. </w:t>
      </w:r>
    </w:p>
    <w:p w:rsidR="00620F75" w:rsidRDefault="001F403D">
      <w:pPr>
        <w:rPr>
          <w:noProof/>
        </w:rPr>
      </w:pPr>
      <w:r>
        <w:rPr>
          <w:noProof/>
        </w:rPr>
        <w:t xml:space="preserve">In 2018, BG, </w:t>
      </w:r>
      <w:r>
        <w:rPr>
          <w:noProof/>
        </w:rPr>
        <w:t>ES and PT have been kick-started projects in the field of VET and adult learning, as well as BE-FR, BE-NL, HU, NL and PT in 2019 – for instance on structural implementation of dual learning in Flanders or to support ES in the design of quality framework fo</w:t>
      </w:r>
      <w:r>
        <w:rPr>
          <w:noProof/>
        </w:rPr>
        <w:t>r the implementation of Dual VET. In 2020, SRSP support was requested by France, Greece and Luxemburg to raise the effectiveness of their VET systems, by improving the implementation of their models of Centres for Vocational Excellence in the first two cas</w:t>
      </w:r>
      <w:r>
        <w:rPr>
          <w:noProof/>
        </w:rPr>
        <w:t xml:space="preserve">es and updating the national VET strategy. </w:t>
      </w:r>
    </w:p>
    <w:p w:rsidR="00620F75" w:rsidRDefault="001F403D">
      <w:pPr>
        <w:rPr>
          <w:noProof/>
        </w:rPr>
      </w:pPr>
      <w:r>
        <w:rPr>
          <w:noProof/>
        </w:rPr>
        <w:t xml:space="preserve">To help drive inclusive and sustainable growth, and convergence, for the next MFF (2021-27) Commission proposes a </w:t>
      </w:r>
      <w:r>
        <w:rPr>
          <w:b/>
          <w:noProof/>
          <w:color w:val="1F497D" w:themeColor="text2"/>
        </w:rPr>
        <w:t>new Reform Support Programme</w:t>
      </w:r>
      <w:r>
        <w:rPr>
          <w:noProof/>
          <w:color w:val="1F497D" w:themeColor="text2"/>
        </w:rPr>
        <w:t xml:space="preserve"> </w:t>
      </w:r>
      <w:r>
        <w:rPr>
          <w:noProof/>
        </w:rPr>
        <w:t xml:space="preserve">that will include instruments providing financing to support the </w:t>
      </w:r>
      <w:r>
        <w:rPr>
          <w:noProof/>
        </w:rPr>
        <w:t>implementation of recommendations provided in the European Semester, including in the area of education, training and skills.</w:t>
      </w:r>
    </w:p>
    <w:p w:rsidR="00620F75" w:rsidRDefault="001F403D">
      <w:pPr>
        <w:rPr>
          <w:noProof/>
        </w:rPr>
      </w:pPr>
      <w:r>
        <w:rPr>
          <w:b/>
          <w:noProof/>
          <w:color w:val="1F497D" w:themeColor="text2"/>
        </w:rPr>
        <w:t>The European Fund for Strategic Investments (EFSI)</w:t>
      </w:r>
      <w:r>
        <w:rPr>
          <w:noProof/>
          <w:color w:val="1F497D" w:themeColor="text2"/>
        </w:rPr>
        <w:t xml:space="preserve"> </w:t>
      </w:r>
      <w:r>
        <w:rPr>
          <w:noProof/>
          <w:color w:val="000000"/>
        </w:rPr>
        <w:t xml:space="preserve">– </w:t>
      </w:r>
      <w:r>
        <w:rPr>
          <w:noProof/>
        </w:rPr>
        <w:t>the central</w:t>
      </w:r>
      <w:r>
        <w:rPr>
          <w:noProof/>
          <w:color w:val="000000"/>
        </w:rPr>
        <w:t xml:space="preserve"> pillar of the Investment Plan for Europe</w:t>
      </w:r>
      <w:r>
        <w:rPr>
          <w:noProof/>
        </w:rPr>
        <w:t>, the so-called Juncker P</w:t>
      </w:r>
      <w:r>
        <w:rPr>
          <w:noProof/>
        </w:rPr>
        <w:t>lan</w:t>
      </w:r>
      <w:r>
        <w:rPr>
          <w:noProof/>
          <w:color w:val="000000"/>
        </w:rPr>
        <w:t xml:space="preserve"> </w:t>
      </w:r>
      <w:r>
        <w:rPr>
          <w:noProof/>
        </w:rPr>
        <w:t>–</w:t>
      </w:r>
      <w:r>
        <w:rPr>
          <w:noProof/>
          <w:color w:val="000000"/>
        </w:rPr>
        <w:t xml:space="preserve"> </w:t>
      </w:r>
      <w:r>
        <w:rPr>
          <w:noProof/>
        </w:rPr>
        <w:t>helps the EU close the investment gap in key strategic areas while creating jobs and enhancing competitiveness. The launch of the Skills and Education Guarantee Pilot facility, under EFSI, will continue to strengthen the social dimension of the Junck</w:t>
      </w:r>
      <w:r>
        <w:rPr>
          <w:noProof/>
        </w:rPr>
        <w:t>er Plan. The facility will support three categories of final beneficiaries: (i) individuals furthering their education and skills; (ii) enterprises and other organisations in their effort to improve skills and skills utilisation; and (iii) providers of ski</w:t>
      </w:r>
      <w:r>
        <w:rPr>
          <w:noProof/>
        </w:rPr>
        <w:t>lls, training and education services or undertakings developing educational/skills projects in the education field. The guarantee facility of EUR 50 million will partially cover the credit risk of the underlying loan portfolio that financial intermediaries</w:t>
      </w:r>
      <w:r>
        <w:rPr>
          <w:noProof/>
        </w:rPr>
        <w:t xml:space="preserve"> will extend to final beneficiaries. As a result, the Pilot will mobilise an additional investment of around EUR 250 million to the education and skills sector.</w:t>
      </w:r>
    </w:p>
    <w:p w:rsidR="00620F75" w:rsidRDefault="001F403D">
      <w:pPr>
        <w:rPr>
          <w:b/>
          <w:noProof/>
          <w:color w:val="000000"/>
          <w:lang w:val="en-IE"/>
        </w:rPr>
      </w:pPr>
      <w:r>
        <w:rPr>
          <w:b/>
          <w:noProof/>
          <w:color w:val="000000"/>
          <w:lang w:val="en-IE"/>
        </w:rPr>
        <w:t>Box 3 - EFSI support to skills and vocational education and training</w:t>
      </w:r>
    </w:p>
    <w:tbl>
      <w:tblPr>
        <w:tblStyle w:val="TableGrid"/>
        <w:tblW w:w="0" w:type="auto"/>
        <w:tblLook w:val="04A0" w:firstRow="1" w:lastRow="0" w:firstColumn="1" w:lastColumn="0" w:noHBand="0" w:noVBand="1"/>
      </w:tblPr>
      <w:tblGrid>
        <w:gridCol w:w="9212"/>
      </w:tblGrid>
      <w:tr w:rsidR="00620F75">
        <w:tc>
          <w:tcPr>
            <w:tcW w:w="9212" w:type="dxa"/>
          </w:tcPr>
          <w:p w:rsidR="00620F75" w:rsidRDefault="001F403D">
            <w:pPr>
              <w:rPr>
                <w:noProof/>
                <w:color w:val="000000"/>
                <w:lang w:val="en-IE"/>
              </w:rPr>
            </w:pPr>
            <w:r>
              <w:rPr>
                <w:noProof/>
                <w:color w:val="000000"/>
                <w:lang w:val="en-IE"/>
              </w:rPr>
              <w:t>EFSI financing has been in</w:t>
            </w:r>
            <w:r>
              <w:rPr>
                <w:noProof/>
                <w:color w:val="000000"/>
                <w:lang w:val="en-IE"/>
              </w:rPr>
              <w:t xml:space="preserve">strumental in supporting actions that promote skills and Vocational Education and Training. </w:t>
            </w:r>
          </w:p>
          <w:p w:rsidR="00620F75" w:rsidRDefault="001F403D">
            <w:pPr>
              <w:rPr>
                <w:noProof/>
                <w:color w:val="000000"/>
                <w:lang w:val="en-IE"/>
              </w:rPr>
            </w:pPr>
            <w:r>
              <w:rPr>
                <w:noProof/>
                <w:color w:val="000000"/>
                <w:lang w:val="en-IE"/>
              </w:rPr>
              <w:t>In 2018, the European Investment Bank (EIB) matched EUR 25 million worth of funding by Bankia, a Spanish bank, to make available financing for SMEs and mid-caps in</w:t>
            </w:r>
            <w:r>
              <w:rPr>
                <w:noProof/>
                <w:color w:val="000000"/>
                <w:lang w:val="en-IE"/>
              </w:rPr>
              <w:t xml:space="preserve"> Spain. The </w:t>
            </w:r>
            <w:r>
              <w:rPr>
                <w:noProof/>
                <w:color w:val="000000"/>
                <w:lang w:val="en-IE"/>
              </w:rPr>
              <w:lastRenderedPageBreak/>
              <w:t>financing facility helps young people in Spain, including vocational training students, integrate better in the labour force. By offering long-term loans to SMEs and mid-caps on favourable terms, the initiative is an incentive to companies to t</w:t>
            </w:r>
            <w:r>
              <w:rPr>
                <w:noProof/>
                <w:color w:val="000000"/>
                <w:lang w:val="en-IE"/>
              </w:rPr>
              <w:t>rain and eventually hire young unemployed participating in Bankia’s vocational training programme. In this way, young people put in use acquired skills that can help their long-term employability and aligns the aims of this financial facility with the voca</w:t>
            </w:r>
            <w:r>
              <w:rPr>
                <w:noProof/>
                <w:color w:val="000000"/>
                <w:lang w:val="en-IE"/>
              </w:rPr>
              <w:t xml:space="preserve">tional education and training objectives. </w:t>
            </w:r>
          </w:p>
          <w:p w:rsidR="00620F75" w:rsidRDefault="001F403D">
            <w:pPr>
              <w:rPr>
                <w:noProof/>
                <w:color w:val="000000"/>
                <w:lang w:val="en-IE"/>
              </w:rPr>
            </w:pPr>
            <w:r>
              <w:rPr>
                <w:noProof/>
                <w:color w:val="000000"/>
                <w:lang w:val="en-IE"/>
              </w:rPr>
              <w:t xml:space="preserve">In this case too, the EIB is able to provide financing support SMEs and midcaps at a higher level than would have been possible without EFSI. </w:t>
            </w:r>
          </w:p>
          <w:p w:rsidR="00620F75" w:rsidRDefault="001F403D">
            <w:pPr>
              <w:rPr>
                <w:noProof/>
                <w:color w:val="000000"/>
                <w:lang w:val="en-IE"/>
              </w:rPr>
            </w:pPr>
            <w:r>
              <w:rPr>
                <w:noProof/>
                <w:color w:val="000000"/>
                <w:lang w:val="en-IE"/>
              </w:rPr>
              <w:t>In 2017, Innovation Nest, a venture capital firm backed by the Europea</w:t>
            </w:r>
            <w:r>
              <w:rPr>
                <w:noProof/>
                <w:color w:val="000000"/>
                <w:lang w:val="en-IE"/>
              </w:rPr>
              <w:t>n Investment Fund under EFSI, provided an important equity investment in Doctrina a Slovenian healthcare platform that offers high-quality online education to pharmacists, specialist retailers, physicians and other healthcare professionals through interact</w:t>
            </w:r>
            <w:r>
              <w:rPr>
                <w:noProof/>
                <w:color w:val="000000"/>
                <w:lang w:val="en-IE"/>
              </w:rPr>
              <w:t xml:space="preserve">ive video courses. The short video courses, which are accessible from anywhere, help health professionals upgrade their skills, enhance their knowledge, and remain up-to-date with the latest developments in medicine – crucial attributes to the profession. </w:t>
            </w:r>
            <w:r>
              <w:rPr>
                <w:noProof/>
                <w:color w:val="000000"/>
                <w:lang w:val="en-IE"/>
              </w:rPr>
              <w:t xml:space="preserve">Course content is certified and can form part of the learner’s continuing professional development. Financing from EFSI helped Doctrina to scale-up the business, expand to new countries and develop its products in a way that is less costly, more efficient </w:t>
            </w:r>
            <w:r>
              <w:rPr>
                <w:noProof/>
                <w:color w:val="000000"/>
                <w:lang w:val="en-IE"/>
              </w:rPr>
              <w:t>and ultimately more effective since the training can reach a wider audience.</w:t>
            </w:r>
          </w:p>
        </w:tc>
      </w:tr>
    </w:tbl>
    <w:p w:rsidR="00620F75" w:rsidRDefault="001F403D">
      <w:pPr>
        <w:rPr>
          <w:noProof/>
        </w:rPr>
      </w:pPr>
      <w:r>
        <w:rPr>
          <w:noProof/>
        </w:rPr>
        <w:lastRenderedPageBreak/>
        <w:t xml:space="preserve">Looking forward and building on the success of the Juncker Plan, the Commission put forward </w:t>
      </w:r>
      <w:r>
        <w:rPr>
          <w:b/>
          <w:noProof/>
          <w:color w:val="1F497D" w:themeColor="text2"/>
        </w:rPr>
        <w:t xml:space="preserve">the </w:t>
      </w:r>
      <w:r>
        <w:rPr>
          <w:rFonts w:eastAsia="Times New Roman"/>
          <w:b/>
          <w:noProof/>
          <w:color w:val="1F497D" w:themeColor="text2"/>
          <w:lang w:eastAsia="en-GB"/>
        </w:rPr>
        <w:t>InvestEU</w:t>
      </w:r>
      <w:r>
        <w:rPr>
          <w:b/>
          <w:noProof/>
          <w:color w:val="1F497D" w:themeColor="text2"/>
        </w:rPr>
        <w:t xml:space="preserve"> P</w:t>
      </w:r>
      <w:r>
        <w:rPr>
          <w:rFonts w:eastAsia="Times New Roman"/>
          <w:b/>
          <w:noProof/>
          <w:color w:val="1F497D" w:themeColor="text2"/>
          <w:lang w:eastAsia="en-GB"/>
        </w:rPr>
        <w:t>rogramme</w:t>
      </w:r>
      <w:r>
        <w:rPr>
          <w:rFonts w:eastAsia="Times New Roman"/>
          <w:noProof/>
          <w:color w:val="1F497D" w:themeColor="text2"/>
          <w:lang w:eastAsia="en-GB"/>
        </w:rPr>
        <w:t xml:space="preserve"> </w:t>
      </w:r>
      <w:r>
        <w:rPr>
          <w:rFonts w:eastAsia="Times New Roman"/>
          <w:noProof/>
          <w:color w:val="000000"/>
          <w:lang w:eastAsia="en-GB"/>
        </w:rPr>
        <w:t>will strengthen investment in the social dimension of the Union</w:t>
      </w:r>
      <w:r>
        <w:rPr>
          <w:rFonts w:eastAsia="Times New Roman"/>
          <w:noProof/>
          <w:color w:val="000000"/>
          <w:lang w:eastAsia="en-GB"/>
        </w:rPr>
        <w:t xml:space="preserve">, supporting the implementation of the European Pillar of Social Rights. </w:t>
      </w:r>
      <w:r>
        <w:rPr>
          <w:noProof/>
        </w:rPr>
        <w:t>Financing under InvestEU is foreseen to consist of an EU budgetary guarantee of EUR 38 billion, covering four policy windows: (i) sustainable infrastructure; (ii) research, innovation</w:t>
      </w:r>
      <w:r>
        <w:rPr>
          <w:noProof/>
        </w:rPr>
        <w:t xml:space="preserve"> and digitisation; (iii) SMEs; and (iv) social investment and skills. In turn, the budgetary guarantee is expected to mobilise up to EUR 650 billion of investments in the EU, over the 2021-2027 period.</w:t>
      </w:r>
    </w:p>
    <w:p w:rsidR="00620F75" w:rsidRDefault="001F403D">
      <w:pPr>
        <w:rPr>
          <w:noProof/>
        </w:rPr>
      </w:pPr>
      <w:r>
        <w:rPr>
          <w:noProof/>
        </w:rPr>
        <w:t>The Social Investment and Skills window will stimulate</w:t>
      </w:r>
      <w:r>
        <w:rPr>
          <w:noProof/>
        </w:rPr>
        <w:t xml:space="preserve"> access to finance in the areas of microfinance, social enterprises, social infrastructures, education and training and skills. More specifically on skills, InvestEU will support upskilling and re-skilling targeting all the key actors - employers, skills, </w:t>
      </w:r>
      <w:r>
        <w:rPr>
          <w:noProof/>
        </w:rPr>
        <w:t>education and training providers as well as individuals. The EUR 4 billion budgetary guarantee earmarked for this window is expected to mobilise EUR 50 billion in investments for projects supporting EU social and skills policy objectives.</w:t>
      </w:r>
    </w:p>
    <w:p w:rsidR="00620F75" w:rsidRDefault="001F403D">
      <w:pPr>
        <w:rPr>
          <w:noProof/>
        </w:rPr>
      </w:pPr>
      <w:r>
        <w:rPr>
          <w:noProof/>
        </w:rPr>
        <w:t>To ensure the rec</w:t>
      </w:r>
      <w:r>
        <w:rPr>
          <w:noProof/>
        </w:rPr>
        <w:t xml:space="preserve">overy is sustainable, even, inclusive and fair for all Member States, the European Commission is proposing to create a new recovery instrument, </w:t>
      </w:r>
      <w:r>
        <w:rPr>
          <w:b/>
          <w:noProof/>
        </w:rPr>
        <w:t>Next Generation EU</w:t>
      </w:r>
      <w:r>
        <w:rPr>
          <w:noProof/>
        </w:rPr>
        <w:t>, embedded within a powerful, modern and revamped long-term EU budget.</w:t>
      </w:r>
      <w:r>
        <w:rPr>
          <w:rFonts w:ascii="Times New Roman" w:eastAsia="Times New Roman" w:hAnsi="Times New Roman" w:cs="Times New Roman"/>
          <w:noProof/>
          <w:szCs w:val="24"/>
          <w:lang w:eastAsia="fr-BE"/>
        </w:rPr>
        <w:t xml:space="preserve"> </w:t>
      </w:r>
      <w:r>
        <w:rPr>
          <w:noProof/>
        </w:rPr>
        <w:t>The money raised for Ne</w:t>
      </w:r>
      <w:r>
        <w:rPr>
          <w:noProof/>
        </w:rPr>
        <w:t>xt Generation EU will be invested across</w:t>
      </w:r>
      <w:r>
        <w:rPr>
          <w:b/>
          <w:bCs/>
          <w:noProof/>
        </w:rPr>
        <w:t xml:space="preserve"> three pillars:</w:t>
      </w:r>
    </w:p>
    <w:p w:rsidR="00620F75" w:rsidRDefault="001F403D">
      <w:pPr>
        <w:rPr>
          <w:noProof/>
        </w:rPr>
      </w:pPr>
      <w:r>
        <w:rPr>
          <w:b/>
          <w:bCs/>
          <w:noProof/>
        </w:rPr>
        <w:t>1. Support to Member States with investments and reforms</w:t>
      </w:r>
      <w:r>
        <w:rPr>
          <w:noProof/>
        </w:rPr>
        <w:t>:</w:t>
      </w:r>
    </w:p>
    <w:p w:rsidR="00620F75" w:rsidRDefault="001F403D">
      <w:pPr>
        <w:numPr>
          <w:ilvl w:val="0"/>
          <w:numId w:val="55"/>
        </w:numPr>
        <w:rPr>
          <w:noProof/>
        </w:rPr>
      </w:pPr>
      <w:r>
        <w:rPr>
          <w:noProof/>
        </w:rPr>
        <w:t>A</w:t>
      </w:r>
      <w:r>
        <w:rPr>
          <w:rFonts w:ascii="Calibri" w:hAnsi="Calibri" w:cs="Calibri"/>
          <w:noProof/>
        </w:rPr>
        <w:t> </w:t>
      </w:r>
      <w:r>
        <w:rPr>
          <w:b/>
          <w:bCs/>
          <w:noProof/>
          <w:lang w:val="en-IE"/>
        </w:rPr>
        <w:t>new Recovery and Resilience Facility of €560 billion</w:t>
      </w:r>
      <w:r>
        <w:rPr>
          <w:noProof/>
          <w:lang w:val="en-IE"/>
        </w:rPr>
        <w:t xml:space="preserve"> will offer financial support for investments and reforms, including in relation to the green and digital transitions and the resilience of national economies, linking these to the EU priorities. This facility will be embedded in the European Semester. It </w:t>
      </w:r>
      <w:r>
        <w:rPr>
          <w:noProof/>
          <w:lang w:val="en-IE"/>
        </w:rPr>
        <w:t>will be equipped with a grant facility of up to €310 billion and will be able to make up to €250 billion available in loans. Support will be available to all Member States but concentrated on the most affected and where resilience needs are the greatest.</w:t>
      </w:r>
    </w:p>
    <w:p w:rsidR="00620F75" w:rsidRDefault="001F403D">
      <w:pPr>
        <w:numPr>
          <w:ilvl w:val="0"/>
          <w:numId w:val="55"/>
        </w:numPr>
        <w:rPr>
          <w:noProof/>
        </w:rPr>
      </w:pPr>
      <w:r>
        <w:rPr>
          <w:noProof/>
          <w:lang w:val="en-IE"/>
        </w:rPr>
        <w:lastRenderedPageBreak/>
        <w:t>A</w:t>
      </w:r>
      <w:r>
        <w:rPr>
          <w:rFonts w:ascii="Calibri" w:hAnsi="Calibri" w:cs="Calibri"/>
          <w:noProof/>
          <w:lang w:val="en-IE"/>
        </w:rPr>
        <w:t> </w:t>
      </w:r>
      <w:r>
        <w:rPr>
          <w:b/>
          <w:bCs/>
          <w:noProof/>
          <w:lang w:val="en-IE"/>
        </w:rPr>
        <w:t xml:space="preserve">€55 billion top-up of the current cohesion policy programmes </w:t>
      </w:r>
      <w:r>
        <w:rPr>
          <w:noProof/>
          <w:lang w:val="en-IE"/>
        </w:rPr>
        <w:t xml:space="preserve">between now and 2022 under the new </w:t>
      </w:r>
      <w:r>
        <w:rPr>
          <w:b/>
          <w:bCs/>
          <w:noProof/>
          <w:lang w:val="en-IE"/>
        </w:rPr>
        <w:t xml:space="preserve">REACT-EU initiative </w:t>
      </w:r>
      <w:r>
        <w:rPr>
          <w:noProof/>
          <w:lang w:val="en-IE"/>
        </w:rPr>
        <w:t>to be allocated based on the severity of the socio-economic impacts of the crisis, including the level of youth unemployment and the relati</w:t>
      </w:r>
      <w:r>
        <w:rPr>
          <w:noProof/>
          <w:lang w:val="en-IE"/>
        </w:rPr>
        <w:t>ve prosperity of Member States.</w:t>
      </w:r>
      <w:r>
        <w:rPr>
          <w:rFonts w:ascii="Calibri" w:hAnsi="Calibri" w:cs="Calibri"/>
          <w:noProof/>
          <w:lang w:val="en-IE"/>
        </w:rPr>
        <w:t> </w:t>
      </w:r>
    </w:p>
    <w:p w:rsidR="00620F75" w:rsidRDefault="001F403D">
      <w:pPr>
        <w:numPr>
          <w:ilvl w:val="0"/>
          <w:numId w:val="55"/>
        </w:numPr>
        <w:rPr>
          <w:noProof/>
        </w:rPr>
      </w:pPr>
      <w:r>
        <w:rPr>
          <w:noProof/>
          <w:lang w:val="en-IE"/>
        </w:rPr>
        <w:t xml:space="preserve">A proposal to strengthen the </w:t>
      </w:r>
      <w:r>
        <w:rPr>
          <w:b/>
          <w:bCs/>
          <w:noProof/>
          <w:lang w:val="en-IE"/>
        </w:rPr>
        <w:t>Just Transition Fund up to €40 billion</w:t>
      </w:r>
      <w:r>
        <w:rPr>
          <w:noProof/>
          <w:lang w:val="en-IE"/>
        </w:rPr>
        <w:t>, to assist Member States in accelerating the transition towards climate neutrality.</w:t>
      </w:r>
    </w:p>
    <w:p w:rsidR="00620F75" w:rsidRDefault="001F403D">
      <w:pPr>
        <w:numPr>
          <w:ilvl w:val="0"/>
          <w:numId w:val="55"/>
        </w:numPr>
        <w:rPr>
          <w:noProof/>
        </w:rPr>
      </w:pPr>
      <w:r>
        <w:rPr>
          <w:noProof/>
          <w:lang w:val="en-IE"/>
        </w:rPr>
        <w:t xml:space="preserve">A </w:t>
      </w:r>
      <w:r>
        <w:rPr>
          <w:b/>
          <w:bCs/>
          <w:noProof/>
          <w:lang w:val="en-IE"/>
        </w:rPr>
        <w:t xml:space="preserve">€15 billion </w:t>
      </w:r>
      <w:r>
        <w:rPr>
          <w:noProof/>
          <w:lang w:val="en-IE"/>
        </w:rPr>
        <w:t xml:space="preserve">reinforcement for the </w:t>
      </w:r>
      <w:r>
        <w:rPr>
          <w:b/>
          <w:bCs/>
          <w:noProof/>
          <w:lang w:val="en-IE"/>
        </w:rPr>
        <w:t>European Agricultural Fund for Rura</w:t>
      </w:r>
      <w:r>
        <w:rPr>
          <w:b/>
          <w:bCs/>
          <w:noProof/>
          <w:lang w:val="en-IE"/>
        </w:rPr>
        <w:t xml:space="preserve">l Development </w:t>
      </w:r>
      <w:r>
        <w:rPr>
          <w:noProof/>
          <w:lang w:val="en-IE"/>
        </w:rPr>
        <w:t>to support rural areas in making the structural changes necessary in line with the European Green Deal and achieving the ambitious targets in line with the new biodiversity and Farm to Fork</w:t>
      </w:r>
      <w:r>
        <w:rPr>
          <w:rFonts w:ascii="Calibri" w:hAnsi="Calibri" w:cs="Calibri"/>
          <w:noProof/>
          <w:lang w:val="en-IE"/>
        </w:rPr>
        <w:t> </w:t>
      </w:r>
      <w:r>
        <w:rPr>
          <w:noProof/>
          <w:lang w:val="en-IE"/>
        </w:rPr>
        <w:t>strategies.</w:t>
      </w:r>
    </w:p>
    <w:p w:rsidR="00620F75" w:rsidRDefault="00620F75">
      <w:pPr>
        <w:rPr>
          <w:noProof/>
        </w:rPr>
      </w:pPr>
    </w:p>
    <w:p w:rsidR="00620F75" w:rsidRDefault="001F403D">
      <w:pPr>
        <w:pStyle w:val="Heading1"/>
        <w:rPr>
          <w:noProof/>
          <w:lang w:val="en-US"/>
        </w:rPr>
      </w:pPr>
      <w:bookmarkStart w:id="106" w:name="_Toc34039150"/>
      <w:bookmarkStart w:id="107" w:name="_Toc34040451"/>
      <w:bookmarkStart w:id="108" w:name="_Toc34041708"/>
      <w:bookmarkStart w:id="109" w:name="_Toc34042210"/>
      <w:bookmarkStart w:id="110" w:name="_Toc32997312"/>
      <w:bookmarkStart w:id="111" w:name="_Toc43376108"/>
      <w:r>
        <w:rPr>
          <w:noProof/>
          <w:lang w:val="en-US"/>
        </w:rPr>
        <w:t xml:space="preserve">Potential scenarios (policy options) </w:t>
      </w:r>
      <w:r>
        <w:rPr>
          <w:noProof/>
          <w:lang w:val="en-US"/>
        </w:rPr>
        <w:t>for developing further Union policy on VET</w:t>
      </w:r>
      <w:bookmarkEnd w:id="106"/>
      <w:bookmarkEnd w:id="107"/>
      <w:bookmarkEnd w:id="108"/>
      <w:bookmarkEnd w:id="109"/>
      <w:bookmarkEnd w:id="110"/>
      <w:bookmarkEnd w:id="111"/>
    </w:p>
    <w:p w:rsidR="00620F75" w:rsidRDefault="001F403D">
      <w:pPr>
        <w:pStyle w:val="Heading2"/>
        <w:rPr>
          <w:noProof/>
          <w:lang w:val="en-US"/>
        </w:rPr>
      </w:pPr>
      <w:bookmarkStart w:id="112" w:name="_Toc34039151"/>
      <w:bookmarkStart w:id="113" w:name="_Toc34040452"/>
      <w:bookmarkStart w:id="114" w:name="_Toc34041709"/>
      <w:bookmarkStart w:id="115" w:name="_Toc34042211"/>
      <w:bookmarkStart w:id="116" w:name="_Toc32997313"/>
      <w:bookmarkStart w:id="117" w:name="_Toc43376109"/>
      <w:r>
        <w:rPr>
          <w:noProof/>
          <w:lang w:val="en-US"/>
        </w:rPr>
        <w:t>Presentation of the potential scenarios</w:t>
      </w:r>
      <w:bookmarkEnd w:id="112"/>
      <w:bookmarkEnd w:id="113"/>
      <w:bookmarkEnd w:id="114"/>
      <w:bookmarkEnd w:id="115"/>
      <w:bookmarkEnd w:id="116"/>
      <w:bookmarkEnd w:id="117"/>
    </w:p>
    <w:p w:rsidR="00620F75" w:rsidRDefault="001F403D">
      <w:pPr>
        <w:rPr>
          <w:noProof/>
        </w:rPr>
      </w:pPr>
      <w:r>
        <w:rPr>
          <w:noProof/>
        </w:rPr>
        <w:t>As part of its priorities for action ‘Making VET a first choice’, the 2016 Skills Agenda proposed supporting VET modernisation by actions such as:</w:t>
      </w:r>
    </w:p>
    <w:p w:rsidR="00620F75" w:rsidRDefault="001F403D">
      <w:pPr>
        <w:pStyle w:val="ListParagraph"/>
        <w:numPr>
          <w:ilvl w:val="0"/>
          <w:numId w:val="10"/>
        </w:numPr>
        <w:rPr>
          <w:noProof/>
        </w:rPr>
      </w:pPr>
      <w:r>
        <w:rPr>
          <w:noProof/>
        </w:rPr>
        <w:t>supporting opportunities f</w:t>
      </w:r>
      <w:r>
        <w:rPr>
          <w:noProof/>
        </w:rPr>
        <w:t>or learners to undertake a work-based learning experience as part of their studies;</w:t>
      </w:r>
    </w:p>
    <w:p w:rsidR="00620F75" w:rsidRDefault="001F403D">
      <w:pPr>
        <w:pStyle w:val="ListParagraph"/>
        <w:numPr>
          <w:ilvl w:val="0"/>
          <w:numId w:val="10"/>
        </w:numPr>
        <w:rPr>
          <w:noProof/>
        </w:rPr>
      </w:pPr>
      <w:r>
        <w:rPr>
          <w:noProof/>
        </w:rPr>
        <w:t>supporting opportunities of students to combine learning experiences acquired in different settings;</w:t>
      </w:r>
    </w:p>
    <w:p w:rsidR="00620F75" w:rsidRDefault="001F403D">
      <w:pPr>
        <w:pStyle w:val="ListParagraph"/>
        <w:numPr>
          <w:ilvl w:val="0"/>
          <w:numId w:val="10"/>
        </w:numPr>
        <w:rPr>
          <w:noProof/>
        </w:rPr>
      </w:pPr>
      <w:r>
        <w:rPr>
          <w:noProof/>
        </w:rPr>
        <w:t xml:space="preserve">promoting higher VET through partnerships of VET stakeholders; </w:t>
      </w:r>
    </w:p>
    <w:p w:rsidR="00620F75" w:rsidRDefault="001F403D">
      <w:pPr>
        <w:pStyle w:val="ListParagraph"/>
        <w:numPr>
          <w:ilvl w:val="0"/>
          <w:numId w:val="10"/>
        </w:numPr>
        <w:rPr>
          <w:noProof/>
        </w:rPr>
      </w:pPr>
      <w:r>
        <w:rPr>
          <w:noProof/>
        </w:rPr>
        <w:t>improvi</w:t>
      </w:r>
      <w:r>
        <w:rPr>
          <w:noProof/>
        </w:rPr>
        <w:t>ng data availability on the labour market outcomes of VET;</w:t>
      </w:r>
    </w:p>
    <w:p w:rsidR="00620F75" w:rsidRDefault="001F403D">
      <w:pPr>
        <w:pStyle w:val="ListParagraph"/>
        <w:numPr>
          <w:ilvl w:val="0"/>
          <w:numId w:val="10"/>
        </w:numPr>
        <w:rPr>
          <w:noProof/>
        </w:rPr>
      </w:pPr>
      <w:r>
        <w:rPr>
          <w:noProof/>
        </w:rPr>
        <w:t>exploring ways to streamline the existing EU level governance of the VET sector, including a more explicit coordination role for the Advisory Committee on Vocational Training;</w:t>
      </w:r>
    </w:p>
    <w:p w:rsidR="00620F75" w:rsidRDefault="001F403D">
      <w:pPr>
        <w:pStyle w:val="ListParagraph"/>
        <w:numPr>
          <w:ilvl w:val="0"/>
          <w:numId w:val="10"/>
        </w:numPr>
        <w:rPr>
          <w:noProof/>
        </w:rPr>
      </w:pPr>
      <w:r>
        <w:rPr>
          <w:noProof/>
        </w:rPr>
        <w:t>and the revision of t</w:t>
      </w:r>
      <w:r>
        <w:rPr>
          <w:noProof/>
        </w:rPr>
        <w:t xml:space="preserve">he EQAVET and the ECVET. </w:t>
      </w:r>
    </w:p>
    <w:p w:rsidR="00620F75" w:rsidRDefault="001F403D">
      <w:pPr>
        <w:rPr>
          <w:noProof/>
        </w:rPr>
      </w:pPr>
      <w:r>
        <w:rPr>
          <w:noProof/>
        </w:rPr>
        <w:t>The present chapter includes in addition to the above also the outcomes of the EQAVET and ECVET review and presents the possible policy options to carry forward the topics addressed within the overall EU policy context. It is base</w:t>
      </w:r>
      <w:r>
        <w:rPr>
          <w:noProof/>
        </w:rPr>
        <w:t>d on the conclusions of the Study on EU VET Instruments (EQAVET and ECVET), extensive consultations with Member States, social partners and other stakeholders such as VET providers, intermediary bodies, learners' organisations, researchers and a consultati</w:t>
      </w:r>
      <w:r>
        <w:rPr>
          <w:noProof/>
        </w:rPr>
        <w:t xml:space="preserve">on of the EQAVET and ECVET Networks. The analysis is also complemented by the </w:t>
      </w:r>
      <w:r>
        <w:rPr>
          <w:i/>
          <w:noProof/>
        </w:rPr>
        <w:t>ACVT Opinion on the future of VET</w:t>
      </w:r>
      <w:r>
        <w:rPr>
          <w:noProof/>
        </w:rPr>
        <w:t xml:space="preserve"> and the outcomes of the follow-up discussions in the framework of the meetings of the ACVT and DGVT.</w:t>
      </w:r>
    </w:p>
    <w:p w:rsidR="00620F75" w:rsidRDefault="001F403D">
      <w:pPr>
        <w:rPr>
          <w:noProof/>
        </w:rPr>
      </w:pPr>
      <w:r>
        <w:rPr>
          <w:noProof/>
        </w:rPr>
        <w:t xml:space="preserve">The study on EU VET instruments identified </w:t>
      </w:r>
      <w:r>
        <w:rPr>
          <w:noProof/>
        </w:rPr>
        <w:t>six options for EQAVET (see box 4) and five options for ECVET (see box 5).</w:t>
      </w:r>
    </w:p>
    <w:p w:rsidR="00620F75" w:rsidRDefault="001F403D">
      <w:pPr>
        <w:rPr>
          <w:rFonts w:cstheme="minorHAnsi"/>
          <w:b/>
          <w:iCs/>
          <w:noProof/>
          <w:szCs w:val="24"/>
        </w:rPr>
      </w:pPr>
      <w:r>
        <w:rPr>
          <w:rFonts w:cstheme="minorHAnsi"/>
          <w:b/>
          <w:iCs/>
          <w:noProof/>
          <w:szCs w:val="24"/>
        </w:rPr>
        <w:t>Box 4 - The different options regarding EQAVET</w:t>
      </w:r>
    </w:p>
    <w:tbl>
      <w:tblPr>
        <w:tblStyle w:val="TableGrid"/>
        <w:tblW w:w="0" w:type="auto"/>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242"/>
      </w:tblGrid>
      <w:tr w:rsidR="00620F75">
        <w:tc>
          <w:tcPr>
            <w:tcW w:w="9242" w:type="dxa"/>
          </w:tcPr>
          <w:p w:rsidR="00620F75" w:rsidRDefault="001F403D">
            <w:pPr>
              <w:rPr>
                <w:b/>
                <w:bCs/>
                <w:noProof/>
                <w:color w:val="0B6192"/>
              </w:rPr>
            </w:pPr>
            <w:r>
              <w:rPr>
                <w:b/>
                <w:bCs/>
                <w:noProof/>
                <w:color w:val="0B6192"/>
              </w:rPr>
              <w:t>Option 1: Enhanced status quo</w:t>
            </w:r>
          </w:p>
          <w:p w:rsidR="00620F75" w:rsidRDefault="001F403D">
            <w:pPr>
              <w:rPr>
                <w:noProof/>
              </w:rPr>
            </w:pPr>
            <w:r>
              <w:rPr>
                <w:noProof/>
              </w:rPr>
              <w:t xml:space="preserve">Incorporating a set of core indicators utilised by all providers into a new EQAVET Recommendation, as well as the refinements introduced in EQAVET+. </w:t>
            </w:r>
          </w:p>
          <w:p w:rsidR="00620F75" w:rsidRDefault="001F403D">
            <w:pPr>
              <w:rPr>
                <w:b/>
                <w:bCs/>
                <w:noProof/>
                <w:color w:val="0B6192"/>
              </w:rPr>
            </w:pPr>
            <w:r>
              <w:rPr>
                <w:b/>
                <w:bCs/>
                <w:noProof/>
                <w:color w:val="0B6192"/>
              </w:rPr>
              <w:lastRenderedPageBreak/>
              <w:t>Option 2: Embedding the instrument into other existing EU policy instruments</w:t>
            </w:r>
          </w:p>
          <w:p w:rsidR="00620F75" w:rsidRDefault="001F403D">
            <w:pPr>
              <w:rPr>
                <w:noProof/>
              </w:rPr>
            </w:pPr>
            <w:r>
              <w:rPr>
                <w:noProof/>
              </w:rPr>
              <w:t>Implementing EQAVET alongside</w:t>
            </w:r>
            <w:r>
              <w:rPr>
                <w:noProof/>
              </w:rPr>
              <w:t xml:space="preserve"> the implementation of the EQF, with the legal basis of the instrument being Annex IV of the EQF recommendation. </w:t>
            </w:r>
          </w:p>
          <w:p w:rsidR="00620F75" w:rsidRDefault="001F403D">
            <w:pPr>
              <w:rPr>
                <w:b/>
                <w:bCs/>
                <w:noProof/>
                <w:color w:val="0B6192"/>
              </w:rPr>
            </w:pPr>
            <w:r>
              <w:rPr>
                <w:b/>
                <w:bCs/>
                <w:noProof/>
                <w:color w:val="0B6192"/>
              </w:rPr>
              <w:t>Option 3: Instruments become part of a broader policy strategy framework for VET</w:t>
            </w:r>
          </w:p>
          <w:p w:rsidR="00620F75" w:rsidRDefault="001F403D">
            <w:pPr>
              <w:rPr>
                <w:noProof/>
              </w:rPr>
            </w:pPr>
            <w:r>
              <w:rPr>
                <w:noProof/>
              </w:rPr>
              <w:t>Introducing of an overarching Recommendation that covers qual</w:t>
            </w:r>
            <w:r>
              <w:rPr>
                <w:noProof/>
              </w:rPr>
              <w:t xml:space="preserve">ity assurance, flexibility and recognition in VET. This would be governed by a single policy group. Sub-groups would be used to take forward priority actions for particular instruments and policy areas. A PLA programme will exist, which will be instigated </w:t>
            </w:r>
            <w:r>
              <w:rPr>
                <w:noProof/>
              </w:rPr>
              <w:t xml:space="preserve">by the single policy group. </w:t>
            </w:r>
          </w:p>
          <w:p w:rsidR="00620F75" w:rsidRDefault="001F403D">
            <w:pPr>
              <w:rPr>
                <w:b/>
                <w:bCs/>
                <w:noProof/>
                <w:color w:val="0B6192"/>
              </w:rPr>
            </w:pPr>
            <w:r>
              <w:rPr>
                <w:b/>
                <w:bCs/>
                <w:noProof/>
                <w:color w:val="0B6192"/>
              </w:rPr>
              <w:t>Option 4: Strengthening the Recommendation by implementing peer reviews of Member States' quality assurance arrangements in VET at system level</w:t>
            </w:r>
          </w:p>
          <w:p w:rsidR="00620F75" w:rsidRDefault="001F403D">
            <w:pPr>
              <w:rPr>
                <w:noProof/>
              </w:rPr>
            </w:pPr>
            <w:r>
              <w:rPr>
                <w:noProof/>
              </w:rPr>
              <w:t>Revising the Recommendation to incorporate a core set of descriptors and indicators</w:t>
            </w:r>
            <w:r>
              <w:rPr>
                <w:noProof/>
              </w:rPr>
              <w:t xml:space="preserve"> that can be used to carry out peer reviews. The governance structure would remain but include a remit to monitor the progress countries are making in developing their QA systems and to provide support. </w:t>
            </w:r>
          </w:p>
          <w:p w:rsidR="00620F75" w:rsidRDefault="001F403D">
            <w:pPr>
              <w:rPr>
                <w:b/>
                <w:bCs/>
                <w:noProof/>
                <w:color w:val="0B6192"/>
              </w:rPr>
            </w:pPr>
            <w:r>
              <w:rPr>
                <w:b/>
                <w:bCs/>
                <w:noProof/>
                <w:color w:val="0B6192"/>
              </w:rPr>
              <w:t>Option 5: Aligning HE and VET instruments, with an a</w:t>
            </w:r>
            <w:r>
              <w:rPr>
                <w:b/>
                <w:bCs/>
                <w:noProof/>
                <w:color w:val="0B6192"/>
              </w:rPr>
              <w:t>mbition of converging systems across HE and VET</w:t>
            </w:r>
          </w:p>
          <w:p w:rsidR="00620F75" w:rsidRDefault="001F403D">
            <w:pPr>
              <w:rPr>
                <w:noProof/>
              </w:rPr>
            </w:pPr>
            <w:r>
              <w:rPr>
                <w:noProof/>
              </w:rPr>
              <w:t xml:space="preserve">Creating of an overarching Recommendation for quality in education which provides high-level principles for QA that both systems adhere to, and sets out tools to do this (ESG in HE and EQAVET for VET). </w:t>
            </w:r>
          </w:p>
          <w:p w:rsidR="00620F75" w:rsidRDefault="001F403D">
            <w:pPr>
              <w:rPr>
                <w:b/>
                <w:bCs/>
                <w:noProof/>
                <w:color w:val="0B6192"/>
              </w:rPr>
            </w:pPr>
            <w:r>
              <w:rPr>
                <w:b/>
                <w:bCs/>
                <w:noProof/>
                <w:color w:val="0B6192"/>
              </w:rPr>
              <w:t>Optio</w:t>
            </w:r>
            <w:r>
              <w:rPr>
                <w:b/>
                <w:bCs/>
                <w:noProof/>
                <w:color w:val="0B6192"/>
              </w:rPr>
              <w:t>n 6: Introduction of a voluntary certification system for national QA systems</w:t>
            </w:r>
          </w:p>
          <w:p w:rsidR="00620F75" w:rsidRDefault="001F403D">
            <w:pPr>
              <w:rPr>
                <w:noProof/>
              </w:rPr>
            </w:pPr>
            <w:r>
              <w:rPr>
                <w:noProof/>
              </w:rPr>
              <w:t>Specifying explicit expectations for national quality systems and introduce a certification scheme where countries must ensure their VET QA systems achieve certain standards to b</w:t>
            </w:r>
            <w:r>
              <w:rPr>
                <w:noProof/>
              </w:rPr>
              <w:t>e certified. These could be graded so they progress towards a standard</w:t>
            </w:r>
            <w:r>
              <w:rPr>
                <w:b/>
                <w:bCs/>
                <w:noProof/>
              </w:rPr>
              <w:t xml:space="preserve">. </w:t>
            </w:r>
          </w:p>
        </w:tc>
      </w:tr>
    </w:tbl>
    <w:p w:rsidR="00620F75" w:rsidRDefault="001F403D">
      <w:pPr>
        <w:rPr>
          <w:rFonts w:cstheme="minorHAnsi"/>
          <w:noProof/>
          <w:sz w:val="22"/>
        </w:rPr>
      </w:pPr>
      <w:r>
        <w:rPr>
          <w:rFonts w:cstheme="minorHAnsi"/>
          <w:i/>
          <w:noProof/>
          <w:sz w:val="22"/>
        </w:rPr>
        <w:lastRenderedPageBreak/>
        <w:t>Source:</w:t>
      </w:r>
      <w:r>
        <w:rPr>
          <w:rFonts w:cstheme="minorHAnsi"/>
          <w:noProof/>
          <w:sz w:val="22"/>
        </w:rPr>
        <w:t xml:space="preserve"> Study on EU VET instruments</w:t>
      </w:r>
    </w:p>
    <w:p w:rsidR="00620F75" w:rsidRDefault="00620F75">
      <w:pPr>
        <w:rPr>
          <w:rFonts w:cstheme="minorHAnsi"/>
          <w:b/>
          <w:iCs/>
          <w:noProof/>
          <w:szCs w:val="24"/>
        </w:rPr>
      </w:pPr>
    </w:p>
    <w:p w:rsidR="00620F75" w:rsidRDefault="001F403D">
      <w:pPr>
        <w:rPr>
          <w:rFonts w:cstheme="minorHAnsi"/>
          <w:noProof/>
          <w:sz w:val="22"/>
        </w:rPr>
      </w:pPr>
      <w:r>
        <w:rPr>
          <w:rFonts w:cstheme="minorHAnsi"/>
          <w:b/>
          <w:iCs/>
          <w:noProof/>
          <w:szCs w:val="24"/>
        </w:rPr>
        <w:t>Box 5: The different options for ECVET</w:t>
      </w:r>
    </w:p>
    <w:tbl>
      <w:tblPr>
        <w:tblStyle w:val="TableGrid"/>
        <w:tblW w:w="0" w:type="auto"/>
        <w:tblBorders>
          <w:top w:val="single" w:sz="4" w:space="0" w:color="0B6192"/>
          <w:left w:val="single" w:sz="4" w:space="0" w:color="0B6192"/>
          <w:bottom w:val="single" w:sz="4" w:space="0" w:color="0B6192"/>
          <w:right w:val="single" w:sz="4" w:space="0" w:color="0B6192"/>
          <w:insideH w:val="single" w:sz="4" w:space="0" w:color="0B6192"/>
          <w:insideV w:val="single" w:sz="4" w:space="0" w:color="0B6192"/>
        </w:tblBorders>
        <w:tblLook w:val="04A0" w:firstRow="1" w:lastRow="0" w:firstColumn="1" w:lastColumn="0" w:noHBand="0" w:noVBand="1"/>
      </w:tblPr>
      <w:tblGrid>
        <w:gridCol w:w="9242"/>
      </w:tblGrid>
      <w:tr w:rsidR="00620F75">
        <w:tc>
          <w:tcPr>
            <w:tcW w:w="9242" w:type="dxa"/>
          </w:tcPr>
          <w:p w:rsidR="00620F75" w:rsidRDefault="001F403D">
            <w:pPr>
              <w:rPr>
                <w:b/>
                <w:bCs/>
                <w:noProof/>
                <w:color w:val="0B6192"/>
              </w:rPr>
            </w:pPr>
            <w:r>
              <w:rPr>
                <w:b/>
                <w:bCs/>
                <w:noProof/>
                <w:color w:val="0B6192"/>
              </w:rPr>
              <w:t>Option 1: Enhanced status quo</w:t>
            </w:r>
          </w:p>
          <w:p w:rsidR="00620F75" w:rsidRDefault="001F403D">
            <w:pPr>
              <w:rPr>
                <w:noProof/>
              </w:rPr>
            </w:pPr>
            <w:r>
              <w:rPr>
                <w:noProof/>
              </w:rPr>
              <w:t xml:space="preserve">The concept and definition of ECVET points which would be revised. It would be repositioned as a set ECVET principles rather than emphasising the ‘system’ aspect. </w:t>
            </w:r>
          </w:p>
          <w:p w:rsidR="00620F75" w:rsidRDefault="001F403D">
            <w:pPr>
              <w:rPr>
                <w:b/>
                <w:bCs/>
                <w:noProof/>
                <w:color w:val="0B6192"/>
              </w:rPr>
            </w:pPr>
            <w:r>
              <w:rPr>
                <w:b/>
                <w:bCs/>
                <w:noProof/>
                <w:color w:val="0B6192"/>
              </w:rPr>
              <w:t>Option 2: Embedding the functions of ECVET into other existing EU instruments and programmes</w:t>
            </w:r>
          </w:p>
          <w:p w:rsidR="00620F75" w:rsidRDefault="001F403D">
            <w:pPr>
              <w:rPr>
                <w:noProof/>
              </w:rPr>
            </w:pPr>
            <w:r>
              <w:rPr>
                <w:noProof/>
              </w:rPr>
              <w:t>The promotion of VET mobility and flexible learning pathways to continue, but developments on credits will be implemented as per the provisions in Annex V of the EQF recommendation while the ECVET Memorandum of Understanding and the Learning Agreement cou</w:t>
            </w:r>
            <w:r>
              <w:rPr>
                <w:noProof/>
              </w:rPr>
              <w:t>ld be integrated into Europass and the VET mobility charter could make it compulsory for Erasmus + beneficiaries of mobility actions to follow aspects of ECVET.</w:t>
            </w:r>
          </w:p>
          <w:p w:rsidR="00620F75" w:rsidRDefault="001F403D">
            <w:pPr>
              <w:rPr>
                <w:b/>
                <w:bCs/>
                <w:noProof/>
                <w:color w:val="0B6192"/>
              </w:rPr>
            </w:pPr>
            <w:r>
              <w:rPr>
                <w:b/>
                <w:bCs/>
                <w:noProof/>
                <w:color w:val="0B6192"/>
              </w:rPr>
              <w:t>Option 3: VET instruments become part of a broader European policy framework for VET</w:t>
            </w:r>
          </w:p>
          <w:p w:rsidR="00620F75" w:rsidRDefault="001F403D">
            <w:pPr>
              <w:rPr>
                <w:noProof/>
              </w:rPr>
            </w:pPr>
            <w:r>
              <w:rPr>
                <w:noProof/>
              </w:rPr>
              <w:lastRenderedPageBreak/>
              <w:t>Introducti</w:t>
            </w:r>
            <w:r>
              <w:rPr>
                <w:noProof/>
              </w:rPr>
              <w:t>on of an overarching Recommendation that covers quality assurance, flexibility and recognition in VET. This would be governed by a single policy group. Sub-groups would be used to take forward priority actions for particular instruments and policy areas. A</w:t>
            </w:r>
            <w:r>
              <w:rPr>
                <w:noProof/>
              </w:rPr>
              <w:t xml:space="preserve"> PLA programme will exist, which will be instigated by the single policy group. </w:t>
            </w:r>
          </w:p>
          <w:p w:rsidR="00620F75" w:rsidRDefault="001F403D">
            <w:pPr>
              <w:rPr>
                <w:b/>
                <w:bCs/>
                <w:noProof/>
                <w:color w:val="0B6192"/>
              </w:rPr>
            </w:pPr>
            <w:r>
              <w:rPr>
                <w:b/>
                <w:bCs/>
                <w:noProof/>
                <w:color w:val="0B6192"/>
              </w:rPr>
              <w:t>Option 4: VET and HE instruments are more aligned to each other, with an ambition of more convergence between HE and VET</w:t>
            </w:r>
          </w:p>
          <w:p w:rsidR="00620F75" w:rsidRDefault="001F403D">
            <w:pPr>
              <w:rPr>
                <w:noProof/>
              </w:rPr>
            </w:pPr>
            <w:r>
              <w:rPr>
                <w:noProof/>
              </w:rPr>
              <w:t>Introduction of a recommendation incorporating aspects</w:t>
            </w:r>
            <w:r>
              <w:rPr>
                <w:noProof/>
              </w:rPr>
              <w:t xml:space="preserve"> of ECTS and ECVET (e.g. focus on learning outcomes, MoU, LA). Would also include a redefined concept of units of LO and credit points.</w:t>
            </w:r>
          </w:p>
          <w:p w:rsidR="00620F75" w:rsidRDefault="001F403D">
            <w:pPr>
              <w:rPr>
                <w:b/>
                <w:bCs/>
                <w:noProof/>
                <w:color w:val="0B6192"/>
              </w:rPr>
            </w:pPr>
            <w:r>
              <w:rPr>
                <w:b/>
                <w:bCs/>
                <w:noProof/>
                <w:color w:val="0B6192"/>
              </w:rPr>
              <w:t>Option 5: European framework for transfer of learning achievements and flexible progression pathways</w:t>
            </w:r>
          </w:p>
          <w:p w:rsidR="00620F75" w:rsidRDefault="001F403D">
            <w:pPr>
              <w:rPr>
                <w:noProof/>
              </w:rPr>
            </w:pPr>
            <w:r>
              <w:rPr>
                <w:noProof/>
              </w:rPr>
              <w:t>Facilitating the tr</w:t>
            </w:r>
            <w:r>
              <w:rPr>
                <w:noProof/>
              </w:rPr>
              <w:t>ansfer, recognition and accumulation of assessed or validated LO between various contexts by proposing Member States recognise and document achievements and recognise them for access, admission and exemption. This would build on and expand the European Com</w:t>
            </w:r>
            <w:r>
              <w:rPr>
                <w:noProof/>
              </w:rPr>
              <w:t>mission Recommendations for VNFIL and the Promoting automatic mutual recognition of HE and upper secondary education diplomas and outcomes of learning gained abroad. To aid trust the framework would also specify syntax and language for writing learning out</w:t>
            </w:r>
            <w:r>
              <w:rPr>
                <w:noProof/>
              </w:rPr>
              <w:t xml:space="preserve">comes. </w:t>
            </w:r>
          </w:p>
        </w:tc>
      </w:tr>
    </w:tbl>
    <w:p w:rsidR="00620F75" w:rsidRDefault="001F403D">
      <w:pPr>
        <w:rPr>
          <w:rFonts w:cstheme="minorHAnsi"/>
          <w:noProof/>
          <w:sz w:val="22"/>
        </w:rPr>
      </w:pPr>
      <w:r>
        <w:rPr>
          <w:rFonts w:cstheme="minorHAnsi"/>
          <w:i/>
          <w:noProof/>
          <w:sz w:val="22"/>
        </w:rPr>
        <w:lastRenderedPageBreak/>
        <w:t>Source:</w:t>
      </w:r>
      <w:r>
        <w:rPr>
          <w:rFonts w:cstheme="minorHAnsi"/>
          <w:noProof/>
          <w:sz w:val="22"/>
        </w:rPr>
        <w:t xml:space="preserve"> Study on EU VET instruments</w:t>
      </w:r>
    </w:p>
    <w:p w:rsidR="00620F75" w:rsidRDefault="001F403D">
      <w:pPr>
        <w:rPr>
          <w:noProof/>
        </w:rPr>
      </w:pPr>
      <w:r>
        <w:rPr>
          <w:noProof/>
        </w:rPr>
        <w:t>The future of the ECVET and EQAVET was also discussed in the ACVT. The 2018 ACVT Opinion on the future of VET invited the Commission to</w:t>
      </w:r>
      <w:r>
        <w:rPr>
          <w:i/>
          <w:noProof/>
        </w:rPr>
        <w:t xml:space="preserve"> “organise a reflection with experts from the ACVT as regards the potential </w:t>
      </w:r>
      <w:r>
        <w:rPr>
          <w:i/>
          <w:noProof/>
        </w:rPr>
        <w:t>for streamlining existing VET instruments and accelerate the ongoing discussions in order to come up with timely proposals. These discussions should also be carried out in close cooperation with the EQF and Europass Advisory Groups. These should be develop</w:t>
      </w:r>
      <w:r>
        <w:rPr>
          <w:i/>
          <w:noProof/>
        </w:rPr>
        <w:t xml:space="preserve">ed taking into account existing evaluations, studies and stakeholder’s views in relation to the different instruments and the interaction between them and an overarching analysis of these”. </w:t>
      </w:r>
      <w:r>
        <w:rPr>
          <w:noProof/>
        </w:rPr>
        <w:t>In addition, the Opinion also invites the Commission to come up wi</w:t>
      </w:r>
      <w:r>
        <w:rPr>
          <w:noProof/>
        </w:rPr>
        <w:t>th a proposal</w:t>
      </w:r>
      <w:r>
        <w:rPr>
          <w:i/>
          <w:noProof/>
        </w:rPr>
        <w:t xml:space="preserve"> “to simplify the VET governance at EU level notably through increased effectiveness and efficiency of structures supporting the implementation of EU instruments in the field of VET.”</w:t>
      </w:r>
    </w:p>
    <w:p w:rsidR="00620F75" w:rsidRDefault="001F403D">
      <w:pPr>
        <w:rPr>
          <w:noProof/>
        </w:rPr>
      </w:pPr>
      <w:r>
        <w:rPr>
          <w:noProof/>
        </w:rPr>
        <w:t xml:space="preserve">To this end, an ad-hoc ACVT Working Group on existing </w:t>
      </w:r>
      <w:r>
        <w:rPr>
          <w:noProof/>
        </w:rPr>
        <w:t>European VET instruments was established in 2019 in accordance with Article 8 of the Rules and Procedures of the ACVT. The Working Group discussed the added value of EU level VET tools. It concluded that the direct EU added value of the EU tools lies in th</w:t>
      </w:r>
      <w:r>
        <w:rPr>
          <w:noProof/>
        </w:rPr>
        <w:t>eir capacity to support transparency, portability of learning outcomes and qualifications, mobility and movement of learners and workers, building mutual trust among systems which is also prerequisite for recognition of vocational qualifications by impleme</w:t>
      </w:r>
      <w:r>
        <w:rPr>
          <w:noProof/>
        </w:rPr>
        <w:t>nting, using and referencing to the tools. The EU tools can also provide indirect added value by promoting “upward convergence” related to flexibility, quality and excellence in VET as well as overall effectiveness and efficiency in VET through cooperation</w:t>
      </w:r>
      <w:r>
        <w:rPr>
          <w:noProof/>
        </w:rPr>
        <w:t>, mutual learning and exchanges.</w:t>
      </w:r>
    </w:p>
    <w:p w:rsidR="00620F75" w:rsidRDefault="001F403D">
      <w:pPr>
        <w:rPr>
          <w:noProof/>
        </w:rPr>
      </w:pPr>
      <w:r>
        <w:rPr>
          <w:noProof/>
        </w:rPr>
        <w:t>To</w:t>
      </w:r>
      <w:r>
        <w:rPr>
          <w:b/>
          <w:i/>
          <w:noProof/>
        </w:rPr>
        <w:t xml:space="preserve"> </w:t>
      </w:r>
      <w:r>
        <w:rPr>
          <w:noProof/>
        </w:rPr>
        <w:t>explore the synergies between EQAVET/ECVET and other European tools and initiatives and to seek for the simplification and streamlining of EU level VET cooperation, the Working Group mapped and discussed the different as</w:t>
      </w:r>
      <w:r>
        <w:rPr>
          <w:noProof/>
        </w:rPr>
        <w:t xml:space="preserve">pects of the implementation framework of the tools such as the possible </w:t>
      </w:r>
      <w:r>
        <w:rPr>
          <w:bCs/>
          <w:noProof/>
        </w:rPr>
        <w:t xml:space="preserve">integration or alignment of their function and content </w:t>
      </w:r>
      <w:r>
        <w:rPr>
          <w:noProof/>
        </w:rPr>
        <w:t>to the policy objectives of other instruments/tools/initiatives</w:t>
      </w:r>
      <w:r>
        <w:rPr>
          <w:rFonts w:cstheme="minorHAnsi"/>
          <w:noProof/>
          <w:szCs w:val="24"/>
        </w:rPr>
        <w:t xml:space="preserve"> applied</w:t>
      </w:r>
      <w:r>
        <w:rPr>
          <w:noProof/>
        </w:rPr>
        <w:t xml:space="preserve"> in the field of VET, skills and </w:t>
      </w:r>
      <w:r>
        <w:rPr>
          <w:noProof/>
        </w:rPr>
        <w:lastRenderedPageBreak/>
        <w:t>qualification</w:t>
      </w:r>
      <w:r>
        <w:rPr>
          <w:bCs/>
          <w:noProof/>
        </w:rPr>
        <w:t>, the possib</w:t>
      </w:r>
      <w:r>
        <w:rPr>
          <w:bCs/>
          <w:noProof/>
        </w:rPr>
        <w:t xml:space="preserve">le legislative implications, the </w:t>
      </w:r>
      <w:r>
        <w:rPr>
          <w:noProof/>
        </w:rPr>
        <w:t xml:space="preserve">potential structures for governance responding to the needs of “increased effectiveness and efficiency”, working methods at EU and Member State level and the available funding. </w:t>
      </w:r>
    </w:p>
    <w:p w:rsidR="00620F75" w:rsidRDefault="001F403D">
      <w:pPr>
        <w:rPr>
          <w:noProof/>
          <w:lang w:eastAsia="en-GB"/>
        </w:rPr>
      </w:pPr>
      <w:r>
        <w:rPr>
          <w:noProof/>
          <w:lang w:eastAsia="en-GB"/>
        </w:rPr>
        <w:t xml:space="preserve">The </w:t>
      </w:r>
      <w:r>
        <w:rPr>
          <w:rFonts w:cstheme="minorHAnsi"/>
          <w:noProof/>
          <w:szCs w:val="24"/>
          <w:lang w:eastAsia="en-GB"/>
        </w:rPr>
        <w:t>ACVT Working Group</w:t>
      </w:r>
      <w:r>
        <w:rPr>
          <w:noProof/>
          <w:lang w:eastAsia="en-GB"/>
        </w:rPr>
        <w:t xml:space="preserve"> indicated that the ECV</w:t>
      </w:r>
      <w:r>
        <w:rPr>
          <w:noProof/>
          <w:lang w:eastAsia="en-GB"/>
        </w:rPr>
        <w:t>ET objectives related to flexibility and learning outcomes approach in VET are still valid and should be pursued further, but this could also be done through other EU tools and instruments. The</w:t>
      </w:r>
      <w:r>
        <w:rPr>
          <w:rFonts w:cstheme="minorHAnsi"/>
          <w:noProof/>
          <w:szCs w:val="24"/>
          <w:lang w:eastAsia="en-GB"/>
        </w:rPr>
        <w:t>se</w:t>
      </w:r>
      <w:r>
        <w:rPr>
          <w:noProof/>
          <w:lang w:eastAsia="en-GB"/>
        </w:rPr>
        <w:t xml:space="preserve"> objectives should continue to be at the core of the VET poli</w:t>
      </w:r>
      <w:r>
        <w:rPr>
          <w:noProof/>
          <w:lang w:eastAsia="en-GB"/>
        </w:rPr>
        <w:t xml:space="preserve">cy framework </w:t>
      </w:r>
      <w:r>
        <w:rPr>
          <w:rFonts w:cstheme="minorHAnsi"/>
          <w:noProof/>
          <w:szCs w:val="24"/>
          <w:lang w:eastAsia="en-GB"/>
        </w:rPr>
        <w:t xml:space="preserve">– </w:t>
      </w:r>
      <w:r>
        <w:rPr>
          <w:noProof/>
          <w:lang w:eastAsia="en-GB"/>
        </w:rPr>
        <w:t>as called also under the ACVT Opinion on the future of VET</w:t>
      </w:r>
      <w:r>
        <w:rPr>
          <w:rFonts w:cstheme="minorHAnsi"/>
          <w:noProof/>
          <w:szCs w:val="24"/>
          <w:lang w:eastAsia="en-GB"/>
        </w:rPr>
        <w:t xml:space="preserve"> - and</w:t>
      </w:r>
      <w:r>
        <w:rPr>
          <w:noProof/>
        </w:rPr>
        <w:t xml:space="preserve"> could be further developed under a new overarching VET Recommendation.</w:t>
      </w:r>
      <w:r>
        <w:rPr>
          <w:noProof/>
          <w:lang w:eastAsia="en-GB"/>
        </w:rPr>
        <w:t xml:space="preserve"> There is no need for a specific instrument focusing only on VET –</w:t>
      </w:r>
      <w:r>
        <w:rPr>
          <w:noProof/>
        </w:rPr>
        <w:t xml:space="preserve"> the implementation arrangements related</w:t>
      </w:r>
      <w:r>
        <w:rPr>
          <w:noProof/>
        </w:rPr>
        <w:t xml:space="preserve"> to EQF and Validation Recommendation can support the work on these objectives. However, there is a need to continue specific support actions in the field of VET, including for implementing the principles of groups/units/modules of learning outcomes and ac</w:t>
      </w:r>
      <w:r>
        <w:rPr>
          <w:noProof/>
        </w:rPr>
        <w:t>cumulation and transfer of learning outcomes. Greater involvement of social partners has to be ensured in the future governance structures both at national and at European level. Working methods to support national level implementation need to be defined w</w:t>
      </w:r>
      <w:r>
        <w:rPr>
          <w:noProof/>
        </w:rPr>
        <w:t xml:space="preserve">ith a view to support streamlining and consolidating on governance level and links could possibly be created also with the implementation of the objectives pursued through EQAVET. </w:t>
      </w:r>
      <w:r>
        <w:rPr>
          <w:rFonts w:cstheme="minorHAnsi"/>
          <w:noProof/>
          <w:szCs w:val="24"/>
        </w:rPr>
        <w:t xml:space="preserve">Finally, the ACVT Working Group confirmed that </w:t>
      </w:r>
      <w:r>
        <w:rPr>
          <w:noProof/>
        </w:rPr>
        <w:t>EU level support and the stre</w:t>
      </w:r>
      <w:r>
        <w:rPr>
          <w:noProof/>
        </w:rPr>
        <w:t>ngthening of mutual learning activities are important for supporting Member States’ efforts to increase flexibility in VET.</w:t>
      </w:r>
      <w:r>
        <w:rPr>
          <w:noProof/>
          <w:lang w:eastAsia="en-GB"/>
        </w:rPr>
        <w:t xml:space="preserve"> </w:t>
      </w:r>
    </w:p>
    <w:p w:rsidR="00620F75" w:rsidRDefault="001F403D">
      <w:pPr>
        <w:rPr>
          <w:noProof/>
        </w:rPr>
      </w:pPr>
      <w:r>
        <w:rPr>
          <w:noProof/>
        </w:rPr>
        <w:t>On the further development of EQAVET, the ACVT Working Group discussed two options both of which represent continuity and gradual i</w:t>
      </w:r>
      <w:r>
        <w:rPr>
          <w:noProof/>
        </w:rPr>
        <w:t>mprovement of the tool, the second with a more pronounced European dimension by introducing a peer review process. From the point of view of possible EU initiatives, the implication in both cases could include the revision of the 2009 Recommendation or its</w:t>
      </w:r>
      <w:r>
        <w:rPr>
          <w:noProof/>
        </w:rPr>
        <w:t xml:space="preserve"> integration into a new overarching VET Recommendation. Regarding the content, the Working Group considered the revision of the 2009 Recommendation by giving more emphasis to work-based learning, continuous VET and validation, revising the descriptors and </w:t>
      </w:r>
      <w:r>
        <w:rPr>
          <w:noProof/>
        </w:rPr>
        <w:t>indicators according to EQAVET+ and ensuring a strengthened focus on provider level. Cooperation on the implementation EQAVET could continue receiving targeted support under a rolling work-plan in the future. Nurturing the culture of quality assurance in V</w:t>
      </w:r>
      <w:r>
        <w:rPr>
          <w:noProof/>
        </w:rPr>
        <w:t xml:space="preserve">ET by continuing mutual learning activities at various levels (systems, providers) in the future </w:t>
      </w:r>
      <w:r>
        <w:rPr>
          <w:rFonts w:cstheme="minorHAnsi"/>
          <w:noProof/>
          <w:szCs w:val="24"/>
        </w:rPr>
        <w:t>was welcome by all</w:t>
      </w:r>
      <w:r>
        <w:rPr>
          <w:noProof/>
        </w:rPr>
        <w:t>. Some participants were in favour of the option covering a more ambitious and structured, but still voluntary approach to increase transpare</w:t>
      </w:r>
      <w:r>
        <w:rPr>
          <w:noProof/>
        </w:rPr>
        <w:t>ncy in QA through collaborative peer reviews at VET system level. This could build on the new political momentum given to the importance of mutual trust and recognition of qualifications and diplomas as pursued through the European Education Area. The Euro</w:t>
      </w:r>
      <w:r>
        <w:rPr>
          <w:noProof/>
        </w:rPr>
        <w:t>pass Advisory Group and EQG Advisory Group were also consulted on the options.</w:t>
      </w:r>
    </w:p>
    <w:p w:rsidR="00620F75" w:rsidRDefault="001F403D">
      <w:pPr>
        <w:rPr>
          <w:b/>
          <w:noProof/>
          <w:lang w:eastAsia="en-GB"/>
        </w:rPr>
      </w:pPr>
      <w:r>
        <w:rPr>
          <w:noProof/>
        </w:rPr>
        <w:t>Based on the feedback, discussions continued in the ACVT. On ECVET there was a general agreement to the proposed way forward on the flexibility and lifelong learning objectives to be integrated in the overarching Council Recommendation on VET. Views on mob</w:t>
      </w:r>
      <w:r>
        <w:rPr>
          <w:noProof/>
        </w:rPr>
        <w:t>ility were mixed: some preferred building on the results of ECVET in the future as a self-standing VET mobility tool while others were in favour of its full absorption within other instruments, such as Europass, while some reservations about feasibility an</w:t>
      </w:r>
      <w:r>
        <w:rPr>
          <w:noProof/>
        </w:rPr>
        <w:t>d timing were voiced. Concerning EQAVET, most countries were in favour of the extension of successful European level activities which have taken places since the adoption of EQAVET Recommendation in 2009 and which have helped the majority of countries to d</w:t>
      </w:r>
      <w:r>
        <w:rPr>
          <w:noProof/>
        </w:rPr>
        <w:t xml:space="preserve">efine, review and refine their QA systems. The discussion focused on the format and working methods of this reinforced </w:t>
      </w:r>
      <w:r>
        <w:rPr>
          <w:noProof/>
        </w:rPr>
        <w:lastRenderedPageBreak/>
        <w:t>European dimension and on the compatibility of a peer review process with the current toolbox approach of EQAVET.  Adequate funding is cr</w:t>
      </w:r>
      <w:r>
        <w:rPr>
          <w:noProof/>
        </w:rPr>
        <w:t xml:space="preserve">ucial for good implementation of the instruments. </w:t>
      </w:r>
    </w:p>
    <w:p w:rsidR="00620F75" w:rsidRDefault="001F403D">
      <w:pPr>
        <w:rPr>
          <w:noProof/>
        </w:rPr>
      </w:pPr>
      <w:r>
        <w:rPr>
          <w:noProof/>
        </w:rPr>
        <w:t>Based on all the above mentioned input, 3 options can be formulated:</w:t>
      </w:r>
    </w:p>
    <w:p w:rsidR="00620F75" w:rsidRDefault="001F403D">
      <w:pPr>
        <w:pStyle w:val="ListParagraph"/>
        <w:numPr>
          <w:ilvl w:val="0"/>
          <w:numId w:val="11"/>
        </w:numPr>
        <w:rPr>
          <w:noProof/>
        </w:rPr>
      </w:pPr>
      <w:r>
        <w:rPr>
          <w:b/>
          <w:noProof/>
          <w:color w:val="0B6192"/>
        </w:rPr>
        <w:t xml:space="preserve">Continuing the status quo with 2 separate Recommendations on ECVET and EQAVET </w:t>
      </w:r>
      <w:r>
        <w:rPr>
          <w:noProof/>
        </w:rPr>
        <w:t>– continue the work on quality assurance and flexibility i</w:t>
      </w:r>
      <w:r>
        <w:rPr>
          <w:noProof/>
        </w:rPr>
        <w:t>n VET based on the existing Recommendations while setting specific policy objectives through instruments such as declarations of EU Ministers in charge of VET (as for example defined in the Riga priorities adopted in 2015).</w:t>
      </w:r>
    </w:p>
    <w:p w:rsidR="00620F75" w:rsidRDefault="001F403D">
      <w:pPr>
        <w:pStyle w:val="ListParagraph"/>
        <w:numPr>
          <w:ilvl w:val="0"/>
          <w:numId w:val="11"/>
        </w:numPr>
        <w:rPr>
          <w:noProof/>
        </w:rPr>
      </w:pPr>
      <w:r>
        <w:rPr>
          <w:b/>
          <w:noProof/>
          <w:color w:val="0B6192"/>
        </w:rPr>
        <w:t>Revising the ECVET and EQAVET Re</w:t>
      </w:r>
      <w:r>
        <w:rPr>
          <w:b/>
          <w:noProof/>
          <w:color w:val="0B6192"/>
        </w:rPr>
        <w:t>commendation and adopting a new VET Recommendation</w:t>
      </w:r>
      <w:r>
        <w:rPr>
          <w:b/>
          <w:noProof/>
        </w:rPr>
        <w:t xml:space="preserve"> </w:t>
      </w:r>
      <w:r>
        <w:rPr>
          <w:noProof/>
        </w:rPr>
        <w:t>–</w:t>
      </w:r>
      <w:r>
        <w:rPr>
          <w:b/>
          <w:noProof/>
        </w:rPr>
        <w:t xml:space="preserve"> </w:t>
      </w:r>
      <w:r>
        <w:rPr>
          <w:noProof/>
        </w:rPr>
        <w:t>the work on quality assurance and flexibility is continued on the basis of a revised ECVET and EQAVET Recommendation while a new VET Recommendation lays down the policy priorities for VET systems and coo</w:t>
      </w:r>
      <w:r>
        <w:rPr>
          <w:noProof/>
        </w:rPr>
        <w:t>peration at EU level.</w:t>
      </w:r>
    </w:p>
    <w:p w:rsidR="00620F75" w:rsidRDefault="001F403D">
      <w:pPr>
        <w:pStyle w:val="ListParagraph"/>
        <w:numPr>
          <w:ilvl w:val="0"/>
          <w:numId w:val="11"/>
        </w:numPr>
        <w:rPr>
          <w:noProof/>
        </w:rPr>
      </w:pPr>
      <w:r>
        <w:rPr>
          <w:b/>
          <w:noProof/>
          <w:color w:val="0B6192"/>
        </w:rPr>
        <w:t xml:space="preserve">Repealing the ECVET and EQAVET Recommendations and integrating their (updated) content into a broader VET Recommendation </w:t>
      </w:r>
      <w:r>
        <w:rPr>
          <w:noProof/>
        </w:rPr>
        <w:t>–</w:t>
      </w:r>
      <w:r>
        <w:rPr>
          <w:b/>
          <w:noProof/>
        </w:rPr>
        <w:t xml:space="preserve"> </w:t>
      </w:r>
      <w:r>
        <w:rPr>
          <w:noProof/>
        </w:rPr>
        <w:t>the key (updated) elements of ECVET and EQAVET Recommendation are integrated in an overarching VET Recommendati</w:t>
      </w:r>
      <w:r>
        <w:rPr>
          <w:noProof/>
        </w:rPr>
        <w:t>on laying down the policy priorities for VET systems and cooperation at EU level.</w:t>
      </w:r>
    </w:p>
    <w:p w:rsidR="00620F75" w:rsidRDefault="001F403D">
      <w:pPr>
        <w:pStyle w:val="Heading2"/>
        <w:rPr>
          <w:noProof/>
          <w:lang w:val="en-US"/>
        </w:rPr>
      </w:pPr>
      <w:bookmarkStart w:id="118" w:name="_Toc34039152"/>
      <w:bookmarkStart w:id="119" w:name="_Toc34040453"/>
      <w:bookmarkStart w:id="120" w:name="_Toc34041710"/>
      <w:bookmarkStart w:id="121" w:name="_Toc34042212"/>
      <w:bookmarkStart w:id="122" w:name="_Toc32997314"/>
      <w:bookmarkStart w:id="123" w:name="_Toc43376110"/>
      <w:r>
        <w:rPr>
          <w:noProof/>
          <w:lang w:val="en-US"/>
        </w:rPr>
        <w:t>Assessment and conclusions of potential scenarios (policy options)</w:t>
      </w:r>
      <w:bookmarkEnd w:id="118"/>
      <w:bookmarkEnd w:id="119"/>
      <w:bookmarkEnd w:id="120"/>
      <w:bookmarkEnd w:id="121"/>
      <w:bookmarkEnd w:id="122"/>
      <w:bookmarkEnd w:id="123"/>
    </w:p>
    <w:p w:rsidR="00620F75" w:rsidRDefault="001F403D">
      <w:pPr>
        <w:rPr>
          <w:noProof/>
        </w:rPr>
      </w:pPr>
      <w:r>
        <w:rPr>
          <w:noProof/>
        </w:rPr>
        <w:t xml:space="preserve">The first option would ensure stability but does not take into account the need for revising the ECVET and </w:t>
      </w:r>
      <w:r>
        <w:rPr>
          <w:noProof/>
        </w:rPr>
        <w:t>EQAVET Recommendations. As mentioned in section 3.2.2, both Recommendations have generated a positive impact but are also characterised by weaknesses which should be addressed. Therefore, the continuation of the status quo is not the optimal option.</w:t>
      </w:r>
    </w:p>
    <w:p w:rsidR="00620F75" w:rsidRDefault="001F403D">
      <w:pPr>
        <w:rPr>
          <w:noProof/>
        </w:rPr>
      </w:pPr>
      <w:r>
        <w:rPr>
          <w:noProof/>
        </w:rPr>
        <w:t>Regard</w:t>
      </w:r>
      <w:r>
        <w:rPr>
          <w:noProof/>
        </w:rPr>
        <w:t xml:space="preserve">ing option 2, this would allow addressing the identified weaknesses by revising the both Recommendations. However, this option fails to streamline the policy instruments which is a clear request from the ACVT and maintains the fragmentation of the various </w:t>
      </w:r>
      <w:r>
        <w:rPr>
          <w:noProof/>
        </w:rPr>
        <w:t>VET instruments.</w:t>
      </w:r>
    </w:p>
    <w:p w:rsidR="00620F75" w:rsidRDefault="001F403D">
      <w:pPr>
        <w:rPr>
          <w:noProof/>
        </w:rPr>
      </w:pPr>
      <w:r>
        <w:rPr>
          <w:noProof/>
        </w:rPr>
        <w:t>Finally, option 3 would allow the update of the provisions of both Recommendations while ensuring that the policy instruments would be integrated in a single strategic instrument. This approach would respond to the establishment of a coher</w:t>
      </w:r>
      <w:r>
        <w:rPr>
          <w:noProof/>
        </w:rPr>
        <w:t>ent and overarching policy framework called by the ACVT opinion.</w:t>
      </w:r>
    </w:p>
    <w:p w:rsidR="00620F75" w:rsidRDefault="001F403D">
      <w:pPr>
        <w:rPr>
          <w:noProof/>
          <w:szCs w:val="24"/>
        </w:rPr>
      </w:pPr>
      <w:bookmarkStart w:id="124" w:name="_Toc34039153"/>
      <w:r>
        <w:rPr>
          <w:noProof/>
          <w:lang w:val="en-US"/>
        </w:rPr>
        <w:t xml:space="preserve">To sum up, </w:t>
      </w:r>
      <w:bookmarkEnd w:id="124"/>
      <w:r>
        <w:rPr>
          <w:noProof/>
          <w:szCs w:val="24"/>
        </w:rPr>
        <w:t xml:space="preserve">option 3 provides the most suitable basis for a strategic cooperation in the field of VET to contribute tacking </w:t>
      </w:r>
      <w:r>
        <w:rPr>
          <w:rFonts w:cs="Verdana"/>
          <w:noProof/>
          <w:szCs w:val="24"/>
        </w:rPr>
        <w:t xml:space="preserve">the multiple challenges Europe is facing: climate action, </w:t>
      </w:r>
      <w:r>
        <w:rPr>
          <w:rFonts w:cs="Verdana"/>
          <w:noProof/>
          <w:szCs w:val="24"/>
        </w:rPr>
        <w:t>digitalisation and demographic change.</w:t>
      </w:r>
      <w:r>
        <w:rPr>
          <w:noProof/>
          <w:szCs w:val="24"/>
        </w:rPr>
        <w:t xml:space="preserve"> This option provides greater clarity on the link between different the instruments compared to the 2 other options and results in a more holistic approach to implementing the EU VET policy. At the same time, option 3 </w:t>
      </w:r>
      <w:r>
        <w:rPr>
          <w:noProof/>
          <w:szCs w:val="24"/>
        </w:rPr>
        <w:t>allows to update the provisions of the ECVET and EQAVET Recommendations which would not be the case for option 1.  The next section 5 explains in detail the key elements of the proposal.</w:t>
      </w:r>
    </w:p>
    <w:p w:rsidR="00620F75" w:rsidRDefault="001F403D">
      <w:pPr>
        <w:pStyle w:val="Heading1"/>
        <w:rPr>
          <w:noProof/>
          <w:lang w:val="en-US"/>
        </w:rPr>
      </w:pPr>
      <w:bookmarkStart w:id="125" w:name="_Toc34039154"/>
      <w:bookmarkStart w:id="126" w:name="_Toc34040454"/>
      <w:bookmarkStart w:id="127" w:name="_Toc34041711"/>
      <w:bookmarkStart w:id="128" w:name="_Toc34042213"/>
      <w:bookmarkStart w:id="129" w:name="_Toc32997316"/>
      <w:bookmarkStart w:id="130" w:name="_Toc43376111"/>
      <w:r>
        <w:rPr>
          <w:noProof/>
          <w:lang w:val="en-US"/>
        </w:rPr>
        <w:lastRenderedPageBreak/>
        <w:t>Key elements of the Proposal</w:t>
      </w:r>
      <w:bookmarkEnd w:id="125"/>
      <w:bookmarkEnd w:id="126"/>
      <w:bookmarkEnd w:id="127"/>
      <w:bookmarkEnd w:id="128"/>
      <w:bookmarkEnd w:id="129"/>
      <w:bookmarkEnd w:id="130"/>
    </w:p>
    <w:p w:rsidR="00620F75" w:rsidRDefault="001F403D">
      <w:pPr>
        <w:pStyle w:val="Heading2"/>
        <w:rPr>
          <w:noProof/>
          <w:lang w:val="en-US"/>
        </w:rPr>
      </w:pPr>
      <w:bookmarkStart w:id="131" w:name="_Toc34039155"/>
      <w:bookmarkStart w:id="132" w:name="_Toc34040455"/>
      <w:bookmarkStart w:id="133" w:name="_Toc34041712"/>
      <w:bookmarkStart w:id="134" w:name="_Toc34042214"/>
      <w:bookmarkStart w:id="135" w:name="_Toc32997317"/>
      <w:bookmarkStart w:id="136" w:name="_Toc43376112"/>
      <w:r>
        <w:rPr>
          <w:noProof/>
          <w:lang w:val="en-US"/>
        </w:rPr>
        <w:t>Preparatory work for the proposal – cons</w:t>
      </w:r>
      <w:r>
        <w:rPr>
          <w:noProof/>
          <w:lang w:val="en-US"/>
        </w:rPr>
        <w:t>ultations and evidence</w:t>
      </w:r>
      <w:bookmarkEnd w:id="131"/>
      <w:bookmarkEnd w:id="132"/>
      <w:bookmarkEnd w:id="133"/>
      <w:bookmarkEnd w:id="134"/>
      <w:bookmarkEnd w:id="135"/>
      <w:bookmarkEnd w:id="136"/>
    </w:p>
    <w:p w:rsidR="00620F75" w:rsidRDefault="001F403D">
      <w:pPr>
        <w:rPr>
          <w:noProof/>
          <w:lang w:eastAsia="en-GB"/>
        </w:rPr>
      </w:pPr>
      <w:r>
        <w:rPr>
          <w:noProof/>
          <w:lang w:eastAsia="en-GB"/>
        </w:rPr>
        <w:t>This Commission Proposal for a Council Recommendation on vocational education and training for sustainable competitiveness, social fairness and resilience is a result of an extensive preparatory work. It is based on a thorough and ta</w:t>
      </w:r>
      <w:r>
        <w:rPr>
          <w:noProof/>
          <w:lang w:eastAsia="en-GB"/>
        </w:rPr>
        <w:t>rgeted consultation launched in 2017 with a view to define the cornerstones of the future-fit vocational education and training in the context of emerging trends and challenges (digitalisation, automation, robotics, artificial intelligence, climate change,</w:t>
      </w:r>
      <w:r>
        <w:rPr>
          <w:noProof/>
          <w:lang w:eastAsia="en-GB"/>
        </w:rPr>
        <w:t xml:space="preserve"> globalisation, pressure on resources, new business models, new forms of work organisation, demographic developments, ageing, migration). </w:t>
      </w:r>
    </w:p>
    <w:p w:rsidR="00620F75" w:rsidRDefault="001F403D">
      <w:pPr>
        <w:rPr>
          <w:noProof/>
          <w:lang w:eastAsia="en-GB"/>
        </w:rPr>
      </w:pPr>
      <w:r>
        <w:rPr>
          <w:noProof/>
          <w:lang w:eastAsia="en-GB"/>
        </w:rPr>
        <w:t>The consultation was organised with all Member States and relevant stakeholders which have issued their official posi</w:t>
      </w:r>
      <w:r>
        <w:rPr>
          <w:noProof/>
          <w:lang w:eastAsia="en-GB"/>
        </w:rPr>
        <w:t xml:space="preserve">tion on the future VET policies - notably the Directors-General for Vocational Education and Training and the Advisory Committee on Vocational Training which adopted an </w:t>
      </w:r>
      <w:hyperlink r:id="rId35" w:history="1">
        <w:r>
          <w:rPr>
            <w:rStyle w:val="Hyperlink"/>
            <w:noProof/>
            <w:lang w:eastAsia="en-GB"/>
          </w:rPr>
          <w:t>Opinion o</w:t>
        </w:r>
        <w:r>
          <w:rPr>
            <w:rStyle w:val="Hyperlink"/>
            <w:noProof/>
            <w:lang w:eastAsia="en-GB"/>
          </w:rPr>
          <w:t>n the future of Vocational Education and Training post 2020</w:t>
        </w:r>
      </w:hyperlink>
      <w:r>
        <w:rPr>
          <w:noProof/>
          <w:lang w:eastAsia="en-GB"/>
        </w:rPr>
        <w:t>, European Social Partners (with their position papers: ETUC, SME United and BusinessEurope) as well as European VET providers associations.</w:t>
      </w:r>
    </w:p>
    <w:p w:rsidR="00620F75" w:rsidRDefault="001F403D">
      <w:pPr>
        <w:spacing w:after="120"/>
        <w:rPr>
          <w:rFonts w:cs="Times New Roman"/>
          <w:noProof/>
        </w:rPr>
      </w:pPr>
      <w:hyperlink r:id="rId36" w:history="1">
        <w:r>
          <w:rPr>
            <w:rFonts w:cs="Times New Roman"/>
            <w:noProof/>
            <w:color w:val="0000FF"/>
            <w:u w:val="single"/>
          </w:rPr>
          <w:t>A survey on the challenges and impact of the COVID-19 pandemic on vocational education and training</w:t>
        </w:r>
      </w:hyperlink>
      <w:r>
        <w:rPr>
          <w:rFonts w:cs="Times New Roman"/>
          <w:noProof/>
        </w:rPr>
        <w:t xml:space="preserve"> undertaken by the Commission in March-May 2020 with the following findings: </w:t>
      </w:r>
    </w:p>
    <w:p w:rsidR="00620F75" w:rsidRDefault="001F403D">
      <w:pPr>
        <w:numPr>
          <w:ilvl w:val="0"/>
          <w:numId w:val="56"/>
        </w:numPr>
        <w:spacing w:after="120"/>
        <w:contextualSpacing/>
        <w:rPr>
          <w:rFonts w:cs="Times New Roman"/>
          <w:noProof/>
        </w:rPr>
      </w:pPr>
      <w:r>
        <w:rPr>
          <w:rFonts w:cs="Times New Roman"/>
          <w:noProof/>
        </w:rPr>
        <w:t>Several tools are available for creating m</w:t>
      </w:r>
      <w:r>
        <w:rPr>
          <w:rFonts w:cs="Times New Roman"/>
          <w:noProof/>
        </w:rPr>
        <w:t xml:space="preserve">aterial for distance learning. However, in general VET online material is less developed, as far as the practical parts of training and work-based learning are concerned </w:t>
      </w:r>
    </w:p>
    <w:p w:rsidR="00620F75" w:rsidRDefault="001F403D">
      <w:pPr>
        <w:numPr>
          <w:ilvl w:val="0"/>
          <w:numId w:val="56"/>
        </w:numPr>
        <w:spacing w:after="120"/>
        <w:contextualSpacing/>
        <w:rPr>
          <w:rFonts w:cs="Times New Roman"/>
          <w:noProof/>
        </w:rPr>
      </w:pPr>
      <w:r>
        <w:rPr>
          <w:rFonts w:cs="Times New Roman"/>
          <w:noProof/>
        </w:rPr>
        <w:t>VET learners might be at disadvantage compared to learners from other educational tra</w:t>
      </w:r>
      <w:r>
        <w:rPr>
          <w:rFonts w:cs="Times New Roman"/>
          <w:noProof/>
        </w:rPr>
        <w:t>cks, as more efforts are put into general school subjects, and less into typical vocational content.</w:t>
      </w:r>
    </w:p>
    <w:p w:rsidR="00620F75" w:rsidRDefault="001F403D">
      <w:pPr>
        <w:numPr>
          <w:ilvl w:val="0"/>
          <w:numId w:val="56"/>
        </w:numPr>
        <w:spacing w:after="120"/>
        <w:contextualSpacing/>
        <w:rPr>
          <w:rFonts w:cs="Times New Roman"/>
          <w:noProof/>
        </w:rPr>
      </w:pPr>
      <w:r>
        <w:rPr>
          <w:rFonts w:cs="Times New Roman"/>
          <w:noProof/>
        </w:rPr>
        <w:t>There is substantial disruption to the apprenticeship ‘supply chain’. Apprentices have largely discontinued their company attendance in the sectors whose a</w:t>
      </w:r>
      <w:r>
        <w:rPr>
          <w:rFonts w:cs="Times New Roman"/>
          <w:noProof/>
        </w:rPr>
        <w:t>ctivities have been shut down (e.g. restauration, well-being, tourism, manufacturing). In some cases, discontinuation and termination of financial compensation, where applicable, increases the rate of drop-outs.</w:t>
      </w:r>
    </w:p>
    <w:p w:rsidR="00620F75" w:rsidRDefault="001F403D">
      <w:pPr>
        <w:numPr>
          <w:ilvl w:val="0"/>
          <w:numId w:val="56"/>
        </w:numPr>
        <w:spacing w:after="120"/>
        <w:contextualSpacing/>
        <w:rPr>
          <w:rFonts w:cs="Times New Roman"/>
          <w:noProof/>
        </w:rPr>
      </w:pPr>
      <w:r>
        <w:rPr>
          <w:rFonts w:cs="Times New Roman"/>
          <w:noProof/>
        </w:rPr>
        <w:t>Little capacity for employers to focus on tr</w:t>
      </w:r>
      <w:r>
        <w:rPr>
          <w:rFonts w:cs="Times New Roman"/>
          <w:noProof/>
        </w:rPr>
        <w:t>aining either for youngsters or for their employees over concerns for ensuring business continuity. However, some employers and training providers made best use of the confinement period to support the training of their employees and to accelerate deployme</w:t>
      </w:r>
      <w:r>
        <w:rPr>
          <w:rFonts w:cs="Times New Roman"/>
          <w:noProof/>
        </w:rPr>
        <w:t>nt of digital learning systems and content.</w:t>
      </w:r>
    </w:p>
    <w:p w:rsidR="00620F75" w:rsidRDefault="001F403D">
      <w:pPr>
        <w:numPr>
          <w:ilvl w:val="0"/>
          <w:numId w:val="56"/>
        </w:numPr>
        <w:spacing w:after="120"/>
        <w:contextualSpacing/>
        <w:rPr>
          <w:rFonts w:cs="Times New Roman"/>
          <w:noProof/>
        </w:rPr>
      </w:pPr>
      <w:r>
        <w:rPr>
          <w:rFonts w:cs="Times New Roman"/>
          <w:noProof/>
        </w:rPr>
        <w:t>While it is a significant challenge for teachers and trainers as well as learners to adapt swiftly to this dramatic change, many stakeholders have mobilised themselves to help (VET providers, local governments, p</w:t>
      </w:r>
      <w:r>
        <w:rPr>
          <w:rFonts w:cs="Times New Roman"/>
          <w:noProof/>
        </w:rPr>
        <w:t>ublishers, NGOs, companies, etc.)</w:t>
      </w:r>
    </w:p>
    <w:p w:rsidR="00620F75" w:rsidRDefault="001F403D">
      <w:pPr>
        <w:numPr>
          <w:ilvl w:val="0"/>
          <w:numId w:val="56"/>
        </w:numPr>
        <w:spacing w:after="120"/>
        <w:contextualSpacing/>
        <w:rPr>
          <w:rFonts w:cs="Times New Roman"/>
          <w:noProof/>
        </w:rPr>
      </w:pPr>
      <w:r>
        <w:rPr>
          <w:rFonts w:cs="Times New Roman"/>
          <w:noProof/>
        </w:rPr>
        <w:t>There is a strong call for a European online platform (which is safe, quality assured, multilingual, etc.) that would offer opportunities for networking and exchanging good practices and would provide digital solutions, al</w:t>
      </w:r>
      <w:r>
        <w:rPr>
          <w:rFonts w:cs="Times New Roman"/>
          <w:noProof/>
        </w:rPr>
        <w:t>so for work-based learning.</w:t>
      </w:r>
    </w:p>
    <w:p w:rsidR="00620F75" w:rsidRDefault="001F403D">
      <w:pPr>
        <w:spacing w:after="120"/>
        <w:rPr>
          <w:rFonts w:cs="Times New Roman"/>
          <w:noProof/>
        </w:rPr>
      </w:pPr>
      <w:r>
        <w:rPr>
          <w:rFonts w:cs="Times New Roman"/>
          <w:noProof/>
        </w:rPr>
        <w:t>A similar analysis carried out by CEDEFOP also points to some challenges for the VET sector: distance learning is piecemeal and its use very much depends on the schools’ and teachers’ e-skills and availability, and on the sector</w:t>
      </w:r>
      <w:r>
        <w:rPr>
          <w:rFonts w:cs="Times New Roman"/>
          <w:noProof/>
        </w:rPr>
        <w:t xml:space="preserve">s concerned. Its use ranges from mere </w:t>
      </w:r>
      <w:r>
        <w:rPr>
          <w:rFonts w:cs="Times New Roman"/>
          <w:noProof/>
        </w:rPr>
        <w:lastRenderedPageBreak/>
        <w:t>communication/keeping in touch with students, to access to resources (videos etc.), to actual teaching. The analysis also brought to light that apprentices continue their training and work, particularly in companies pr</w:t>
      </w:r>
      <w:r>
        <w:rPr>
          <w:rFonts w:cs="Times New Roman"/>
          <w:noProof/>
        </w:rPr>
        <w:t>oviding essential services such as healthcare and food, as long as health and safety measures are observed. By contrast, apprentices discontinued their company attendance in sectors whose activities have been shut down by regulation, such as, in most count</w:t>
      </w:r>
      <w:r>
        <w:rPr>
          <w:rFonts w:cs="Times New Roman"/>
          <w:noProof/>
        </w:rPr>
        <w:t>ries, hospitality, wellbeing, tourism. This also affected in particular women, as they are more represented in these sectors.</w:t>
      </w:r>
      <w:r>
        <w:rPr>
          <w:rFonts w:cs="Times New Roman"/>
          <w:noProof/>
          <w:vertAlign w:val="superscript"/>
        </w:rPr>
        <w:footnoteReference w:id="59"/>
      </w:r>
    </w:p>
    <w:p w:rsidR="00620F75" w:rsidRDefault="001F403D">
      <w:pPr>
        <w:rPr>
          <w:noProof/>
          <w:lang w:eastAsia="en-GB"/>
        </w:rPr>
      </w:pPr>
      <w:r>
        <w:rPr>
          <w:noProof/>
          <w:lang w:eastAsia="en-GB"/>
        </w:rPr>
        <w:t>In addition, following evidence was used to define the future VET policy:</w:t>
      </w:r>
    </w:p>
    <w:p w:rsidR="00620F75" w:rsidRDefault="001F403D">
      <w:pPr>
        <w:pStyle w:val="ListParagraph"/>
        <w:numPr>
          <w:ilvl w:val="0"/>
          <w:numId w:val="12"/>
        </w:numPr>
        <w:rPr>
          <w:noProof/>
          <w:lang w:eastAsia="en-GB"/>
        </w:rPr>
      </w:pPr>
      <w:r>
        <w:rPr>
          <w:noProof/>
          <w:lang w:eastAsia="en-GB"/>
        </w:rPr>
        <w:t xml:space="preserve">Cedefop project on </w:t>
      </w:r>
      <w:hyperlink r:id="rId37" w:history="1">
        <w:r>
          <w:rPr>
            <w:rStyle w:val="Hyperlink"/>
            <w:noProof/>
            <w:lang w:eastAsia="en-GB"/>
          </w:rPr>
          <w:t>“Changing nature and role of vocational education and training (VET) in Europe”</w:t>
        </w:r>
      </w:hyperlink>
      <w:r>
        <w:rPr>
          <w:noProof/>
          <w:lang w:eastAsia="en-GB"/>
        </w:rPr>
        <w:t xml:space="preserve"> (2016-2018) – see details below;</w:t>
      </w:r>
    </w:p>
    <w:p w:rsidR="00620F75" w:rsidRDefault="001F403D">
      <w:pPr>
        <w:pStyle w:val="ListParagraph"/>
        <w:numPr>
          <w:ilvl w:val="0"/>
          <w:numId w:val="12"/>
        </w:numPr>
        <w:rPr>
          <w:noProof/>
          <w:lang w:eastAsia="en-GB"/>
        </w:rPr>
      </w:pPr>
      <w:r>
        <w:rPr>
          <w:noProof/>
          <w:lang w:eastAsia="en-GB"/>
        </w:rPr>
        <w:t xml:space="preserve">a Commission Study on </w:t>
      </w:r>
      <w:hyperlink r:id="rId38" w:history="1">
        <w:r>
          <w:rPr>
            <w:rStyle w:val="Hyperlink"/>
            <w:noProof/>
            <w:lang w:eastAsia="en-GB"/>
          </w:rPr>
          <w:t>VET mobility in Europe</w:t>
        </w:r>
      </w:hyperlink>
      <w:r>
        <w:rPr>
          <w:noProof/>
          <w:lang w:eastAsia="en-GB"/>
        </w:rPr>
        <w:t xml:space="preserve"> (2019);</w:t>
      </w:r>
    </w:p>
    <w:p w:rsidR="00620F75" w:rsidRDefault="001F403D">
      <w:pPr>
        <w:pStyle w:val="ListParagraph"/>
        <w:numPr>
          <w:ilvl w:val="0"/>
          <w:numId w:val="12"/>
        </w:numPr>
        <w:rPr>
          <w:noProof/>
          <w:lang w:eastAsia="en-GB"/>
        </w:rPr>
      </w:pPr>
      <w:r>
        <w:rPr>
          <w:noProof/>
          <w:lang w:eastAsia="en-GB"/>
        </w:rPr>
        <w:t>CEDEFOP Opinion Survey on VET (2017) based on responses of a total of 35,646 citizens of the Member States;</w:t>
      </w:r>
    </w:p>
    <w:p w:rsidR="00620F75" w:rsidRDefault="001F403D">
      <w:pPr>
        <w:pStyle w:val="ListParagraph"/>
        <w:numPr>
          <w:ilvl w:val="0"/>
          <w:numId w:val="12"/>
        </w:numPr>
        <w:rPr>
          <w:noProof/>
          <w:lang w:eastAsia="en-GB"/>
        </w:rPr>
      </w:pPr>
      <w:r>
        <w:rPr>
          <w:noProof/>
          <w:lang w:eastAsia="en-GB"/>
        </w:rPr>
        <w:t xml:space="preserve">the proposal to repeal and </w:t>
      </w:r>
      <w:r>
        <w:rPr>
          <w:noProof/>
          <w:lang w:eastAsia="en-GB"/>
        </w:rPr>
        <w:t>integrate the two EU VET specific instruments ECVET and EQAVET is based on (for more details see chapter 5.2);</w:t>
      </w:r>
    </w:p>
    <w:p w:rsidR="00620F75" w:rsidRDefault="001F403D">
      <w:pPr>
        <w:pStyle w:val="ListParagraph"/>
        <w:numPr>
          <w:ilvl w:val="0"/>
          <w:numId w:val="12"/>
        </w:numPr>
        <w:rPr>
          <w:noProof/>
          <w:lang w:eastAsia="en-GB"/>
        </w:rPr>
      </w:pPr>
      <w:r>
        <w:rPr>
          <w:noProof/>
          <w:lang w:eastAsia="en-GB"/>
        </w:rPr>
        <w:t xml:space="preserve">a dedicated </w:t>
      </w:r>
      <w:hyperlink r:id="rId39" w:history="1">
        <w:r>
          <w:rPr>
            <w:rStyle w:val="Hyperlink"/>
            <w:noProof/>
            <w:lang w:eastAsia="en-GB"/>
          </w:rPr>
          <w:t>Study on EU</w:t>
        </w:r>
        <w:r>
          <w:rPr>
            <w:rStyle w:val="Hyperlink"/>
            <w:noProof/>
            <w:lang w:eastAsia="en-GB"/>
          </w:rPr>
          <w:t xml:space="preserve"> VET instruments</w:t>
        </w:r>
      </w:hyperlink>
      <w:r>
        <w:rPr>
          <w:noProof/>
          <w:lang w:eastAsia="en-GB"/>
        </w:rPr>
        <w:t xml:space="preserve"> (EQAVET and ECVET) (2019, taking into account previous evaluation studies);</w:t>
      </w:r>
    </w:p>
    <w:p w:rsidR="00620F75" w:rsidRDefault="001F403D">
      <w:pPr>
        <w:pStyle w:val="ListParagraph"/>
        <w:numPr>
          <w:ilvl w:val="0"/>
          <w:numId w:val="12"/>
        </w:numPr>
        <w:rPr>
          <w:noProof/>
          <w:lang w:eastAsia="en-GB"/>
        </w:rPr>
      </w:pPr>
      <w:r>
        <w:rPr>
          <w:noProof/>
          <w:lang w:eastAsia="en-GB"/>
        </w:rPr>
        <w:t>a working Group of the Advisory Committee on Vocational Training was set up to agree on the future development of European VET instruments (1st semester 2019);</w:t>
      </w:r>
    </w:p>
    <w:p w:rsidR="00620F75" w:rsidRDefault="001F403D">
      <w:pPr>
        <w:pStyle w:val="ListParagraph"/>
        <w:numPr>
          <w:ilvl w:val="0"/>
          <w:numId w:val="12"/>
        </w:numPr>
        <w:rPr>
          <w:noProof/>
          <w:lang w:eastAsia="en-GB"/>
        </w:rPr>
      </w:pPr>
      <w:r>
        <w:rPr>
          <w:noProof/>
          <w:lang w:eastAsia="en-GB"/>
        </w:rPr>
        <w:t>inp</w:t>
      </w:r>
      <w:r>
        <w:rPr>
          <w:noProof/>
          <w:lang w:eastAsia="en-GB"/>
        </w:rPr>
        <w:t>ut gathered during the events of the third and the fourth editions of the European Vocational Skills Week (2018 and 2019)</w:t>
      </w:r>
    </w:p>
    <w:p w:rsidR="00620F75" w:rsidRDefault="001F403D">
      <w:pPr>
        <w:pStyle w:val="Heading5"/>
        <w:rPr>
          <w:rFonts w:eastAsia="Times New Roman"/>
          <w:noProof/>
          <w:lang w:eastAsia="en-GB"/>
        </w:rPr>
      </w:pPr>
      <w:r>
        <w:rPr>
          <w:rFonts w:eastAsia="Times New Roman"/>
          <w:noProof/>
          <w:lang w:eastAsia="en-GB"/>
        </w:rPr>
        <w:t>The Opinion of the Advisory Committee on Vocational Training on future of vocational education and training post 2020</w:t>
      </w:r>
    </w:p>
    <w:p w:rsidR="00620F75" w:rsidRDefault="001F403D">
      <w:pPr>
        <w:rPr>
          <w:noProof/>
          <w:lang w:eastAsia="en-GB"/>
        </w:rPr>
      </w:pPr>
      <w:r>
        <w:rPr>
          <w:noProof/>
          <w:lang w:eastAsia="en-GB"/>
        </w:rPr>
        <w:t>The ACVT Opinion</w:t>
      </w:r>
      <w:r>
        <w:rPr>
          <w:noProof/>
          <w:lang w:eastAsia="en-GB"/>
        </w:rPr>
        <w:t xml:space="preserve"> has identified a number of trends in vocational education and training:</w:t>
      </w:r>
    </w:p>
    <w:p w:rsidR="00620F75" w:rsidRDefault="001F403D">
      <w:pPr>
        <w:pStyle w:val="ListParagraph"/>
        <w:numPr>
          <w:ilvl w:val="0"/>
          <w:numId w:val="13"/>
        </w:numPr>
        <w:rPr>
          <w:rFonts w:eastAsia="Calibri"/>
          <w:noProof/>
        </w:rPr>
      </w:pPr>
      <w:r>
        <w:rPr>
          <w:rFonts w:eastAsia="Calibri"/>
          <w:noProof/>
        </w:rPr>
        <w:t>VET is expected to reposition itself within the future mix of a strong foundation of basic skills, generic, soft, transversal and professional competences. It should prove its ability</w:t>
      </w:r>
      <w:r>
        <w:rPr>
          <w:rFonts w:eastAsia="Calibri"/>
          <w:noProof/>
        </w:rPr>
        <w:t xml:space="preserve"> to prepare people not only for existing jobs, but also – for future employment and job creation. VET is expected to continue fostering democratic citizenship and European values.</w:t>
      </w:r>
    </w:p>
    <w:p w:rsidR="00620F75" w:rsidRDefault="001F403D">
      <w:pPr>
        <w:pStyle w:val="ListParagraph"/>
        <w:numPr>
          <w:ilvl w:val="0"/>
          <w:numId w:val="13"/>
        </w:numPr>
        <w:rPr>
          <w:rFonts w:eastAsia="Calibri"/>
          <w:noProof/>
        </w:rPr>
      </w:pPr>
      <w:r>
        <w:rPr>
          <w:rFonts w:eastAsia="Calibri"/>
          <w:noProof/>
        </w:rPr>
        <w:t>Evidence from Cedefop shows</w:t>
      </w:r>
      <w:r>
        <w:rPr>
          <w:noProof/>
          <w:vertAlign w:val="superscript"/>
        </w:rPr>
        <w:footnoteReference w:id="60"/>
      </w:r>
      <w:r>
        <w:rPr>
          <w:rFonts w:eastAsia="Calibri"/>
          <w:noProof/>
        </w:rPr>
        <w:t xml:space="preserve"> that with the growing weight of VET specific co</w:t>
      </w:r>
      <w:r>
        <w:rPr>
          <w:rFonts w:eastAsia="Calibri"/>
          <w:noProof/>
        </w:rPr>
        <w:t>ntent in parallel with key competences, learning provision is expected to become more hybrid – in terms of blurring borders in institutional profile, target group, curricula and learning environment between VET and general education, between IVET, higher V</w:t>
      </w:r>
      <w:r>
        <w:rPr>
          <w:rFonts w:eastAsia="Calibri"/>
          <w:noProof/>
        </w:rPr>
        <w:t>ET and CVET, between VET and higher education.</w:t>
      </w:r>
    </w:p>
    <w:p w:rsidR="00620F75" w:rsidRDefault="001F403D">
      <w:pPr>
        <w:pStyle w:val="ListParagraph"/>
        <w:numPr>
          <w:ilvl w:val="0"/>
          <w:numId w:val="13"/>
        </w:numPr>
        <w:rPr>
          <w:rFonts w:eastAsia="Calibri"/>
          <w:noProof/>
        </w:rPr>
      </w:pPr>
      <w:r>
        <w:rPr>
          <w:rFonts w:eastAsia="Calibri"/>
          <w:noProof/>
        </w:rPr>
        <w:t xml:space="preserve">The link between initial and continuous VET and labour market is expected to change from a one-way to two-way avenue. This means that in view of developments on the labour market mentioned above, increasingly </w:t>
      </w:r>
      <w:r>
        <w:rPr>
          <w:rFonts w:eastAsia="Calibri"/>
          <w:noProof/>
        </w:rPr>
        <w:t>lifelong development of employees will prove to be a necessity. It implicates that beyond the current policy focus on publicly financed initial VET, a broader approach should encourage providers of initial VET to offer training courses for adult workers (‘</w:t>
      </w:r>
      <w:r>
        <w:rPr>
          <w:rFonts w:eastAsia="Calibri"/>
          <w:noProof/>
        </w:rPr>
        <w:t xml:space="preserve">CVET’). Therefore, we need demand-driven, </w:t>
      </w:r>
      <w:r>
        <w:rPr>
          <w:rFonts w:eastAsia="Calibri"/>
          <w:noProof/>
        </w:rPr>
        <w:lastRenderedPageBreak/>
        <w:t>practice-oriented, flexible and responsive VET policies and frameworks, which can cater to the needs of both initial and continuing VET.</w:t>
      </w:r>
    </w:p>
    <w:p w:rsidR="00620F75" w:rsidRDefault="001F403D">
      <w:pPr>
        <w:pStyle w:val="ListParagraph"/>
        <w:numPr>
          <w:ilvl w:val="0"/>
          <w:numId w:val="13"/>
        </w:numPr>
        <w:rPr>
          <w:rFonts w:eastAsia="Calibri"/>
          <w:noProof/>
        </w:rPr>
      </w:pPr>
      <w:r>
        <w:rPr>
          <w:rFonts w:eastAsia="Calibri"/>
          <w:noProof/>
        </w:rPr>
        <w:t>Emerging new technologies and work organisation formats are expected to be ca</w:t>
      </w:r>
      <w:r>
        <w:rPr>
          <w:rFonts w:eastAsia="Calibri"/>
          <w:noProof/>
        </w:rPr>
        <w:t>ptured faster through skills anticipation systems. Such trends should be translated to VET provision in terms of new skills, curricula and qualifications. VET systems are expected to develop ‘fast response’ mechanisms providing both quality assured core qu</w:t>
      </w:r>
      <w:r>
        <w:rPr>
          <w:rFonts w:eastAsia="Calibri"/>
          <w:noProof/>
        </w:rPr>
        <w:t>alifications/skills pathways as well as flexible formats. Such provision should add new or higher-level skills. These feedback loops require strong governance involving social partners, both employers and trade unions.</w:t>
      </w:r>
    </w:p>
    <w:p w:rsidR="00620F75" w:rsidRDefault="001F403D">
      <w:pPr>
        <w:pStyle w:val="ListParagraph"/>
        <w:numPr>
          <w:ilvl w:val="0"/>
          <w:numId w:val="13"/>
        </w:numPr>
        <w:rPr>
          <w:rFonts w:eastAsia="Calibri"/>
          <w:noProof/>
        </w:rPr>
      </w:pPr>
      <w:r>
        <w:rPr>
          <w:rFonts w:eastAsia="Calibri"/>
          <w:noProof/>
        </w:rPr>
        <w:t>VET would need to balance a process-o</w:t>
      </w:r>
      <w:r>
        <w:rPr>
          <w:rFonts w:eastAsia="Calibri"/>
          <w:noProof/>
        </w:rPr>
        <w:t>riented, supply driven model with a result and outcome-oriented approach, in view of meeting expectations of learners in terms of adequate skills, of employers in terms of skills needs and productivity gains and of society in view of a contribution to grow</w:t>
      </w:r>
      <w:r>
        <w:rPr>
          <w:rFonts w:eastAsia="Calibri"/>
          <w:noProof/>
        </w:rPr>
        <w:t>th and social cohesion.</w:t>
      </w:r>
    </w:p>
    <w:p w:rsidR="00620F75" w:rsidRDefault="001F403D">
      <w:pPr>
        <w:pStyle w:val="ListParagraph"/>
        <w:numPr>
          <w:ilvl w:val="0"/>
          <w:numId w:val="13"/>
        </w:numPr>
        <w:rPr>
          <w:rFonts w:eastAsia="Calibri"/>
          <w:noProof/>
        </w:rPr>
      </w:pPr>
      <w:r>
        <w:rPr>
          <w:rFonts w:eastAsia="Calibri"/>
          <w:noProof/>
        </w:rPr>
        <w:t>Governance in VET is expected to move towards a shared system with the participation of main stakeholders and implemented at national, regional, local, institutional and sector level. The involvement of social partners as well as st</w:t>
      </w:r>
      <w:r>
        <w:rPr>
          <w:rFonts w:eastAsia="Calibri"/>
          <w:noProof/>
        </w:rPr>
        <w:t xml:space="preserve">akeholders such as providers and VET learners in the development, implementation and governance of VET policies should be further strengthened. </w:t>
      </w:r>
    </w:p>
    <w:p w:rsidR="00620F75" w:rsidRDefault="001F403D">
      <w:pPr>
        <w:pStyle w:val="ListParagraph"/>
        <w:numPr>
          <w:ilvl w:val="0"/>
          <w:numId w:val="13"/>
        </w:numPr>
        <w:rPr>
          <w:rFonts w:eastAsia="Calibri"/>
          <w:noProof/>
        </w:rPr>
      </w:pPr>
      <w:r>
        <w:rPr>
          <w:rFonts w:eastAsia="Calibri"/>
          <w:noProof/>
        </w:rPr>
        <w:t>The way in which people are taught and learn will continue to evolve with the introduction of new, technology-b</w:t>
      </w:r>
      <w:r>
        <w:rPr>
          <w:rFonts w:eastAsia="Calibri"/>
          <w:noProof/>
        </w:rPr>
        <w:t>ased, educational tools and programmes.</w:t>
      </w:r>
    </w:p>
    <w:p w:rsidR="00620F75" w:rsidRDefault="001F403D">
      <w:pPr>
        <w:pStyle w:val="ListParagraph"/>
        <w:numPr>
          <w:ilvl w:val="0"/>
          <w:numId w:val="13"/>
        </w:numPr>
        <w:rPr>
          <w:rFonts w:eastAsia="Calibri"/>
          <w:noProof/>
        </w:rPr>
      </w:pPr>
      <w:r>
        <w:rPr>
          <w:rFonts w:eastAsia="Calibri"/>
          <w:noProof/>
        </w:rPr>
        <w:t>There is a need to significantly increase the links to innovation and efficiency in VET.</w:t>
      </w:r>
    </w:p>
    <w:p w:rsidR="00620F75" w:rsidRDefault="001F403D">
      <w:pPr>
        <w:pStyle w:val="ListParagraph"/>
        <w:numPr>
          <w:ilvl w:val="0"/>
          <w:numId w:val="13"/>
        </w:numPr>
        <w:rPr>
          <w:rFonts w:eastAsia="Calibri"/>
          <w:noProof/>
        </w:rPr>
      </w:pPr>
      <w:r>
        <w:rPr>
          <w:rFonts w:eastAsia="Calibri"/>
          <w:noProof/>
        </w:rPr>
        <w:t>Strong VET systems contribute to the competitiveness, innovation and growth of the European Union.</w:t>
      </w:r>
    </w:p>
    <w:p w:rsidR="00620F75" w:rsidRDefault="00620F75">
      <w:pPr>
        <w:pStyle w:val="Heading5"/>
        <w:rPr>
          <w:rFonts w:eastAsia="Times New Roman"/>
          <w:noProof/>
          <w:lang w:eastAsia="en-GB"/>
        </w:rPr>
      </w:pPr>
    </w:p>
    <w:p w:rsidR="00620F75" w:rsidRDefault="001F403D">
      <w:pPr>
        <w:pStyle w:val="Heading5"/>
        <w:rPr>
          <w:rFonts w:eastAsia="Times New Roman"/>
          <w:noProof/>
          <w:lang w:eastAsia="en-GB"/>
        </w:rPr>
      </w:pPr>
      <w:r>
        <w:rPr>
          <w:rFonts w:eastAsia="Times New Roman"/>
          <w:noProof/>
          <w:lang w:eastAsia="en-GB"/>
        </w:rPr>
        <w:t>Changing role and nature of</w:t>
      </w:r>
      <w:r>
        <w:rPr>
          <w:rFonts w:eastAsia="Times New Roman"/>
          <w:noProof/>
          <w:lang w:eastAsia="en-GB"/>
        </w:rPr>
        <w:t xml:space="preserve"> VET </w:t>
      </w:r>
    </w:p>
    <w:p w:rsidR="00620F75" w:rsidRDefault="001F403D">
      <w:pPr>
        <w:rPr>
          <w:noProof/>
          <w:lang w:eastAsia="en-GB"/>
        </w:rPr>
      </w:pPr>
      <w:r>
        <w:rPr>
          <w:noProof/>
          <w:lang w:eastAsia="en-GB"/>
        </w:rPr>
        <w:t>Cedefop’s project on ‘The changing role and nature of VET in Europe’</w:t>
      </w:r>
      <w:r>
        <w:rPr>
          <w:noProof/>
          <w:vertAlign w:val="superscript"/>
          <w:lang w:eastAsia="en-GB"/>
        </w:rPr>
        <w:footnoteReference w:id="61"/>
      </w:r>
      <w:r>
        <w:rPr>
          <w:noProof/>
          <w:lang w:eastAsia="en-GB"/>
        </w:rPr>
        <w:t xml:space="preserve"> analysed how vocationally oriented education and training has changed in the European Union (as well as Iceland and Norway) in the past two decades (1995-2015) and, based on these </w:t>
      </w:r>
      <w:r>
        <w:rPr>
          <w:noProof/>
          <w:lang w:eastAsia="en-GB"/>
        </w:rPr>
        <w:t xml:space="preserve">results, investigated the main challenges and opportunities the VET sector is facing today and may face in the future. </w:t>
      </w:r>
    </w:p>
    <w:p w:rsidR="00620F75" w:rsidRDefault="001F403D">
      <w:pPr>
        <w:pStyle w:val="Heading5"/>
        <w:rPr>
          <w:rFonts w:eastAsia="Times New Roman"/>
          <w:noProof/>
          <w:lang w:eastAsia="en-GB"/>
        </w:rPr>
      </w:pPr>
      <w:r>
        <w:rPr>
          <w:rFonts w:eastAsia="Times New Roman"/>
          <w:noProof/>
          <w:lang w:eastAsia="en-GB"/>
        </w:rPr>
        <w:t>Lessons from the past - the evolving character of European vocational education and training</w:t>
      </w:r>
    </w:p>
    <w:p w:rsidR="00620F75" w:rsidRDefault="001F403D">
      <w:pPr>
        <w:rPr>
          <w:noProof/>
          <w:lang w:eastAsia="en-GB"/>
        </w:rPr>
      </w:pPr>
      <w:r>
        <w:rPr>
          <w:noProof/>
          <w:lang w:eastAsia="en-GB"/>
        </w:rPr>
        <w:t>The changing nature and role of VET-project</w:t>
      </w:r>
      <w:r>
        <w:rPr>
          <w:noProof/>
          <w:lang w:eastAsia="en-GB"/>
        </w:rPr>
        <w:t xml:space="preserve"> broadly confirms Cedefop’s (2014) definition of VET as ‘education and training which aims to equip people with knowledge, know-how, skills and/or competences required in particular occupations or more broadly on the labour market’. Deliberately avoiding r</w:t>
      </w:r>
      <w:r>
        <w:rPr>
          <w:noProof/>
          <w:lang w:eastAsia="en-GB"/>
        </w:rPr>
        <w:t>eferences to any particular level or sector, this definition draws attention the broad and expanding character of European VET: European VET today covers curriculum content aiming to prepare for the labour market, covering not only initial vocational educa</w:t>
      </w:r>
      <w:r>
        <w:rPr>
          <w:noProof/>
          <w:lang w:eastAsia="en-GB"/>
        </w:rPr>
        <w:t>tion and training (IVET) at upper secondary levels (EQF 3 and 4) but also continuing vocational education and training for adults (CVET) and vocationally oriented education and training at higher levels (EQF 5-8). This understanding of VET, reflecting a de</w:t>
      </w:r>
      <w:r>
        <w:rPr>
          <w:noProof/>
          <w:lang w:eastAsia="en-GB"/>
        </w:rPr>
        <w:t xml:space="preserve"> facto expansion and diversification of provisions, significantly influences national and </w:t>
      </w:r>
      <w:r>
        <w:rPr>
          <w:noProof/>
          <w:lang w:eastAsia="en-GB"/>
        </w:rPr>
        <w:lastRenderedPageBreak/>
        <w:t>European VET policies. A narrow understanding of VET as exclusively linked to school and work based IVET would fail to grasp the challenges involved in addressing the</w:t>
      </w:r>
      <w:r>
        <w:rPr>
          <w:noProof/>
          <w:lang w:eastAsia="en-GB"/>
        </w:rPr>
        <w:t xml:space="preserve"> needs lifelong learning and for labour market relevant education and training at higher levels. The following findings illustrate the journey travelled by European VET since 1995:</w:t>
      </w:r>
    </w:p>
    <w:p w:rsidR="00620F75" w:rsidRDefault="001F403D">
      <w:pPr>
        <w:pStyle w:val="ListParagraph"/>
        <w:numPr>
          <w:ilvl w:val="0"/>
          <w:numId w:val="13"/>
        </w:numPr>
        <w:rPr>
          <w:rFonts w:eastAsia="Calibri"/>
          <w:noProof/>
        </w:rPr>
      </w:pPr>
      <w:r>
        <w:rPr>
          <w:rFonts w:eastAsia="Calibri"/>
          <w:noProof/>
        </w:rPr>
        <w:t xml:space="preserve">The number of IVET students have declined in some countries (notably where </w:t>
      </w:r>
      <w:r>
        <w:rPr>
          <w:rFonts w:eastAsia="Calibri"/>
          <w:noProof/>
        </w:rPr>
        <w:t xml:space="preserve">the proportion traditionally has been high). This has been countered by an increase in countries with traditionally weaker VET systems. Overall the study points to a convergence between countries as regards participation in IVET. </w:t>
      </w:r>
    </w:p>
    <w:p w:rsidR="00620F75" w:rsidRDefault="001F403D">
      <w:pPr>
        <w:pStyle w:val="ListParagraph"/>
        <w:numPr>
          <w:ilvl w:val="0"/>
          <w:numId w:val="13"/>
        </w:numPr>
        <w:rPr>
          <w:rFonts w:eastAsia="Calibri"/>
          <w:noProof/>
        </w:rPr>
      </w:pPr>
      <w:r>
        <w:rPr>
          <w:rFonts w:eastAsia="Calibri"/>
          <w:noProof/>
        </w:rPr>
        <w:t>Many national VET systems</w:t>
      </w:r>
      <w:r>
        <w:rPr>
          <w:rFonts w:eastAsia="Calibri"/>
          <w:noProof/>
        </w:rPr>
        <w:t xml:space="preserve"> ‘came of age’ during the two decades covered by the study (1995-2015). Departing from fragmented systems linked to a limited range of industries and sectors, the 1990s and early 2000s saw the development of comprehensive national systems in which VET came</w:t>
      </w:r>
      <w:r>
        <w:rPr>
          <w:rFonts w:eastAsia="Calibri"/>
          <w:noProof/>
        </w:rPr>
        <w:t xml:space="preserve"> to have clearly defined roles in relation to general and academic education. While VET systems have long traditions in crafts and industry, new comprehensive systems have been better able to address wider needs, such as those of the service sector, and sy</w:t>
      </w:r>
      <w:r>
        <w:rPr>
          <w:rFonts w:eastAsia="Calibri"/>
          <w:noProof/>
        </w:rPr>
        <w:t xml:space="preserve">stemic needs, including for transparency and permeability, removing dead-ends and allowing learners to progress in learning. </w:t>
      </w:r>
      <w:r>
        <w:rPr>
          <w:rFonts w:eastAsia="Calibri"/>
          <w:noProof/>
        </w:rPr>
        <w:tab/>
      </w:r>
      <w:r>
        <w:rPr>
          <w:rFonts w:eastAsia="Calibri"/>
          <w:noProof/>
        </w:rPr>
        <w:tab/>
      </w:r>
    </w:p>
    <w:p w:rsidR="00620F75" w:rsidRDefault="001F403D">
      <w:pPr>
        <w:pStyle w:val="ListParagraph"/>
        <w:numPr>
          <w:ilvl w:val="0"/>
          <w:numId w:val="13"/>
        </w:numPr>
        <w:rPr>
          <w:rFonts w:eastAsia="Calibri"/>
          <w:noProof/>
        </w:rPr>
      </w:pPr>
      <w:r>
        <w:rPr>
          <w:rFonts w:eastAsia="Calibri"/>
          <w:noProof/>
        </w:rPr>
        <w:t>The delivery of VET has changed and evolved during these two decades. VET is now delivered by an increasingly diverse set of ins</w:t>
      </w:r>
      <w:r>
        <w:rPr>
          <w:rFonts w:eastAsia="Calibri"/>
          <w:noProof/>
        </w:rPr>
        <w:t>titutions applying a growing variety of learning formats and settings. While countries normally tend to favour either a school-based or apprenticeship-based VET model, increasingly these main models are being supplemented and complemented by alternative fo</w:t>
      </w:r>
      <w:r>
        <w:rPr>
          <w:rFonts w:eastAsia="Calibri"/>
          <w:noProof/>
        </w:rPr>
        <w:t>rms of education, training and learning. There are clear indications that there are increasingly mixed systems offering different tracks within one system.</w:t>
      </w:r>
    </w:p>
    <w:p w:rsidR="00620F75" w:rsidRDefault="001F403D">
      <w:pPr>
        <w:pStyle w:val="ListParagraph"/>
        <w:numPr>
          <w:ilvl w:val="0"/>
          <w:numId w:val="13"/>
        </w:numPr>
        <w:rPr>
          <w:rFonts w:eastAsia="Calibri"/>
          <w:noProof/>
        </w:rPr>
      </w:pPr>
      <w:r>
        <w:rPr>
          <w:rFonts w:eastAsia="Calibri"/>
          <w:noProof/>
        </w:rPr>
        <w:t>In almost all countries there is a trend within school-based VET towards broader vocational domains,</w:t>
      </w:r>
      <w:r>
        <w:rPr>
          <w:rFonts w:eastAsia="Calibri"/>
          <w:noProof/>
        </w:rPr>
        <w:t xml:space="preserve"> a richer mixture of theoretical and general subject matter, and qualifications providing access to higher education at the expense of more specific practical VET. This trend can be described as hybridisation of vocational and general education, and is par</w:t>
      </w:r>
      <w:r>
        <w:rPr>
          <w:rFonts w:eastAsia="Calibri"/>
          <w:noProof/>
        </w:rPr>
        <w:t xml:space="preserve">tly also visible within apprenticeship tracks. </w:t>
      </w:r>
      <w:r>
        <w:rPr>
          <w:rFonts w:eastAsia="Calibri"/>
          <w:noProof/>
        </w:rPr>
        <w:tab/>
      </w:r>
    </w:p>
    <w:p w:rsidR="00620F75" w:rsidRDefault="001F403D">
      <w:pPr>
        <w:pStyle w:val="ListParagraph"/>
        <w:numPr>
          <w:ilvl w:val="0"/>
          <w:numId w:val="13"/>
        </w:numPr>
        <w:rPr>
          <w:rFonts w:eastAsia="Calibri"/>
          <w:noProof/>
        </w:rPr>
      </w:pPr>
      <w:r>
        <w:rPr>
          <w:rFonts w:eastAsia="Calibri"/>
          <w:noProof/>
        </w:rPr>
        <w:t>During these two decades, the number of VET qualifications on offer has steadily dwindled in most countries, refocusing VET on broader occupational areas, acknowledging that job-specific skills will inevitab</w:t>
      </w:r>
      <w:r>
        <w:rPr>
          <w:rFonts w:eastAsia="Calibri"/>
          <w:noProof/>
        </w:rPr>
        <w:t>ly change and that the ability of VET candidates to cope with this change is of essential importance. This development is also illustrated by a blurring of lines between initial VET and general upper secondary education: it is becoming increasingly difficu</w:t>
      </w:r>
      <w:r>
        <w:rPr>
          <w:rFonts w:eastAsia="Calibri"/>
          <w:noProof/>
        </w:rPr>
        <w:t>lt to say which school programmes should be defined as VET and which as general education. Hybrid or dual programmes that combine general subjects and vocational specialisations have become more common.</w:t>
      </w:r>
    </w:p>
    <w:p w:rsidR="00620F75" w:rsidRDefault="001F403D">
      <w:pPr>
        <w:pStyle w:val="ListParagraph"/>
        <w:numPr>
          <w:ilvl w:val="0"/>
          <w:numId w:val="13"/>
        </w:numPr>
        <w:rPr>
          <w:rFonts w:eastAsia="Calibri"/>
          <w:noProof/>
        </w:rPr>
      </w:pPr>
      <w:r>
        <w:rPr>
          <w:rFonts w:eastAsia="Calibri"/>
          <w:noProof/>
        </w:rPr>
        <w:t>A notable change is the emergence and increased visib</w:t>
      </w:r>
      <w:r>
        <w:rPr>
          <w:rFonts w:eastAsia="Calibri"/>
          <w:noProof/>
        </w:rPr>
        <w:t xml:space="preserve">ility of what we term ‘VET at higher levels’, at European qualifications framework (EQF) levels 5 to 8. Many countries have seen a significant increase in VET at EQF level 5 and the expansion of VET at levels 6 to 8. The signal sent by Germany and Austria </w:t>
      </w:r>
      <w:r>
        <w:rPr>
          <w:rFonts w:eastAsia="Calibri"/>
          <w:noProof/>
        </w:rPr>
        <w:t xml:space="preserve">in levelling their master craftsman qualifications at level 6, equivalent to the university bachelor, illustrates a redefinition of what is understood as higher education that is taking place in some countries. </w:t>
      </w:r>
      <w:r>
        <w:rPr>
          <w:rFonts w:eastAsia="Calibri"/>
          <w:noProof/>
        </w:rPr>
        <w:tab/>
      </w:r>
    </w:p>
    <w:p w:rsidR="00620F75" w:rsidRDefault="001F403D">
      <w:pPr>
        <w:pStyle w:val="ListParagraph"/>
        <w:numPr>
          <w:ilvl w:val="0"/>
          <w:numId w:val="13"/>
        </w:numPr>
        <w:rPr>
          <w:rFonts w:eastAsia="Calibri"/>
          <w:noProof/>
        </w:rPr>
      </w:pPr>
      <w:r>
        <w:rPr>
          <w:rFonts w:eastAsia="Calibri"/>
          <w:noProof/>
        </w:rPr>
        <w:t>There is an increasing number of apprentice</w:t>
      </w:r>
      <w:r>
        <w:rPr>
          <w:rFonts w:eastAsia="Calibri"/>
          <w:noProof/>
        </w:rPr>
        <w:t>s preparing for a vocational baccalauréat or matura that provides general access to higher education; this is the case in Austria, France and Switzerland and recently also in Denmark. Both the demand for higher VET skills by in economy and changing student</w:t>
      </w:r>
      <w:r>
        <w:rPr>
          <w:rFonts w:eastAsia="Calibri"/>
          <w:noProof/>
        </w:rPr>
        <w:t xml:space="preserve"> choices may be drivers of this trend. An </w:t>
      </w:r>
      <w:r>
        <w:rPr>
          <w:rFonts w:eastAsia="Calibri"/>
          <w:noProof/>
        </w:rPr>
        <w:lastRenderedPageBreak/>
        <w:t>obvious result of these developments is longer schooling and a general shift of the centre of gravity of VET from level 3 to level 4 or even 5 (in all countries.</w:t>
      </w:r>
    </w:p>
    <w:p w:rsidR="00620F75" w:rsidRDefault="001F403D">
      <w:pPr>
        <w:rPr>
          <w:noProof/>
          <w:lang w:eastAsia="en-GB"/>
        </w:rPr>
      </w:pPr>
      <w:r>
        <w:rPr>
          <w:noProof/>
          <w:lang w:eastAsia="en-GB"/>
        </w:rPr>
        <w:t>Almost 1500 VET stakeholders and experts from all ov</w:t>
      </w:r>
      <w:r>
        <w:rPr>
          <w:noProof/>
          <w:lang w:eastAsia="en-GB"/>
        </w:rPr>
        <w:t>er Europe were invited to comment on the initial findings of the study (spring 2018).  When asked about past trends, there was general agreement regarding the importance and significance of the ‘shift towards learning outcomes’, ‘increasing work-based elem</w:t>
      </w:r>
      <w:r>
        <w:rPr>
          <w:noProof/>
          <w:lang w:eastAsia="en-GB"/>
        </w:rPr>
        <w:t xml:space="preserve">ents in curricula’ and ‘growth in VET provision at higher levels’. As regards key challenges for the future, ‘enhancing responsiveness to the labour market needs’ was seen as critical along with the need to increase work-based elements and the priority of </w:t>
      </w:r>
      <w:r>
        <w:rPr>
          <w:noProof/>
          <w:lang w:eastAsia="en-GB"/>
        </w:rPr>
        <w:t>strengthening VET at higher levels. The respondents to the survey furthermore underlined the increasingly important role of VET ‘in preparing students to participate fully in society and to become active citizens’. This emphasis on the need for a broader s</w:t>
      </w:r>
      <w:r>
        <w:rPr>
          <w:noProof/>
          <w:lang w:eastAsia="en-GB"/>
        </w:rPr>
        <w:t>kills base may suggest a perception among education and training stakeholders that personal development and active citizenship are indispensable features of any kind of future learning. An alternative is that VET in Europe may assume an increasing social v</w:t>
      </w:r>
      <w:r>
        <w:rPr>
          <w:noProof/>
          <w:lang w:eastAsia="en-GB"/>
        </w:rPr>
        <w:t xml:space="preserve">alue and become a more mainstream educational pathway with much broader purposes. </w:t>
      </w:r>
    </w:p>
    <w:p w:rsidR="00620F75" w:rsidRDefault="001F403D">
      <w:pPr>
        <w:rPr>
          <w:noProof/>
          <w:lang w:eastAsia="en-GB"/>
        </w:rPr>
      </w:pPr>
      <w:r>
        <w:rPr>
          <w:noProof/>
          <w:lang w:eastAsia="en-GB"/>
        </w:rPr>
        <w:t>By combining these dimensions three main development paths were identified. These three alternative paths imply highly different policy choices in the years to come:</w:t>
      </w:r>
    </w:p>
    <w:p w:rsidR="00620F75" w:rsidRDefault="001F403D">
      <w:pPr>
        <w:pStyle w:val="Heading5"/>
        <w:numPr>
          <w:ilvl w:val="0"/>
          <w:numId w:val="28"/>
        </w:numPr>
        <w:rPr>
          <w:rFonts w:eastAsia="Times New Roman"/>
          <w:noProof/>
          <w:color w:val="auto"/>
          <w:lang w:eastAsia="en-GB"/>
        </w:rPr>
      </w:pPr>
      <w:r>
        <w:rPr>
          <w:rFonts w:eastAsia="Times New Roman"/>
          <w:noProof/>
          <w:color w:val="auto"/>
          <w:lang w:eastAsia="en-GB"/>
        </w:rPr>
        <w:t xml:space="preserve">Lifelong learning at the heart – pluralistic VET </w:t>
      </w:r>
    </w:p>
    <w:p w:rsidR="00620F75" w:rsidRDefault="001F403D">
      <w:pPr>
        <w:rPr>
          <w:rFonts w:eastAsia="Calibri"/>
          <w:noProof/>
        </w:rPr>
      </w:pPr>
      <w:r>
        <w:rPr>
          <w:noProof/>
          <w:lang w:eastAsia="en-GB"/>
        </w:rPr>
        <w:t xml:space="preserve">This scenario broadens our understanding and conception of what is meant by VET. The emphasis is on vocationally and labour-market-oriented learning at all levels and in all </w:t>
      </w:r>
      <w:bookmarkStart w:id="137" w:name="_GoBack"/>
      <w:bookmarkEnd w:id="137"/>
      <w:r>
        <w:rPr>
          <w:noProof/>
          <w:lang w:eastAsia="en-GB"/>
        </w:rPr>
        <w:t>institutional settings. Vocation</w:t>
      </w:r>
      <w:r>
        <w:rPr>
          <w:noProof/>
          <w:lang w:eastAsia="en-GB"/>
        </w:rPr>
        <w:t xml:space="preserve">ally oriented learning will not be restricted to the institutions explicitly defined as VET providers today but will form part of an integrated lifelong learning approach. </w:t>
      </w:r>
    </w:p>
    <w:p w:rsidR="00620F75" w:rsidRDefault="001F403D">
      <w:pPr>
        <w:pStyle w:val="Heading5"/>
        <w:numPr>
          <w:ilvl w:val="0"/>
          <w:numId w:val="28"/>
        </w:numPr>
        <w:rPr>
          <w:rFonts w:eastAsia="Times New Roman"/>
          <w:noProof/>
          <w:color w:val="auto"/>
          <w:lang w:eastAsia="en-GB"/>
        </w:rPr>
      </w:pPr>
      <w:r>
        <w:rPr>
          <w:rFonts w:eastAsia="Times New Roman"/>
          <w:noProof/>
          <w:color w:val="auto"/>
          <w:lang w:eastAsia="en-GB"/>
        </w:rPr>
        <w:t>Occupational and professional competences at the heart – distinctive VET</w:t>
      </w:r>
    </w:p>
    <w:p w:rsidR="00620F75" w:rsidRDefault="001F403D">
      <w:pPr>
        <w:rPr>
          <w:rFonts w:eastAsia="Calibri"/>
          <w:noProof/>
        </w:rPr>
      </w:pPr>
      <w:r>
        <w:rPr>
          <w:noProof/>
          <w:lang w:eastAsia="en-GB"/>
        </w:rPr>
        <w:t>The distin</w:t>
      </w:r>
      <w:r>
        <w:rPr>
          <w:noProof/>
          <w:lang w:eastAsia="en-GB"/>
        </w:rPr>
        <w:t xml:space="preserve">ctive scenario seeks to strengthen the existing and dominant conception of VET as focused on entry into occupations and professions. </w:t>
      </w:r>
    </w:p>
    <w:p w:rsidR="00620F75" w:rsidRDefault="001F403D">
      <w:pPr>
        <w:pStyle w:val="Heading5"/>
        <w:numPr>
          <w:ilvl w:val="0"/>
          <w:numId w:val="28"/>
        </w:numPr>
        <w:rPr>
          <w:rFonts w:eastAsia="Times New Roman"/>
          <w:noProof/>
          <w:color w:val="auto"/>
          <w:lang w:eastAsia="en-GB"/>
        </w:rPr>
      </w:pPr>
      <w:bookmarkStart w:id="138" w:name="_Toc532838061"/>
      <w:bookmarkStart w:id="139" w:name="_Toc28010844"/>
      <w:r>
        <w:rPr>
          <w:rFonts w:eastAsia="Times New Roman"/>
          <w:noProof/>
          <w:color w:val="auto"/>
          <w:lang w:eastAsia="en-GB"/>
        </w:rPr>
        <w:t>Job-oriented training at the heart – special purpose or marginalised VET</w:t>
      </w:r>
      <w:bookmarkEnd w:id="138"/>
      <w:bookmarkEnd w:id="139"/>
      <w:r>
        <w:rPr>
          <w:rFonts w:eastAsia="Times New Roman"/>
          <w:noProof/>
          <w:color w:val="auto"/>
          <w:lang w:eastAsia="en-GB"/>
        </w:rPr>
        <w:t xml:space="preserve"> </w:t>
      </w:r>
    </w:p>
    <w:p w:rsidR="00620F75" w:rsidRDefault="001F403D">
      <w:pPr>
        <w:rPr>
          <w:noProof/>
          <w:lang w:eastAsia="en-GB"/>
        </w:rPr>
      </w:pPr>
      <w:r>
        <w:rPr>
          <w:noProof/>
          <w:lang w:eastAsia="en-GB"/>
        </w:rPr>
        <w:t>This scenario narrows down the understanding and</w:t>
      </w:r>
      <w:r>
        <w:rPr>
          <w:noProof/>
          <w:lang w:eastAsia="en-GB"/>
        </w:rPr>
        <w:t xml:space="preserve"> conception of VET. Its focus is on training for jobs, reskilling and upskilling for short- and medium-term labour market needs. </w:t>
      </w:r>
    </w:p>
    <w:p w:rsidR="00620F75" w:rsidRDefault="001F403D">
      <w:pPr>
        <w:rPr>
          <w:rFonts w:eastAsia="Calibri"/>
          <w:b/>
          <w:bCs/>
          <w:noProof/>
          <w:color w:val="1F497D" w:themeColor="text2"/>
        </w:rPr>
      </w:pPr>
      <w:r>
        <w:rPr>
          <w:rFonts w:eastAsia="Calibri"/>
          <w:b/>
          <w:bCs/>
          <w:noProof/>
          <w:color w:val="1F497D" w:themeColor="text2"/>
        </w:rPr>
        <w:t>Reactions to the scenarios from national authorities and stakeholders</w:t>
      </w:r>
    </w:p>
    <w:p w:rsidR="00620F75" w:rsidRDefault="001F403D">
      <w:pPr>
        <w:rPr>
          <w:rFonts w:eastAsia="Calibri"/>
          <w:noProof/>
        </w:rPr>
      </w:pPr>
      <w:r>
        <w:rPr>
          <w:rFonts w:eastAsia="Calibri"/>
          <w:noProof/>
        </w:rPr>
        <w:t xml:space="preserve">The scenarios have been presented to a number national </w:t>
      </w:r>
      <w:r>
        <w:rPr>
          <w:rFonts w:eastAsia="Calibri"/>
          <w:noProof/>
        </w:rPr>
        <w:t>authorities and stakeholders in a series of meetings and conferences during 2019. Overall, the approach has been positively received, some key reactions can be noted:</w:t>
      </w:r>
    </w:p>
    <w:p w:rsidR="00620F75" w:rsidRDefault="001F403D">
      <w:pPr>
        <w:numPr>
          <w:ilvl w:val="0"/>
          <w:numId w:val="30"/>
        </w:numPr>
        <w:rPr>
          <w:rFonts w:eastAsia="Calibri"/>
          <w:noProof/>
        </w:rPr>
      </w:pPr>
      <w:r>
        <w:rPr>
          <w:rFonts w:eastAsia="Calibri"/>
          <w:noProof/>
        </w:rPr>
        <w:t>The scenarios allow for a discussion of VET independent of traditional institutional divi</w:t>
      </w:r>
      <w:r>
        <w:rPr>
          <w:rFonts w:eastAsia="Calibri"/>
          <w:noProof/>
        </w:rPr>
        <w:t xml:space="preserve">ding lines; allowing for a focus on VET at all levels and the relationship between initial and continuing VET. </w:t>
      </w:r>
    </w:p>
    <w:p w:rsidR="00620F75" w:rsidRDefault="001F403D">
      <w:pPr>
        <w:numPr>
          <w:ilvl w:val="0"/>
          <w:numId w:val="30"/>
        </w:numPr>
        <w:rPr>
          <w:rFonts w:eastAsia="Calibri"/>
          <w:noProof/>
        </w:rPr>
      </w:pPr>
      <w:r>
        <w:rPr>
          <w:rFonts w:eastAsia="Calibri"/>
          <w:noProof/>
        </w:rPr>
        <w:t>The scenarios point to important tensions (academic and vocational drift) and contradictions (a distinct VET focus versus a more pluralistic foc</w:t>
      </w:r>
      <w:r>
        <w:rPr>
          <w:rFonts w:eastAsia="Calibri"/>
          <w:noProof/>
        </w:rPr>
        <w:t>us).</w:t>
      </w:r>
    </w:p>
    <w:p w:rsidR="00620F75" w:rsidRDefault="001F403D">
      <w:pPr>
        <w:numPr>
          <w:ilvl w:val="0"/>
          <w:numId w:val="30"/>
        </w:numPr>
        <w:rPr>
          <w:rFonts w:eastAsia="Calibri"/>
          <w:noProof/>
        </w:rPr>
      </w:pPr>
      <w:r>
        <w:rPr>
          <w:rFonts w:eastAsia="Calibri"/>
          <w:noProof/>
        </w:rPr>
        <w:t xml:space="preserve">The scenarios help to identify positive opportunities as well as real dangers. While all three scenarios are seen as presenting opportunities </w:t>
      </w:r>
      <w:r>
        <w:rPr>
          <w:rFonts w:eastAsia="Calibri"/>
          <w:noProof/>
          <w:u w:val="single"/>
        </w:rPr>
        <w:t>and</w:t>
      </w:r>
      <w:r>
        <w:rPr>
          <w:rFonts w:eastAsia="Calibri"/>
          <w:noProof/>
        </w:rPr>
        <w:t xml:space="preserve"> challenges; the third scenario (‘Special Purpose’) is seen by many as presenting a too limited vision of </w:t>
      </w:r>
      <w:r>
        <w:rPr>
          <w:rFonts w:eastAsia="Calibri"/>
          <w:noProof/>
        </w:rPr>
        <w:t xml:space="preserve">future VET approaches and systems. </w:t>
      </w:r>
    </w:p>
    <w:p w:rsidR="00620F75" w:rsidRDefault="001F403D">
      <w:pPr>
        <w:rPr>
          <w:rFonts w:eastAsia="Calibri"/>
          <w:noProof/>
        </w:rPr>
      </w:pPr>
      <w:r>
        <w:rPr>
          <w:rFonts w:eastAsia="Calibri"/>
          <w:noProof/>
        </w:rPr>
        <w:lastRenderedPageBreak/>
        <w:t>In this sense, and linked to the three points above, the scenarios add value to national dialogues. So far social partner organisations, employer organisations and trade union representatives, have expressed particular i</w:t>
      </w:r>
      <w:r>
        <w:rPr>
          <w:rFonts w:eastAsia="Calibri"/>
          <w:noProof/>
        </w:rPr>
        <w:t>nterest in making use of the scenarios. The argument being that this way challenges traditional perspectives on VET and its place in the overall education and training landscape. A full presentation of the scenario methodology, as well as the publication o</w:t>
      </w:r>
      <w:r>
        <w:rPr>
          <w:rFonts w:eastAsia="Calibri"/>
          <w:noProof/>
        </w:rPr>
        <w:t>f a set of more detailed future scenarios, is scheduled for February 2020 and the publication of the synthesis report of the Changing nature and role of VET project. Cedefop will continue its work on the scenarios in the new (2019-2022) project on the ‘Fut</w:t>
      </w:r>
      <w:r>
        <w:rPr>
          <w:rFonts w:eastAsia="Calibri"/>
          <w:noProof/>
        </w:rPr>
        <w:t>ure of VET’.</w:t>
      </w:r>
    </w:p>
    <w:p w:rsidR="00620F75" w:rsidRDefault="001F403D">
      <w:pPr>
        <w:pStyle w:val="Heading2"/>
        <w:rPr>
          <w:noProof/>
          <w:lang w:val="en-US"/>
        </w:rPr>
      </w:pPr>
      <w:bookmarkStart w:id="140" w:name="_Toc34039156"/>
      <w:bookmarkStart w:id="141" w:name="_Toc34040456"/>
      <w:bookmarkStart w:id="142" w:name="_Toc34041713"/>
      <w:bookmarkStart w:id="143" w:name="_Toc34042215"/>
      <w:bookmarkStart w:id="144" w:name="_Toc32997318"/>
      <w:bookmarkStart w:id="145" w:name="_Toc43376113"/>
      <w:r>
        <w:rPr>
          <w:noProof/>
          <w:lang w:val="en-US"/>
        </w:rPr>
        <w:t>Vision and actions for modernization of VET at national level</w:t>
      </w:r>
      <w:bookmarkEnd w:id="140"/>
      <w:bookmarkEnd w:id="141"/>
      <w:bookmarkEnd w:id="142"/>
      <w:bookmarkEnd w:id="143"/>
      <w:bookmarkEnd w:id="144"/>
      <w:bookmarkEnd w:id="145"/>
    </w:p>
    <w:p w:rsidR="00620F75" w:rsidRDefault="001F403D">
      <w:pPr>
        <w:rPr>
          <w:noProof/>
          <w:lang w:eastAsia="en-GB"/>
        </w:rPr>
      </w:pPr>
      <w:r>
        <w:rPr>
          <w:noProof/>
          <w:lang w:eastAsia="en-GB"/>
        </w:rPr>
        <w:t xml:space="preserve">The proposal invites Member States to work towards implementing a common </w:t>
      </w:r>
      <w:r>
        <w:rPr>
          <w:b/>
          <w:noProof/>
          <w:color w:val="0B6192"/>
          <w:lang w:eastAsia="en-GB"/>
        </w:rPr>
        <w:t>vision</w:t>
      </w:r>
      <w:r>
        <w:rPr>
          <w:noProof/>
          <w:color w:val="0B6192"/>
          <w:lang w:eastAsia="en-GB"/>
        </w:rPr>
        <w:t xml:space="preserve"> </w:t>
      </w:r>
      <w:r>
        <w:rPr>
          <w:noProof/>
          <w:lang w:eastAsia="en-GB"/>
        </w:rPr>
        <w:t>of vocational education and training. This vision is inspired by the ACVT Opinion on the future of VE</w:t>
      </w:r>
      <w:r>
        <w:rPr>
          <w:noProof/>
          <w:lang w:eastAsia="en-GB"/>
        </w:rPr>
        <w:t xml:space="preserve">T post-2020 and adapted to the current economic and social context. Its main elements are: </w:t>
      </w:r>
    </w:p>
    <w:p w:rsidR="00620F75" w:rsidRDefault="001F403D">
      <w:pPr>
        <w:numPr>
          <w:ilvl w:val="0"/>
          <w:numId w:val="30"/>
        </w:numPr>
        <w:tabs>
          <w:tab w:val="num" w:pos="850"/>
        </w:tabs>
        <w:rPr>
          <w:rFonts w:eastAsia="Calibri"/>
          <w:iCs/>
          <w:noProof/>
        </w:rPr>
      </w:pPr>
      <w:r>
        <w:rPr>
          <w:rFonts w:eastAsia="Calibri"/>
          <w:iCs/>
          <w:noProof/>
        </w:rPr>
        <w:t>equips young people and adults with the skills to thrive in the evolving labour market and society and to manage the recovery, the just transitions to the green and</w:t>
      </w:r>
      <w:r>
        <w:rPr>
          <w:rFonts w:eastAsia="Calibri"/>
          <w:iCs/>
          <w:noProof/>
        </w:rPr>
        <w:t xml:space="preserve"> digital economy in times of demographic change and throughout all economic cycles, </w:t>
      </w:r>
    </w:p>
    <w:p w:rsidR="00620F75" w:rsidRDefault="001F403D">
      <w:pPr>
        <w:numPr>
          <w:ilvl w:val="0"/>
          <w:numId w:val="30"/>
        </w:numPr>
        <w:tabs>
          <w:tab w:val="num" w:pos="360"/>
        </w:tabs>
        <w:rPr>
          <w:rFonts w:eastAsia="Calibri"/>
          <w:iCs/>
          <w:noProof/>
        </w:rPr>
      </w:pPr>
      <w:r>
        <w:rPr>
          <w:rFonts w:eastAsia="Calibri"/>
          <w:iCs/>
          <w:noProof/>
        </w:rPr>
        <w:t>ensures inclusiveness and equal opportunities and contributes to achieving resilience, social fairness and prosperity</w:t>
      </w:r>
      <w:r>
        <w:rPr>
          <w:rFonts w:eastAsia="Calibri"/>
          <w:noProof/>
        </w:rPr>
        <w:t xml:space="preserve"> </w:t>
      </w:r>
      <w:r>
        <w:rPr>
          <w:rFonts w:eastAsia="Calibri"/>
          <w:iCs/>
          <w:noProof/>
        </w:rPr>
        <w:t xml:space="preserve">and </w:t>
      </w:r>
    </w:p>
    <w:p w:rsidR="00620F75" w:rsidRDefault="001F403D">
      <w:pPr>
        <w:numPr>
          <w:ilvl w:val="0"/>
          <w:numId w:val="30"/>
        </w:numPr>
        <w:tabs>
          <w:tab w:val="num" w:pos="360"/>
        </w:tabs>
        <w:rPr>
          <w:rFonts w:eastAsia="Calibri"/>
          <w:iCs/>
          <w:noProof/>
        </w:rPr>
      </w:pPr>
      <w:r>
        <w:rPr>
          <w:rFonts w:eastAsia="Calibri"/>
          <w:iCs/>
          <w:noProof/>
        </w:rPr>
        <w:t>establishes European vocational education and tr</w:t>
      </w:r>
      <w:r>
        <w:rPr>
          <w:rFonts w:eastAsia="Calibri"/>
          <w:iCs/>
          <w:noProof/>
        </w:rPr>
        <w:t>aining as a global reference point for skills development;</w:t>
      </w:r>
    </w:p>
    <w:p w:rsidR="00620F75" w:rsidRDefault="001F403D">
      <w:pPr>
        <w:pStyle w:val="NumPar1"/>
        <w:tabs>
          <w:tab w:val="clear" w:pos="850"/>
        </w:tabs>
        <w:ind w:left="0" w:firstLine="0"/>
        <w:rPr>
          <w:rFonts w:ascii="EC Square Sans Pro" w:hAnsi="EC Square Sans Pro" w:cstheme="minorBidi"/>
          <w:noProof/>
          <w:lang w:eastAsia="en-GB"/>
        </w:rPr>
      </w:pPr>
      <w:r>
        <w:rPr>
          <w:rFonts w:ascii="EC Square Sans Pro" w:hAnsi="EC Square Sans Pro"/>
          <w:noProof/>
        </w:rPr>
        <w:t xml:space="preserve">The proposal further </w:t>
      </w:r>
      <w:r>
        <w:rPr>
          <w:rFonts w:ascii="EC Square Sans Pro" w:hAnsi="EC Square Sans Pro" w:cstheme="minorBidi"/>
          <w:noProof/>
          <w:lang w:eastAsia="en-GB"/>
        </w:rPr>
        <w:t>defines</w:t>
      </w:r>
      <w:r>
        <w:rPr>
          <w:rFonts w:ascii="EC Square Sans Pro" w:hAnsi="EC Square Sans Pro"/>
          <w:noProof/>
        </w:rPr>
        <w:t xml:space="preserve"> a number of actions to be taken by Member States to implement the above</w:t>
      </w:r>
      <w:r>
        <w:rPr>
          <w:rFonts w:ascii="EC Square Sans Pro" w:hAnsi="EC Square Sans Pro" w:cstheme="minorBidi"/>
          <w:noProof/>
          <w:lang w:eastAsia="en-GB"/>
        </w:rPr>
        <w:t>-</w:t>
      </w:r>
      <w:r>
        <w:rPr>
          <w:rFonts w:ascii="EC Square Sans Pro" w:hAnsi="EC Square Sans Pro"/>
          <w:noProof/>
        </w:rPr>
        <w:t>mentioned vision</w:t>
      </w:r>
      <w:r>
        <w:rPr>
          <w:rFonts w:ascii="EC Square Sans Pro" w:hAnsi="EC Square Sans Pro" w:cstheme="minorBidi"/>
          <w:noProof/>
          <w:lang w:eastAsia="en-GB"/>
        </w:rPr>
        <w:t xml:space="preserve"> and work towards achieving by 2025 the following objectives which are part of r</w:t>
      </w:r>
      <w:r>
        <w:rPr>
          <w:rFonts w:ascii="EC Square Sans Pro" w:hAnsi="EC Square Sans Pro" w:cstheme="minorBidi"/>
          <w:noProof/>
          <w:lang w:eastAsia="en-GB"/>
        </w:rPr>
        <w:t>elevant European monitoring frameworks, including in the area of education and training and social and employment policies:</w:t>
      </w:r>
    </w:p>
    <w:p w:rsidR="00620F75" w:rsidRDefault="001F403D">
      <w:pPr>
        <w:pStyle w:val="Bullet0"/>
        <w:rPr>
          <w:rFonts w:ascii="EC Square Sans Pro" w:hAnsi="EC Square Sans Pro"/>
          <w:b/>
          <w:noProof/>
        </w:rPr>
      </w:pPr>
      <w:r>
        <w:rPr>
          <w:rFonts w:ascii="EC Square Sans Pro" w:hAnsi="EC Square Sans Pro"/>
          <w:b/>
          <w:noProof/>
        </w:rPr>
        <w:t>the share of recent employed graduates should be at least 82%</w:t>
      </w:r>
      <w:r>
        <w:rPr>
          <w:rFonts w:ascii="EC Square Sans Pro" w:hAnsi="EC Square Sans Pro"/>
          <w:b/>
          <w:noProof/>
          <w:vertAlign w:val="superscript"/>
        </w:rPr>
        <w:footnoteReference w:id="62"/>
      </w:r>
      <w:r>
        <w:rPr>
          <w:rFonts w:ascii="EC Square Sans Pro" w:hAnsi="EC Square Sans Pro"/>
          <w:b/>
          <w:noProof/>
        </w:rPr>
        <w:t xml:space="preserve">; </w:t>
      </w:r>
    </w:p>
    <w:p w:rsidR="00620F75" w:rsidRDefault="001F403D">
      <w:pPr>
        <w:pStyle w:val="Bullet0"/>
        <w:rPr>
          <w:rFonts w:ascii="EC Square Sans Pro" w:hAnsi="EC Square Sans Pro"/>
          <w:b/>
          <w:bCs/>
          <w:noProof/>
        </w:rPr>
      </w:pPr>
      <w:r>
        <w:rPr>
          <w:rFonts w:ascii="EC Square Sans Pro" w:hAnsi="EC Square Sans Pro"/>
          <w:b/>
          <w:bCs/>
          <w:noProof/>
        </w:rPr>
        <w:t>60% of recent graduates</w:t>
      </w:r>
      <w:r>
        <w:rPr>
          <w:rFonts w:ascii="EC Square Sans Pro" w:hAnsi="EC Square Sans Pro"/>
          <w:b/>
          <w:noProof/>
        </w:rPr>
        <w:t xml:space="preserve"> from VET</w:t>
      </w:r>
      <w:r>
        <w:rPr>
          <w:rFonts w:ascii="EC Square Sans Pro" w:hAnsi="EC Square Sans Pro"/>
          <w:noProof/>
        </w:rPr>
        <w:t xml:space="preserve"> </w:t>
      </w:r>
      <w:r>
        <w:rPr>
          <w:rFonts w:ascii="EC Square Sans Pro" w:hAnsi="EC Square Sans Pro"/>
          <w:b/>
          <w:bCs/>
          <w:noProof/>
        </w:rPr>
        <w:t xml:space="preserve">benefit from exposure to </w:t>
      </w:r>
      <w:r>
        <w:rPr>
          <w:rFonts w:ascii="EC Square Sans Pro" w:hAnsi="EC Square Sans Pro"/>
          <w:b/>
          <w:bCs/>
          <w:noProof/>
        </w:rPr>
        <w:t>work-based learning</w:t>
      </w:r>
      <w:r>
        <w:rPr>
          <w:rFonts w:ascii="EC Square Sans Pro" w:hAnsi="EC Square Sans Pro"/>
          <w:noProof/>
        </w:rPr>
        <w:t xml:space="preserve"> during their vocational education and training</w:t>
      </w:r>
      <w:r>
        <w:rPr>
          <w:rFonts w:ascii="EC Square Sans Pro" w:hAnsi="EC Square Sans Pro"/>
          <w:noProof/>
          <w:vertAlign w:val="superscript"/>
        </w:rPr>
        <w:footnoteReference w:id="63"/>
      </w:r>
      <w:r>
        <w:rPr>
          <w:rFonts w:ascii="EC Square Sans Pro" w:hAnsi="EC Square Sans Pro"/>
          <w:noProof/>
        </w:rPr>
        <w:t>. This objective refers to all forms of work based learning, and will thereby contribute to increased apprenticeship opportunities which can be supported with the Youth Guarantee;</w:t>
      </w:r>
    </w:p>
    <w:p w:rsidR="00620F75" w:rsidRDefault="001F403D">
      <w:pPr>
        <w:pStyle w:val="Bullet0"/>
        <w:rPr>
          <w:rFonts w:ascii="EC Square Sans Pro" w:hAnsi="EC Square Sans Pro"/>
          <w:b/>
          <w:noProof/>
        </w:rPr>
      </w:pPr>
      <w:r>
        <w:rPr>
          <w:rFonts w:ascii="EC Square Sans Pro" w:hAnsi="EC Square Sans Pro"/>
          <w:b/>
          <w:noProof/>
        </w:rPr>
        <w:t>8% of lea</w:t>
      </w:r>
      <w:r>
        <w:rPr>
          <w:rFonts w:ascii="EC Square Sans Pro" w:hAnsi="EC Square Sans Pro"/>
          <w:b/>
          <w:noProof/>
        </w:rPr>
        <w:t>rners in VET benefit from a learning mobility abroad</w:t>
      </w:r>
      <w:r>
        <w:rPr>
          <w:rFonts w:ascii="EC Square Sans Pro" w:hAnsi="EC Square Sans Pro"/>
          <w:b/>
          <w:bCs/>
          <w:noProof/>
          <w:vertAlign w:val="superscript"/>
        </w:rPr>
        <w:footnoteReference w:id="64"/>
      </w:r>
      <w:r>
        <w:rPr>
          <w:rFonts w:ascii="EC Square Sans Pro" w:hAnsi="EC Square Sans Pro"/>
          <w:b/>
          <w:noProof/>
        </w:rPr>
        <w:t xml:space="preserve"> </w:t>
      </w:r>
    </w:p>
    <w:p w:rsidR="00620F75" w:rsidRDefault="001F403D">
      <w:pPr>
        <w:rPr>
          <w:noProof/>
          <w:lang w:eastAsia="en-GB"/>
        </w:rPr>
      </w:pPr>
      <w:r>
        <w:rPr>
          <w:noProof/>
          <w:lang w:eastAsia="en-GB"/>
        </w:rPr>
        <w:t xml:space="preserve">The actions are structured in </w:t>
      </w:r>
      <w:r>
        <w:rPr>
          <w:b/>
          <w:noProof/>
          <w:lang w:eastAsia="en-GB"/>
        </w:rPr>
        <w:t>seven clusters</w:t>
      </w:r>
      <w:r>
        <w:rPr>
          <w:noProof/>
          <w:lang w:eastAsia="en-GB"/>
        </w:rPr>
        <w:t xml:space="preserve">. </w:t>
      </w:r>
    </w:p>
    <w:p w:rsidR="00620F75" w:rsidRDefault="001F403D">
      <w:pPr>
        <w:numPr>
          <w:ilvl w:val="0"/>
          <w:numId w:val="59"/>
        </w:numPr>
        <w:spacing w:after="120"/>
        <w:rPr>
          <w:rFonts w:cs="Times New Roman"/>
          <w:b/>
          <w:i/>
          <w:iCs/>
          <w:noProof/>
          <w:lang w:bidi="en-US"/>
        </w:rPr>
      </w:pPr>
      <w:r>
        <w:rPr>
          <w:rFonts w:cs="Times New Roman"/>
          <w:b/>
          <w:i/>
          <w:iCs/>
          <w:noProof/>
          <w:lang w:bidi="en-US"/>
        </w:rPr>
        <w:lastRenderedPageBreak/>
        <w:t xml:space="preserve">Vocational education and training is agile in adapting to dynamic labour market changes </w:t>
      </w:r>
    </w:p>
    <w:p w:rsidR="00620F75" w:rsidRDefault="001F403D">
      <w:pPr>
        <w:widowControl w:val="0"/>
        <w:tabs>
          <w:tab w:val="left" w:pos="710"/>
        </w:tabs>
        <w:spacing w:after="120"/>
        <w:rPr>
          <w:rFonts w:eastAsia="Times New Roman" w:cs="Times New Roman"/>
          <w:noProof/>
          <w:lang w:eastAsia="en-GB"/>
        </w:rPr>
      </w:pPr>
      <w:r>
        <w:rPr>
          <w:rFonts w:eastAsia="Times New Roman" w:cs="Times New Roman"/>
          <w:noProof/>
          <w:lang w:eastAsia="en-GB"/>
        </w:rPr>
        <w:t>The impact of the COVID-19 pandemic on the EU’s economy, rapid technological developments, digitalisation, the transition to a resource-efficient, circular and climate-neutral economy, new business models and new forms of work organisation accelerate chang</w:t>
      </w:r>
      <w:r>
        <w:rPr>
          <w:rFonts w:eastAsia="Times New Roman" w:cs="Times New Roman"/>
          <w:noProof/>
          <w:lang w:eastAsia="en-GB"/>
        </w:rPr>
        <w:t xml:space="preserve">es in the skills required by the labour market. Member States need to put in place </w:t>
      </w:r>
      <w:r>
        <w:rPr>
          <w:rFonts w:eastAsia="Times New Roman" w:cs="Times New Roman"/>
          <w:b/>
          <w:bCs/>
          <w:noProof/>
          <w:lang w:eastAsia="en-GB"/>
        </w:rPr>
        <w:t>appropriate frameworks and measures to ensure that VET is resilient and can respond swiftly to changing labour market demands.</w:t>
      </w:r>
      <w:r>
        <w:rPr>
          <w:rFonts w:eastAsia="Times New Roman" w:cs="Times New Roman"/>
          <w:noProof/>
          <w:lang w:eastAsia="en-GB"/>
        </w:rPr>
        <w:t xml:space="preserve"> Better skills anticipation and graduate tracki</w:t>
      </w:r>
      <w:r>
        <w:rPr>
          <w:rFonts w:eastAsia="Times New Roman" w:cs="Times New Roman"/>
          <w:noProof/>
          <w:lang w:eastAsia="en-GB"/>
        </w:rPr>
        <w:t>ng mechanisms are needed to respond to the changes in economic sectors and occupations and to adapt accordingly the content of vocational education and training. A decisive element is the speed at which this adaptation is taking place. Levels of autonomy a</w:t>
      </w:r>
      <w:r>
        <w:rPr>
          <w:rFonts w:eastAsia="Times New Roman" w:cs="Times New Roman"/>
          <w:noProof/>
          <w:lang w:eastAsia="en-GB"/>
        </w:rPr>
        <w:t>nd funding which facilitate fast VET providers’ responses to evolving skills needs are needed. VET prepares people for specific occupations. At the same time, l</w:t>
      </w:r>
      <w:r>
        <w:rPr>
          <w:rFonts w:eastAsia="Times New Roman" w:cs="Times New Roman"/>
          <w:noProof/>
          <w:lang w:bidi="en-US"/>
        </w:rPr>
        <w:t xml:space="preserve">earning content for both young and adults needs to strike a balance between key competences and </w:t>
      </w:r>
      <w:r>
        <w:rPr>
          <w:rFonts w:eastAsia="Times New Roman" w:cs="Times New Roman"/>
          <w:noProof/>
          <w:lang w:bidi="en-US"/>
        </w:rPr>
        <w:t>more occupation-specific skills</w:t>
      </w:r>
      <w:r>
        <w:rPr>
          <w:rFonts w:eastAsia="Times New Roman" w:cs="Times New Roman"/>
          <w:noProof/>
          <w:lang w:eastAsia="en-GB"/>
        </w:rPr>
        <w:t xml:space="preserve">. </w:t>
      </w:r>
    </w:p>
    <w:p w:rsidR="00620F75" w:rsidRDefault="001F403D">
      <w:pPr>
        <w:widowControl w:val="0"/>
        <w:tabs>
          <w:tab w:val="left" w:pos="710"/>
        </w:tabs>
        <w:spacing w:after="120"/>
        <w:rPr>
          <w:rFonts w:eastAsia="Times New Roman" w:cs="Times New Roman"/>
          <w:noProof/>
          <w:lang w:eastAsia="en-GB"/>
        </w:rPr>
      </w:pPr>
      <w:r>
        <w:rPr>
          <w:rFonts w:eastAsia="Times New Roman" w:cs="Times New Roman"/>
          <w:b/>
          <w:bCs/>
          <w:noProof/>
          <w:lang w:eastAsia="en-GB"/>
        </w:rPr>
        <w:t>Work-based learning and apprenticeships, in particular,</w:t>
      </w:r>
      <w:r>
        <w:rPr>
          <w:rFonts w:eastAsia="Times New Roman" w:cs="Times New Roman"/>
          <w:noProof/>
          <w:lang w:eastAsia="en-GB"/>
        </w:rPr>
        <w:t xml:space="preserve"> are effective approaches to ensure labour market relevance of VET. In times of recession, small companies might not be able to provide apprenticeship places. A strong</w:t>
      </w:r>
      <w:r>
        <w:rPr>
          <w:rFonts w:eastAsia="Times New Roman" w:cs="Times New Roman"/>
          <w:noProof/>
          <w:lang w:eastAsia="en-GB"/>
        </w:rPr>
        <w:t>er preventive approach and a reinforced focus of the Youth Guarantee on apprenticeships as well as appropriate support measures, in a form of inter-company training centres or expansion of digital training tools, can ensure a stable supply of apprenticeshi</w:t>
      </w:r>
      <w:r>
        <w:rPr>
          <w:rFonts w:eastAsia="Times New Roman" w:cs="Times New Roman"/>
          <w:noProof/>
          <w:lang w:eastAsia="en-GB"/>
        </w:rPr>
        <w:t>ps also during unfavourable economic conditions.</w:t>
      </w:r>
    </w:p>
    <w:p w:rsidR="00620F75" w:rsidRDefault="001F403D">
      <w:pPr>
        <w:numPr>
          <w:ilvl w:val="0"/>
          <w:numId w:val="59"/>
        </w:numPr>
        <w:spacing w:after="120"/>
        <w:rPr>
          <w:rFonts w:cs="Times New Roman"/>
          <w:b/>
          <w:i/>
          <w:iCs/>
          <w:noProof/>
          <w:lang w:bidi="en-US"/>
        </w:rPr>
      </w:pPr>
      <w:r>
        <w:rPr>
          <w:rFonts w:cs="Times New Roman"/>
          <w:b/>
          <w:i/>
          <w:iCs/>
          <w:noProof/>
          <w:lang w:bidi="en-US"/>
        </w:rPr>
        <w:t xml:space="preserve">Flexibility and progression opportunities are at the core of vocational education and training </w:t>
      </w:r>
    </w:p>
    <w:p w:rsidR="00620F75" w:rsidRDefault="001F403D">
      <w:pPr>
        <w:widowControl w:val="0"/>
        <w:tabs>
          <w:tab w:val="left" w:pos="710"/>
        </w:tabs>
        <w:rPr>
          <w:rFonts w:eastAsia="Times New Roman"/>
          <w:noProof/>
          <w:lang w:eastAsia="en-GB"/>
        </w:rPr>
      </w:pPr>
      <w:r>
        <w:rPr>
          <w:rFonts w:eastAsia="Times New Roman"/>
          <w:noProof/>
          <w:lang w:eastAsia="en-GB"/>
        </w:rPr>
        <w:t xml:space="preserve">Flexibility and opportunities to progress within education and training sectors and between them are key elements of future-fit VET systems. Furthermore, ensuring that VET programmes </w:t>
      </w:r>
      <w:r>
        <w:rPr>
          <w:noProof/>
          <w:lang w:bidi="en-US"/>
        </w:rPr>
        <w:t xml:space="preserve">are </w:t>
      </w:r>
      <w:r>
        <w:rPr>
          <w:b/>
          <w:bCs/>
          <w:noProof/>
          <w:lang w:bidi="en-US"/>
        </w:rPr>
        <w:t>personalised and learner centred</w:t>
      </w:r>
      <w:r>
        <w:rPr>
          <w:noProof/>
          <w:lang w:bidi="en-US"/>
        </w:rPr>
        <w:t xml:space="preserve">, is essential for ensuring a strong </w:t>
      </w:r>
      <w:r>
        <w:rPr>
          <w:noProof/>
          <w:lang w:bidi="en-US"/>
        </w:rPr>
        <w:t xml:space="preserve">engagement of the learners and attractiveness of VET pathways leading to increased employability. </w:t>
      </w:r>
    </w:p>
    <w:p w:rsidR="00620F75" w:rsidRDefault="001F403D">
      <w:pPr>
        <w:widowControl w:val="0"/>
        <w:tabs>
          <w:tab w:val="left" w:pos="710"/>
        </w:tabs>
        <w:rPr>
          <w:rFonts w:eastAsia="Times New Roman"/>
          <w:noProof/>
          <w:lang w:eastAsia="en-GB"/>
        </w:rPr>
      </w:pPr>
      <w:r>
        <w:rPr>
          <w:rFonts w:eastAsia="Times New Roman"/>
          <w:b/>
          <w:bCs/>
          <w:noProof/>
          <w:lang w:eastAsia="en-GB"/>
        </w:rPr>
        <w:t>Modularisation</w:t>
      </w:r>
      <w:r>
        <w:rPr>
          <w:rFonts w:eastAsia="Times New Roman"/>
          <w:noProof/>
          <w:lang w:eastAsia="en-GB"/>
        </w:rPr>
        <w:t xml:space="preserve"> – breaking vocational qualifications into smaller parts of learning outcomes – is the way to flexibly update the content and to customise it t</w:t>
      </w:r>
      <w:r>
        <w:rPr>
          <w:rFonts w:eastAsia="Times New Roman"/>
          <w:noProof/>
          <w:lang w:eastAsia="en-GB"/>
        </w:rPr>
        <w:t xml:space="preserve">o the needs of individuals. Validation of learning outcomes acquired in non-formal and informal learning will facilitate up- and reskilling, leading not only to full qualifications, but to micro-credentials or partial qualifications. </w:t>
      </w:r>
    </w:p>
    <w:p w:rsidR="00620F75" w:rsidRDefault="001F403D">
      <w:pPr>
        <w:numPr>
          <w:ilvl w:val="0"/>
          <w:numId w:val="59"/>
        </w:numPr>
        <w:spacing w:after="120"/>
        <w:rPr>
          <w:rFonts w:cs="Times New Roman"/>
          <w:b/>
          <w:i/>
          <w:iCs/>
          <w:noProof/>
          <w:lang w:bidi="en-US"/>
        </w:rPr>
      </w:pPr>
      <w:r>
        <w:rPr>
          <w:rFonts w:cs="Times New Roman"/>
          <w:b/>
          <w:i/>
          <w:iCs/>
          <w:noProof/>
          <w:lang w:bidi="en-US"/>
        </w:rPr>
        <w:t xml:space="preserve">Vocational education </w:t>
      </w:r>
      <w:r>
        <w:rPr>
          <w:rFonts w:cs="Times New Roman"/>
          <w:b/>
          <w:i/>
          <w:iCs/>
          <w:noProof/>
          <w:lang w:bidi="en-US"/>
        </w:rPr>
        <w:t>and training is a driver for innovation and growth and prepares for the digital and green transitions and prepares for occupations in high demand</w:t>
      </w:r>
    </w:p>
    <w:p w:rsidR="00620F75" w:rsidRDefault="001F403D">
      <w:pPr>
        <w:rPr>
          <w:rFonts w:eastAsia="Times New Roman"/>
          <w:noProof/>
          <w:lang w:bidi="en-US"/>
        </w:rPr>
      </w:pPr>
      <w:r>
        <w:rPr>
          <w:rFonts w:eastAsia="Times New Roman"/>
          <w:noProof/>
          <w:lang w:bidi="en-US"/>
        </w:rPr>
        <w:t xml:space="preserve">Responsiveness of VET to structural changes can be enhanced by a more proactive approach of </w:t>
      </w:r>
      <w:r>
        <w:rPr>
          <w:rFonts w:eastAsia="Times New Roman"/>
          <w:b/>
          <w:bCs/>
          <w:noProof/>
          <w:lang w:bidi="en-US"/>
        </w:rPr>
        <w:t>linking VET more s</w:t>
      </w:r>
      <w:r>
        <w:rPr>
          <w:rFonts w:eastAsia="Times New Roman"/>
          <w:b/>
          <w:bCs/>
          <w:noProof/>
          <w:lang w:bidi="en-US"/>
        </w:rPr>
        <w:t>trategically to forward-looking economic strategies, entrepreneurial and innovation ecosystems</w:t>
      </w:r>
      <w:r>
        <w:rPr>
          <w:rFonts w:eastAsia="Times New Roman"/>
          <w:noProof/>
          <w:lang w:bidi="en-US"/>
        </w:rPr>
        <w:t>. It is a way of not only reacting to changes which are already happening but co-creating economic and societal transitions – notably in the current context of re</w:t>
      </w:r>
      <w:r>
        <w:rPr>
          <w:rFonts w:eastAsia="Times New Roman"/>
          <w:noProof/>
          <w:lang w:bidi="en-US"/>
        </w:rPr>
        <w:t xml:space="preserve">covery, focus on strategic industrial ecosystems (health, pharmaceuticals and others), and a resource-efficient, circular, climate-neutral and digital economy. This has potential to reduce the response time of adaptation of VET curricula. </w:t>
      </w:r>
    </w:p>
    <w:p w:rsidR="00620F75" w:rsidRDefault="001F403D">
      <w:pPr>
        <w:rPr>
          <w:rFonts w:eastAsia="Times New Roman"/>
          <w:noProof/>
          <w:lang w:bidi="en-US"/>
        </w:rPr>
      </w:pPr>
      <w:r>
        <w:rPr>
          <w:rFonts w:eastAsia="Times New Roman"/>
          <w:noProof/>
          <w:lang w:bidi="en-US"/>
        </w:rPr>
        <w:t>Member States sh</w:t>
      </w:r>
      <w:r>
        <w:rPr>
          <w:rFonts w:eastAsia="Times New Roman"/>
          <w:noProof/>
          <w:lang w:bidi="en-US"/>
        </w:rPr>
        <w:t xml:space="preserve">ould continue to implement </w:t>
      </w:r>
      <w:r>
        <w:rPr>
          <w:rFonts w:eastAsia="Times New Roman"/>
          <w:b/>
          <w:bCs/>
          <w:noProof/>
          <w:lang w:bidi="en-US"/>
        </w:rPr>
        <w:t>VET excellence</w:t>
      </w:r>
      <w:r>
        <w:rPr>
          <w:rFonts w:eastAsia="Times New Roman"/>
          <w:noProof/>
          <w:lang w:bidi="en-US"/>
        </w:rPr>
        <w:t xml:space="preserve"> approaches that foster integration of VET in skills ecosystems, in smart specialisation strategies, National Skills </w:t>
      </w:r>
      <w:r>
        <w:rPr>
          <w:rFonts w:eastAsia="Times New Roman"/>
          <w:noProof/>
          <w:lang w:bidi="en-US"/>
        </w:rPr>
        <w:lastRenderedPageBreak/>
        <w:t>Strategies, innovation systems, circular economy strategies, renovation initiatives or National En</w:t>
      </w:r>
      <w:r>
        <w:rPr>
          <w:rFonts w:eastAsia="Times New Roman"/>
          <w:noProof/>
          <w:lang w:bidi="en-US"/>
        </w:rPr>
        <w:t>ergy and Climate Plans. Development of VET at higher qualification levels and supporting entrepreneurship and start-ups are important elements of the required response.</w:t>
      </w:r>
      <w:r>
        <w:rPr>
          <w:rFonts w:asciiTheme="minorHAnsi" w:hAnsiTheme="minorHAnsi"/>
          <w:noProof/>
          <w:sz w:val="22"/>
        </w:rPr>
        <w:t xml:space="preserve"> </w:t>
      </w:r>
      <w:r>
        <w:rPr>
          <w:rFonts w:eastAsia="Times New Roman"/>
          <w:noProof/>
          <w:lang w:bidi="en-US"/>
        </w:rPr>
        <w:t>This should be coupled with complementary structural policy measures that can help make</w:t>
      </w:r>
      <w:r>
        <w:rPr>
          <w:rFonts w:eastAsia="Times New Roman"/>
          <w:noProof/>
          <w:lang w:bidi="en-US"/>
        </w:rPr>
        <w:t xml:space="preserve"> business environments more attractive, foster investment and diffusion of innovation. </w:t>
      </w:r>
      <w:r>
        <w:rPr>
          <w:rFonts w:eastAsia="Times New Roman"/>
          <w:b/>
          <w:bCs/>
          <w:noProof/>
          <w:lang w:bidi="en-US"/>
        </w:rPr>
        <w:t>Centres of Vocational Excellence</w:t>
      </w:r>
      <w:r>
        <w:rPr>
          <w:rFonts w:eastAsia="Times New Roman"/>
          <w:noProof/>
          <w:lang w:bidi="en-US"/>
        </w:rPr>
        <w:t xml:space="preserve"> connected via a transnational European framework can be an effective tool to drive skills development to foster transition from sectors </w:t>
      </w:r>
      <w:r>
        <w:rPr>
          <w:rFonts w:eastAsia="Times New Roman"/>
          <w:noProof/>
          <w:lang w:bidi="en-US"/>
        </w:rPr>
        <w:t xml:space="preserve">that are in decline to new growing sectors and to embed green and digital skills (e.g. building on the EU Digital Competence Framework for Citizens, and the European e-Competence Framework for ICT professionals) in a vocational context. </w:t>
      </w:r>
    </w:p>
    <w:p w:rsidR="00620F75" w:rsidRDefault="001F403D">
      <w:pPr>
        <w:rPr>
          <w:rFonts w:eastAsia="Times New Roman"/>
          <w:noProof/>
          <w:lang w:bidi="en-US"/>
        </w:rPr>
      </w:pPr>
      <w:r>
        <w:rPr>
          <w:rFonts w:eastAsia="Times New Roman"/>
          <w:b/>
          <w:bCs/>
          <w:noProof/>
          <w:lang w:bidi="en-US"/>
        </w:rPr>
        <w:t>Greening the VET s</w:t>
      </w:r>
      <w:r>
        <w:rPr>
          <w:rFonts w:eastAsia="Times New Roman"/>
          <w:b/>
          <w:bCs/>
          <w:noProof/>
          <w:lang w:bidi="en-US"/>
        </w:rPr>
        <w:t>ector</w:t>
      </w:r>
      <w:r>
        <w:rPr>
          <w:rFonts w:eastAsia="Times New Roman"/>
          <w:noProof/>
          <w:lang w:bidi="en-US"/>
        </w:rPr>
        <w:t xml:space="preserve"> requires first and foremost a greening of the VET programmes, curricula and content, but also managing the VET institutions with due attention paid to environmental footprint. This requires support for VET institutions in adapting their programmes, b</w:t>
      </w:r>
      <w:r>
        <w:rPr>
          <w:rFonts w:eastAsia="Times New Roman"/>
          <w:noProof/>
          <w:lang w:bidi="en-US"/>
        </w:rPr>
        <w:t xml:space="preserve">ut also infrastructure and technology in line with sustainability requirements, contributing thus also to the implementation of the Sustainable Development Goals, for example by helping to provide the skills needed for the Renovation Wave. Furthermore, as </w:t>
      </w:r>
      <w:r>
        <w:rPr>
          <w:rFonts w:eastAsia="Times New Roman"/>
          <w:noProof/>
          <w:lang w:bidi="en-US"/>
        </w:rPr>
        <w:t>also illustrated by the COVID crisis, VET institutions need to embrace digitalisation and to have a clear digital strategy that addresses multiple dimensions: provision of digital learning content, pedagogical approaches in digital learning, but also bette</w:t>
      </w:r>
      <w:r>
        <w:rPr>
          <w:rFonts w:eastAsia="Times New Roman"/>
          <w:noProof/>
          <w:lang w:bidi="en-US"/>
        </w:rPr>
        <w:t>r use of data for following learners progression, developing tailored approaches and skills forecasting.</w:t>
      </w:r>
    </w:p>
    <w:p w:rsidR="00620F75" w:rsidRDefault="00620F75">
      <w:pPr>
        <w:spacing w:after="120"/>
        <w:rPr>
          <w:rFonts w:eastAsia="Times New Roman" w:cs="Times New Roman"/>
          <w:noProof/>
          <w:lang w:bidi="en-US"/>
        </w:rPr>
      </w:pPr>
    </w:p>
    <w:p w:rsidR="00620F75" w:rsidRDefault="001F403D">
      <w:pPr>
        <w:numPr>
          <w:ilvl w:val="0"/>
          <w:numId w:val="59"/>
        </w:numPr>
        <w:spacing w:after="120"/>
        <w:rPr>
          <w:rFonts w:cs="Times New Roman"/>
          <w:b/>
          <w:i/>
          <w:iCs/>
          <w:noProof/>
          <w:lang w:bidi="en-US"/>
        </w:rPr>
      </w:pPr>
      <w:r>
        <w:rPr>
          <w:rFonts w:cs="Times New Roman"/>
          <w:b/>
          <w:i/>
          <w:iCs/>
          <w:noProof/>
          <w:lang w:bidi="en-US"/>
        </w:rPr>
        <w:t>Vocational education and training is attractive and based on modern and digitalised provision of training/skills</w:t>
      </w:r>
    </w:p>
    <w:p w:rsidR="00620F75" w:rsidRDefault="001F403D">
      <w:pPr>
        <w:rPr>
          <w:rFonts w:eastAsia="Times New Roman"/>
          <w:noProof/>
          <w:lang w:bidi="en-US"/>
        </w:rPr>
      </w:pPr>
      <w:r>
        <w:rPr>
          <w:rFonts w:eastAsia="Times New Roman"/>
          <w:noProof/>
          <w:lang w:bidi="en-US"/>
        </w:rPr>
        <w:t>VET still faces a challenge of low at</w:t>
      </w:r>
      <w:r>
        <w:rPr>
          <w:rFonts w:eastAsia="Times New Roman"/>
          <w:noProof/>
          <w:lang w:bidi="en-US"/>
        </w:rPr>
        <w:t xml:space="preserve">tractiveness for learners and companies in most Member States. This means that more efforts are needed in </w:t>
      </w:r>
      <w:r>
        <w:rPr>
          <w:rFonts w:eastAsia="Times New Roman"/>
          <w:b/>
          <w:bCs/>
          <w:noProof/>
          <w:lang w:bidi="en-US"/>
        </w:rPr>
        <w:t>increasing attractiveness of VET</w:t>
      </w:r>
      <w:r>
        <w:rPr>
          <w:rFonts w:eastAsia="Times New Roman"/>
          <w:noProof/>
          <w:lang w:bidi="en-US"/>
        </w:rPr>
        <w:t xml:space="preserve"> by innovating and modernising VET, notably in terms of new learning environments, tools and pedagogies, with a specia</w:t>
      </w:r>
      <w:r>
        <w:rPr>
          <w:rFonts w:eastAsia="Times New Roman"/>
          <w:noProof/>
          <w:lang w:bidi="en-US"/>
        </w:rPr>
        <w:t>l focus on digitalisation. ICT based simulator, virtual and augmented reality tools have the potential to significant modernise and innovate VET provision, increase its efficiency and accessibility compared to expensive physical equipment. This can be part</w:t>
      </w:r>
      <w:r>
        <w:rPr>
          <w:rFonts w:eastAsia="Times New Roman"/>
          <w:noProof/>
          <w:lang w:bidi="en-US"/>
        </w:rPr>
        <w:t xml:space="preserve">icular beneficial for small companies and apprenticeships organised in small and medium-sized companies. </w:t>
      </w:r>
    </w:p>
    <w:p w:rsidR="00620F75" w:rsidRDefault="001F403D">
      <w:pPr>
        <w:rPr>
          <w:rFonts w:eastAsia="Times New Roman"/>
          <w:noProof/>
          <w:lang w:bidi="en-US"/>
        </w:rPr>
      </w:pPr>
      <w:r>
        <w:rPr>
          <w:rFonts w:eastAsia="Times New Roman"/>
          <w:noProof/>
          <w:lang w:bidi="en-US"/>
        </w:rPr>
        <w:t>New types of skills can be acquired through collaborative teaching, inter-disciplinary and project-based learning. Another aspect of attractiveness is</w:t>
      </w:r>
      <w:r>
        <w:rPr>
          <w:rFonts w:eastAsia="Times New Roman"/>
          <w:noProof/>
          <w:lang w:bidi="en-US"/>
        </w:rPr>
        <w:t xml:space="preserve"> </w:t>
      </w:r>
      <w:r>
        <w:rPr>
          <w:rFonts w:eastAsia="Times New Roman"/>
          <w:b/>
          <w:bCs/>
          <w:noProof/>
          <w:lang w:bidi="en-US"/>
        </w:rPr>
        <w:t>permeability</w:t>
      </w:r>
      <w:r>
        <w:rPr>
          <w:rFonts w:eastAsia="Times New Roman"/>
          <w:noProof/>
          <w:lang w:bidi="en-US"/>
        </w:rPr>
        <w:t>: education and training systems should enable vertical and horizontal pathways between VET, general school education, higher education and adult education. Higher VET programmes should be further expanded to support increased needs for advanc</w:t>
      </w:r>
      <w:r>
        <w:rPr>
          <w:rFonts w:eastAsia="Times New Roman"/>
          <w:noProof/>
          <w:lang w:bidi="en-US"/>
        </w:rPr>
        <w:t>ed vocational skills. High quality guidance services have potential to increase attractiveness of VET as well.</w:t>
      </w:r>
    </w:p>
    <w:p w:rsidR="00620F75" w:rsidRDefault="001F403D">
      <w:pPr>
        <w:rPr>
          <w:rFonts w:eastAsia="Times New Roman"/>
          <w:noProof/>
          <w:lang w:bidi="en-US"/>
        </w:rPr>
      </w:pPr>
      <w:r>
        <w:rPr>
          <w:rFonts w:eastAsia="Times New Roman"/>
          <w:b/>
          <w:bCs/>
          <w:noProof/>
          <w:lang w:bidi="en-US"/>
        </w:rPr>
        <w:t>Internationalisation, transnational mobility</w:t>
      </w:r>
      <w:r>
        <w:rPr>
          <w:rFonts w:eastAsia="Times New Roman"/>
          <w:noProof/>
          <w:lang w:bidi="en-US"/>
        </w:rPr>
        <w:t>, including virtual skills competitions</w:t>
      </w:r>
      <w:r>
        <w:rPr>
          <w:rStyle w:val="FootnoteReference"/>
          <w:rFonts w:eastAsia="Times New Roman"/>
          <w:noProof/>
          <w:lang w:bidi="en-US"/>
        </w:rPr>
        <w:footnoteReference w:id="65"/>
      </w:r>
      <w:r>
        <w:rPr>
          <w:rFonts w:eastAsia="Times New Roman"/>
          <w:noProof/>
          <w:lang w:bidi="en-US"/>
        </w:rPr>
        <w:t>, strong links with the other education and training sectors,</w:t>
      </w:r>
      <w:r>
        <w:rPr>
          <w:rFonts w:eastAsia="Times New Roman"/>
          <w:noProof/>
          <w:lang w:bidi="en-US"/>
        </w:rPr>
        <w:t xml:space="preserve"> research and labour market actors are key to innovate how VET is designed and delivered. </w:t>
      </w:r>
    </w:p>
    <w:p w:rsidR="00620F75" w:rsidRDefault="001F403D">
      <w:pPr>
        <w:pStyle w:val="NumPar1"/>
        <w:tabs>
          <w:tab w:val="clear" w:pos="850"/>
        </w:tabs>
        <w:ind w:left="0" w:firstLine="0"/>
        <w:rPr>
          <w:rFonts w:ascii="EC Square Sans Pro" w:eastAsia="Times New Roman" w:hAnsi="EC Square Sans Pro"/>
          <w:noProof/>
          <w:lang w:bidi="en-US"/>
        </w:rPr>
      </w:pPr>
      <w:r>
        <w:rPr>
          <w:rFonts w:ascii="EC Square Sans Pro" w:eastAsia="Times New Roman" w:hAnsi="EC Square Sans Pro"/>
          <w:b/>
          <w:bCs/>
          <w:noProof/>
          <w:lang w:bidi="en-US"/>
        </w:rPr>
        <w:lastRenderedPageBreak/>
        <w:t>Increased quality of VET</w:t>
      </w:r>
      <w:r>
        <w:rPr>
          <w:rFonts w:ascii="EC Square Sans Pro" w:eastAsia="Times New Roman" w:hAnsi="EC Square Sans Pro"/>
          <w:noProof/>
          <w:lang w:bidi="en-US"/>
        </w:rPr>
        <w:t xml:space="preserve"> will only be possible with well-trained and motivated teachers and trainers. Staff in VET needs to be supported in developing skills and providing tools to master new technologies, to work in multicultural environments and understand changing labour marke</w:t>
      </w:r>
      <w:r>
        <w:rPr>
          <w:rFonts w:ascii="EC Square Sans Pro" w:eastAsia="Times New Roman" w:hAnsi="EC Square Sans Pro"/>
          <w:noProof/>
          <w:lang w:bidi="en-US"/>
        </w:rPr>
        <w:t>t needs. Motivation, career progression and well-being of teachers and trainers in VET are key to increase attractiveness of their profession. The so called hybrid teachers – a type of personnel who is part-time working in a company and part-time as a teac</w:t>
      </w:r>
      <w:r>
        <w:rPr>
          <w:rFonts w:ascii="EC Square Sans Pro" w:eastAsia="Times New Roman" w:hAnsi="EC Square Sans Pro"/>
          <w:noProof/>
          <w:lang w:bidi="en-US"/>
        </w:rPr>
        <w:t>her in a vocational school - have a potential to contribute to a stronger cooperation arrangements between VET schools and companies in a more structured and frequent manner.  Hybrid teachers can bring the necessary innovation to school-based environment a</w:t>
      </w:r>
      <w:r>
        <w:rPr>
          <w:rFonts w:ascii="EC Square Sans Pro" w:eastAsia="Times New Roman" w:hAnsi="EC Square Sans Pro"/>
          <w:noProof/>
          <w:lang w:bidi="en-US"/>
        </w:rPr>
        <w:t xml:space="preserve">nd can address the growing shortage and ageing population of vocational teachers. The concept provides interesting career perspectives for individuals and provides benefits to both schools and companies, among others by sharing the salary costs. </w:t>
      </w:r>
    </w:p>
    <w:p w:rsidR="00620F75" w:rsidRDefault="001F403D">
      <w:pPr>
        <w:numPr>
          <w:ilvl w:val="0"/>
          <w:numId w:val="59"/>
        </w:numPr>
        <w:spacing w:after="120"/>
        <w:rPr>
          <w:rFonts w:cs="Times New Roman"/>
          <w:b/>
          <w:i/>
          <w:iCs/>
          <w:noProof/>
          <w:lang w:bidi="en-US"/>
        </w:rPr>
      </w:pPr>
      <w:r>
        <w:rPr>
          <w:rFonts w:cs="Times New Roman"/>
          <w:b/>
          <w:i/>
          <w:iCs/>
          <w:noProof/>
          <w:lang w:bidi="en-US"/>
        </w:rPr>
        <w:t>Vocationa</w:t>
      </w:r>
      <w:r>
        <w:rPr>
          <w:rFonts w:cs="Times New Roman"/>
          <w:b/>
          <w:i/>
          <w:iCs/>
          <w:noProof/>
          <w:lang w:bidi="en-US"/>
        </w:rPr>
        <w:t>l education and training promotes equality of opportunities</w:t>
      </w:r>
    </w:p>
    <w:p w:rsidR="00620F75" w:rsidRDefault="001F403D">
      <w:pPr>
        <w:rPr>
          <w:rFonts w:eastAsia="Times New Roman"/>
          <w:noProof/>
          <w:lang w:bidi="en-US"/>
        </w:rPr>
      </w:pPr>
      <w:r>
        <w:rPr>
          <w:rFonts w:eastAsia="Times New Roman"/>
          <w:noProof/>
          <w:lang w:bidi="en-US"/>
        </w:rPr>
        <w:t xml:space="preserve">Good quality VET also contributes to the </w:t>
      </w:r>
      <w:r>
        <w:rPr>
          <w:rFonts w:eastAsia="Times New Roman"/>
          <w:b/>
          <w:bCs/>
          <w:noProof/>
          <w:lang w:bidi="en-US"/>
        </w:rPr>
        <w:t>inclusion of vulnerable groups.</w:t>
      </w:r>
      <w:r>
        <w:rPr>
          <w:rFonts w:eastAsia="Times New Roman"/>
          <w:noProof/>
          <w:lang w:bidi="en-US"/>
        </w:rPr>
        <w:t xml:space="preserve"> This means that broad accessibility needs to be ensured and any remaining barriers to participation, including for people w</w:t>
      </w:r>
      <w:r>
        <w:rPr>
          <w:rFonts w:eastAsia="Times New Roman"/>
          <w:noProof/>
          <w:lang w:bidi="en-US"/>
        </w:rPr>
        <w:t>ith disabilities, low-skilled adults, ethnic and racial minorities, including Roma and people with a migrant background be removed. This can also help address the equity concerns in access to digital learning tools, internet connection and necessary IT dev</w:t>
      </w:r>
      <w:r>
        <w:rPr>
          <w:rFonts w:eastAsia="Times New Roman"/>
          <w:noProof/>
          <w:lang w:bidi="en-US"/>
        </w:rPr>
        <w:t xml:space="preserve">ices, raised during the COVID-19 crisis. Targeted measures and flexible formats of training can prevent early leaving from VET and provide opportunities for drop-outs to re-enter VET. </w:t>
      </w:r>
    </w:p>
    <w:p w:rsidR="00620F75" w:rsidRDefault="001F403D">
      <w:pPr>
        <w:rPr>
          <w:rFonts w:eastAsia="Times New Roman"/>
          <w:noProof/>
          <w:highlight w:val="yellow"/>
          <w:lang w:bidi="en-US"/>
        </w:rPr>
      </w:pPr>
      <w:r>
        <w:rPr>
          <w:rFonts w:eastAsia="Times New Roman"/>
          <w:noProof/>
          <w:lang w:bidi="en-US"/>
        </w:rPr>
        <w:t>There is also a need to address gender bias by promoting balance betwee</w:t>
      </w:r>
      <w:r>
        <w:rPr>
          <w:rFonts w:eastAsia="Times New Roman"/>
          <w:noProof/>
          <w:lang w:bidi="en-US"/>
        </w:rPr>
        <w:t>n traditional ‘male’ and ‘female’ professions, including by encouraging participation of women in vocational training for what are usually traditional ‘male’ professions and of men in ‘female’ professions.</w:t>
      </w:r>
    </w:p>
    <w:p w:rsidR="00620F75" w:rsidRDefault="001F403D">
      <w:pPr>
        <w:numPr>
          <w:ilvl w:val="0"/>
          <w:numId w:val="59"/>
        </w:numPr>
        <w:spacing w:after="120"/>
        <w:rPr>
          <w:rFonts w:cs="Times New Roman"/>
          <w:b/>
          <w:i/>
          <w:iCs/>
          <w:noProof/>
          <w:lang w:bidi="en-US"/>
        </w:rPr>
      </w:pPr>
      <w:r>
        <w:rPr>
          <w:rFonts w:cs="Times New Roman"/>
          <w:b/>
          <w:i/>
          <w:iCs/>
          <w:noProof/>
          <w:lang w:bidi="en-US"/>
        </w:rPr>
        <w:t>Vocational education and training is underpinned b</w:t>
      </w:r>
      <w:r>
        <w:rPr>
          <w:rFonts w:cs="Times New Roman"/>
          <w:b/>
          <w:i/>
          <w:iCs/>
          <w:noProof/>
          <w:lang w:bidi="en-US"/>
        </w:rPr>
        <w:t>y a culture of quality assurance (explained below)</w:t>
      </w:r>
    </w:p>
    <w:p w:rsidR="00620F75" w:rsidRDefault="001F403D">
      <w:pPr>
        <w:numPr>
          <w:ilvl w:val="0"/>
          <w:numId w:val="59"/>
        </w:numPr>
        <w:spacing w:after="120"/>
        <w:rPr>
          <w:rFonts w:cs="Times New Roman"/>
          <w:b/>
          <w:i/>
          <w:iCs/>
          <w:noProof/>
          <w:lang w:bidi="en-US"/>
        </w:rPr>
      </w:pPr>
      <w:r>
        <w:rPr>
          <w:rFonts w:cs="Times New Roman"/>
          <w:b/>
          <w:i/>
          <w:iCs/>
          <w:noProof/>
          <w:lang w:bidi="en-US"/>
        </w:rPr>
        <w:t>Implementation at national level</w:t>
      </w:r>
    </w:p>
    <w:p w:rsidR="00620F75" w:rsidRDefault="001F403D">
      <w:pPr>
        <w:contextualSpacing/>
        <w:rPr>
          <w:rFonts w:eastAsia="Times New Roman"/>
          <w:noProof/>
          <w:lang w:bidi="en-US"/>
        </w:rPr>
      </w:pPr>
      <w:r>
        <w:rPr>
          <w:rFonts w:eastAsia="Times New Roman"/>
          <w:noProof/>
          <w:lang w:bidi="en-US"/>
        </w:rPr>
        <w:t xml:space="preserve">Sustainable partnerships between all relevant stakeholders and including public private partnerships, is key to achieve </w:t>
      </w:r>
      <w:r>
        <w:rPr>
          <w:rFonts w:eastAsia="Times New Roman"/>
          <w:b/>
          <w:bCs/>
          <w:noProof/>
          <w:lang w:bidi="en-US"/>
        </w:rPr>
        <w:t>effective governance in VET</w:t>
      </w:r>
      <w:r>
        <w:rPr>
          <w:rFonts w:eastAsia="Times New Roman"/>
          <w:noProof/>
          <w:lang w:bidi="en-US"/>
        </w:rPr>
        <w:t>. Member States are invit</w:t>
      </w:r>
      <w:r>
        <w:rPr>
          <w:rFonts w:eastAsia="Times New Roman"/>
          <w:noProof/>
          <w:lang w:bidi="en-US"/>
        </w:rPr>
        <w:t>ed to make best use of existing European tools, such as Europass, the European Qualification Framework (EQF) or ESCO (the multilingual classification of European Skills, Competences, Qualifications and Occupations) and maximise synergies among them also wi</w:t>
      </w:r>
      <w:r>
        <w:rPr>
          <w:rFonts w:eastAsia="Times New Roman"/>
          <w:noProof/>
          <w:lang w:bidi="en-US"/>
        </w:rPr>
        <w:t>th a view to promote automatic mutual recognition of vocational education and training qualifications/ diplomas and the outcomes of learning periods abroad. European Union funds and instruments continue to focus on skills and provide opportunities to finan</w:t>
      </w:r>
      <w:r>
        <w:rPr>
          <w:rFonts w:eastAsia="Times New Roman"/>
          <w:noProof/>
          <w:lang w:bidi="en-US"/>
        </w:rPr>
        <w:t>ce reforms of vocational education training. For more effective and efficient implementation of the Recommendation, it is proposed that responsible national authorities define measures to be taken for the implementation of this Recommendation at national l</w:t>
      </w:r>
      <w:r>
        <w:rPr>
          <w:rFonts w:eastAsia="Times New Roman"/>
          <w:noProof/>
          <w:lang w:bidi="en-US"/>
        </w:rPr>
        <w:t>evel within one year of its adoption by building on relevant existing national arrangements and existing financial frameworks and follow through their implementation.</w:t>
      </w:r>
    </w:p>
    <w:p w:rsidR="00620F75" w:rsidRDefault="00620F75">
      <w:pPr>
        <w:contextualSpacing/>
        <w:rPr>
          <w:rFonts w:eastAsia="Times New Roman"/>
          <w:noProof/>
          <w:lang w:bidi="en-US"/>
        </w:rPr>
      </w:pPr>
    </w:p>
    <w:p w:rsidR="00620F75" w:rsidRDefault="00620F75">
      <w:pPr>
        <w:contextualSpacing/>
        <w:rPr>
          <w:rFonts w:eastAsia="Times New Roman"/>
          <w:noProof/>
          <w:lang w:bidi="en-US"/>
        </w:rPr>
      </w:pPr>
    </w:p>
    <w:p w:rsidR="00620F75" w:rsidRDefault="00620F75">
      <w:pPr>
        <w:contextualSpacing/>
        <w:rPr>
          <w:rFonts w:eastAsia="Times New Roman"/>
          <w:noProof/>
          <w:lang w:bidi="en-US"/>
        </w:rPr>
      </w:pPr>
    </w:p>
    <w:p w:rsidR="00620F75" w:rsidRDefault="001F403D">
      <w:pPr>
        <w:pStyle w:val="Heading2"/>
        <w:rPr>
          <w:noProof/>
          <w:lang w:val="en-US"/>
        </w:rPr>
      </w:pPr>
      <w:bookmarkStart w:id="146" w:name="_Toc34039157"/>
      <w:bookmarkStart w:id="147" w:name="_Toc34040457"/>
      <w:bookmarkStart w:id="148" w:name="_Toc34041714"/>
      <w:bookmarkStart w:id="149" w:name="_Toc34042216"/>
      <w:bookmarkStart w:id="150" w:name="_Toc32997319"/>
      <w:bookmarkStart w:id="151" w:name="_Toc43376114"/>
      <w:r>
        <w:rPr>
          <w:noProof/>
          <w:lang w:val="en-US"/>
        </w:rPr>
        <w:lastRenderedPageBreak/>
        <w:t>Integration of ECVET and EQAVET – future of the tools</w:t>
      </w:r>
      <w:bookmarkEnd w:id="146"/>
      <w:bookmarkEnd w:id="147"/>
      <w:bookmarkEnd w:id="148"/>
      <w:bookmarkEnd w:id="149"/>
      <w:bookmarkEnd w:id="150"/>
      <w:bookmarkEnd w:id="151"/>
    </w:p>
    <w:p w:rsidR="00620F75" w:rsidRDefault="001F403D">
      <w:pPr>
        <w:rPr>
          <w:noProof/>
          <w:color w:val="365F91" w:themeColor="accent1" w:themeShade="BF"/>
          <w:lang w:val="en-US"/>
        </w:rPr>
      </w:pPr>
      <w:r>
        <w:rPr>
          <w:b/>
          <w:noProof/>
          <w:color w:val="365F91" w:themeColor="accent1" w:themeShade="BF"/>
        </w:rPr>
        <w:t>EQAVET</w:t>
      </w:r>
    </w:p>
    <w:p w:rsidR="00620F75" w:rsidRDefault="001F403D">
      <w:pPr>
        <w:rPr>
          <w:noProof/>
          <w:lang w:val="en-US"/>
        </w:rPr>
      </w:pPr>
      <w:r>
        <w:rPr>
          <w:noProof/>
          <w:lang w:val="en-US"/>
        </w:rPr>
        <w:t xml:space="preserve">As mentioned in section </w:t>
      </w:r>
      <w:r>
        <w:rPr>
          <w:noProof/>
          <w:lang w:val="en-US"/>
        </w:rPr>
        <w:t>3.2.2, the EQAVET Recommendation has contributed to the improvement of quality assurance arrangements in many Member States. However, there were some weaknesses identified linked to the absence of specific topics in the EQAVET Framework as well as to EQAVE</w:t>
      </w:r>
      <w:r>
        <w:rPr>
          <w:noProof/>
          <w:lang w:val="en-US"/>
        </w:rPr>
        <w:t>T’s contribution to increasing transparency of quality assurance arrangements and trust building</w:t>
      </w:r>
    </w:p>
    <w:p w:rsidR="00620F75" w:rsidRDefault="001F403D">
      <w:pPr>
        <w:rPr>
          <w:noProof/>
          <w:lang w:val="en-US"/>
        </w:rPr>
      </w:pPr>
      <w:r>
        <w:rPr>
          <w:noProof/>
          <w:lang w:val="en-US"/>
        </w:rPr>
        <w:t xml:space="preserve">Although the EQAVET Framework as defined by the EQAVET Recommendation of 2009 is quite comprehensive and does cover a large number of topics, some topics such </w:t>
      </w:r>
      <w:r>
        <w:rPr>
          <w:noProof/>
          <w:lang w:val="en-US"/>
        </w:rPr>
        <w:t xml:space="preserve">as learning outcomes, work based learning are not well or not explicitly addressed. As mentioned above in section 3.2., the EQAVET Network has developed in 2016 an additional set of indicative descriptors called EQAVET+ in order to address this situation. </w:t>
      </w:r>
      <w:r>
        <w:rPr>
          <w:noProof/>
          <w:lang w:val="en-US"/>
        </w:rPr>
        <w:t>These EQAVET+ descriptors provide additional details regarding learning outcomes, involvement of social partners and other relevant stakeholders, etc. Annex 2 of the proposal for a Council Recommendation on vocational education and training for sustainable</w:t>
      </w:r>
      <w:r>
        <w:rPr>
          <w:noProof/>
          <w:lang w:val="en-US"/>
        </w:rPr>
        <w:t xml:space="preserve"> competitiveness, social fairness and resilience therefore reflects these new elements.  </w:t>
      </w:r>
    </w:p>
    <w:p w:rsidR="00620F75" w:rsidRDefault="001F403D">
      <w:pPr>
        <w:rPr>
          <w:noProof/>
          <w:lang w:val="en-US"/>
        </w:rPr>
      </w:pPr>
      <w:r>
        <w:rPr>
          <w:noProof/>
          <w:lang w:val="en-US"/>
        </w:rPr>
        <w:t>Furthermore, an additional descriptor on the importance of creating flexible pathways is included in the proposed updated EQAVET Framework reflecting the increased im</w:t>
      </w:r>
      <w:r>
        <w:rPr>
          <w:noProof/>
          <w:lang w:val="en-US"/>
        </w:rPr>
        <w:t xml:space="preserve">portance for VET providers to be able to respond rapidly to changing labour market needs and to accommodate to the needs of the learners. In addition, the introductory section of the updated EQAVET Framework in annex 2 underlines that the EQAVET Framework </w:t>
      </w:r>
      <w:r>
        <w:rPr>
          <w:noProof/>
          <w:lang w:val="en-US"/>
        </w:rPr>
        <w:t>is applicable to all types of learning environments such as school based provision and work based learning including apprenticeships schemes.</w:t>
      </w:r>
    </w:p>
    <w:p w:rsidR="00620F75" w:rsidRDefault="001F403D">
      <w:pPr>
        <w:rPr>
          <w:noProof/>
          <w:lang w:val="en-US"/>
        </w:rPr>
      </w:pPr>
      <w:r>
        <w:rPr>
          <w:noProof/>
          <w:lang w:val="en-US"/>
        </w:rPr>
        <w:t>Regarding the transparency of quality assurance arrangements, it is important to recall that the EQAVET Recommenda</w:t>
      </w:r>
      <w:r>
        <w:rPr>
          <w:noProof/>
          <w:lang w:val="en-US"/>
        </w:rPr>
        <w:t>tion mentions explicitly the objective to increase the transparency of VET policy developments between Member States. Transparency of quality assurance is one of the key elements for mutual trust and recognition of skills and qualifications of mobile perso</w:t>
      </w:r>
      <w:r>
        <w:rPr>
          <w:noProof/>
          <w:lang w:val="en-US"/>
        </w:rPr>
        <w:t>ns. Therefore, increased transparency of quality assurance arrangements in VET can contribute to reinforced trust in qualifications as well as facilitate mobility of learners and workers between Member States. However, the 2013 external evaluation found th</w:t>
      </w:r>
      <w:r>
        <w:rPr>
          <w:noProof/>
          <w:lang w:val="en-US"/>
        </w:rPr>
        <w:t>at there is little evidence that EQAVET supports transparency of quality assurance arrangements across Europe</w:t>
      </w:r>
      <w:r>
        <w:rPr>
          <w:rStyle w:val="FootnoteReference"/>
          <w:rFonts w:cstheme="minorHAnsi"/>
          <w:noProof/>
          <w:szCs w:val="24"/>
          <w:lang w:val="en-US"/>
        </w:rPr>
        <w:footnoteReference w:id="66"/>
      </w:r>
      <w:r>
        <w:rPr>
          <w:noProof/>
          <w:lang w:val="en-US"/>
        </w:rPr>
        <w:t xml:space="preserve">. This finding was confirmed in the EU study on EU VET instruments stating that EQAVET did not contribute significantly to improving transparency </w:t>
      </w:r>
      <w:r>
        <w:rPr>
          <w:noProof/>
          <w:lang w:val="en-US"/>
        </w:rPr>
        <w:t>of quality assurance arrangements. Linked to this, the last mentioned study also underlined that there was widespread consensus that the high level of countries’ buy-in to EQAVET was attributed to some extent to the ‘toolbox’ approach for implementation. S</w:t>
      </w:r>
      <w:r>
        <w:rPr>
          <w:noProof/>
          <w:lang w:val="en-US"/>
        </w:rPr>
        <w:t>takeholders could use the EQAVET provisions that had most value to their national situation. While this was potentially necessary to gain traction, it has however resulted in significant variations and less transparency of quality assurance arrangements wh</w:t>
      </w:r>
      <w:r>
        <w:rPr>
          <w:noProof/>
          <w:lang w:val="en-US"/>
        </w:rPr>
        <w:t>ich were not intended.</w:t>
      </w:r>
    </w:p>
    <w:p w:rsidR="00620F75" w:rsidRDefault="001F403D">
      <w:pPr>
        <w:rPr>
          <w:noProof/>
          <w:lang w:val="en-US"/>
        </w:rPr>
      </w:pPr>
      <w:r>
        <w:rPr>
          <w:noProof/>
          <w:lang w:val="en-US"/>
        </w:rPr>
        <w:t>In order to address the challenge of improving the transparency of quality assurance arrangements, it is proposed to organise EU peer reviews at VET system level in cooperation with the members of the group of Director-General for Vo</w:t>
      </w:r>
      <w:r>
        <w:rPr>
          <w:noProof/>
          <w:lang w:val="en-US"/>
        </w:rPr>
        <w:t xml:space="preserve">cational Education </w:t>
      </w:r>
      <w:r>
        <w:rPr>
          <w:noProof/>
          <w:lang w:val="en-US"/>
        </w:rPr>
        <w:lastRenderedPageBreak/>
        <w:t xml:space="preserve">(DGVT). These peer reviews would analyse how quality assurance arrangements at VET system are organised and with the purpose to make suggestions to further improve quality assurance measures where relevant. The organisation of such peer </w:t>
      </w:r>
      <w:r>
        <w:rPr>
          <w:noProof/>
          <w:lang w:val="en-US"/>
        </w:rPr>
        <w:t>reviews would require the development of a specific methodology tailored to the needs of EQAVET and could be developed by the EQAVET Network. The proposed cooperation with the DGVT would allow a stronger involvement of senior staff in the Ministries in cha</w:t>
      </w:r>
      <w:r>
        <w:rPr>
          <w:noProof/>
          <w:lang w:val="en-US"/>
        </w:rPr>
        <w:t>rge of VET and contribute to an increased transparency of how quality assurance arrangements are organised in the different Member States.</w:t>
      </w:r>
    </w:p>
    <w:p w:rsidR="00620F75" w:rsidRDefault="001F403D">
      <w:pPr>
        <w:rPr>
          <w:noProof/>
        </w:rPr>
      </w:pPr>
      <w:r>
        <w:rPr>
          <w:noProof/>
        </w:rPr>
        <w:t>Taking into account the results of the different evaluation studies as outlined above, this proposal will therefore:</w:t>
      </w:r>
    </w:p>
    <w:p w:rsidR="00620F75" w:rsidRDefault="001F403D">
      <w:pPr>
        <w:pStyle w:val="ListParagraph"/>
        <w:numPr>
          <w:ilvl w:val="0"/>
          <w:numId w:val="61"/>
        </w:numPr>
        <w:rPr>
          <w:noProof/>
        </w:rPr>
      </w:pPr>
      <w:r>
        <w:rPr>
          <w:noProof/>
        </w:rPr>
        <w:t>Repeal the 2009 EQAVET Recommendation and integrate the work on quality assurance in VET in the EU into the present proposal.</w:t>
      </w:r>
    </w:p>
    <w:p w:rsidR="00620F75" w:rsidRDefault="001F403D">
      <w:pPr>
        <w:pStyle w:val="ListParagraph"/>
        <w:numPr>
          <w:ilvl w:val="0"/>
          <w:numId w:val="61"/>
        </w:numPr>
        <w:rPr>
          <w:noProof/>
        </w:rPr>
      </w:pPr>
      <w:r>
        <w:rPr>
          <w:noProof/>
        </w:rPr>
        <w:t>Integrate the EQAVET+ initiative adding elements about learning outcomes, certification and assessment, stakeholders’ consultation</w:t>
      </w:r>
      <w:r>
        <w:rPr>
          <w:noProof/>
        </w:rPr>
        <w:t xml:space="preserve">, the role of teachers and trainers. </w:t>
      </w:r>
    </w:p>
    <w:p w:rsidR="00620F75" w:rsidRDefault="001F403D">
      <w:pPr>
        <w:pStyle w:val="ListParagraph"/>
        <w:numPr>
          <w:ilvl w:val="0"/>
          <w:numId w:val="61"/>
        </w:numPr>
        <w:rPr>
          <w:noProof/>
        </w:rPr>
      </w:pPr>
      <w:r>
        <w:rPr>
          <w:noProof/>
        </w:rPr>
        <w:t>Add an additional indicative descriptor on flexibility of VET learning pathways given the increased need to develop flexible VET provision and on the need to contribute to environmental sustainability.</w:t>
      </w:r>
    </w:p>
    <w:p w:rsidR="00620F75" w:rsidRDefault="001F403D">
      <w:pPr>
        <w:pStyle w:val="ListParagraph"/>
        <w:numPr>
          <w:ilvl w:val="0"/>
          <w:numId w:val="61"/>
        </w:numPr>
        <w:rPr>
          <w:noProof/>
        </w:rPr>
      </w:pPr>
      <w:r>
        <w:rPr>
          <w:noProof/>
        </w:rPr>
        <w:t>Include the aspe</w:t>
      </w:r>
      <w:r>
        <w:rPr>
          <w:noProof/>
        </w:rPr>
        <w:t xml:space="preserve">ct of the digital readiness of VET systems and institutions. </w:t>
      </w:r>
    </w:p>
    <w:p w:rsidR="00620F75" w:rsidRDefault="001F403D">
      <w:pPr>
        <w:pStyle w:val="ListParagraph"/>
        <w:numPr>
          <w:ilvl w:val="0"/>
          <w:numId w:val="61"/>
        </w:numPr>
        <w:rPr>
          <w:noProof/>
        </w:rPr>
      </w:pPr>
      <w:r>
        <w:rPr>
          <w:noProof/>
        </w:rPr>
        <w:t>Define new working method through peer reviews of quality assurance at VET system level in order to improve mutual learning, enhance transparency of quality assurance arrangements of VET provisi</w:t>
      </w:r>
      <w:r>
        <w:rPr>
          <w:noProof/>
        </w:rPr>
        <w:t>on and reinforce mutual trust between Member States.</w:t>
      </w:r>
    </w:p>
    <w:p w:rsidR="00620F75" w:rsidRDefault="001F403D">
      <w:pPr>
        <w:pStyle w:val="ListParagraph"/>
        <w:numPr>
          <w:ilvl w:val="0"/>
          <w:numId w:val="61"/>
        </w:numPr>
        <w:rPr>
          <w:noProof/>
        </w:rPr>
      </w:pPr>
      <w:r>
        <w:rPr>
          <w:noProof/>
        </w:rPr>
        <w:t xml:space="preserve">Maintain the mission and functions of EQAVET national reference points (NRPs). </w:t>
      </w:r>
    </w:p>
    <w:p w:rsidR="00620F75" w:rsidRDefault="00620F75">
      <w:pPr>
        <w:rPr>
          <w:noProof/>
        </w:rPr>
      </w:pPr>
    </w:p>
    <w:p w:rsidR="00620F75" w:rsidRDefault="001F403D">
      <w:pPr>
        <w:rPr>
          <w:b/>
          <w:noProof/>
          <w:color w:val="365F91" w:themeColor="accent1" w:themeShade="BF"/>
        </w:rPr>
      </w:pPr>
      <w:r>
        <w:rPr>
          <w:b/>
          <w:noProof/>
          <w:color w:val="365F91" w:themeColor="accent1" w:themeShade="BF"/>
        </w:rPr>
        <w:t>ECVET</w:t>
      </w:r>
    </w:p>
    <w:p w:rsidR="00620F75" w:rsidRDefault="001F403D">
      <w:pPr>
        <w:rPr>
          <w:noProof/>
        </w:rPr>
      </w:pPr>
      <w:r>
        <w:rPr>
          <w:noProof/>
        </w:rPr>
        <w:t>The objective of the ECVET Recommendation was to improve the recognition, accumulation and transfer of learning outc</w:t>
      </w:r>
      <w:r>
        <w:rPr>
          <w:noProof/>
        </w:rPr>
        <w:t>omes, supporting mobility and lifelong learning as well as the establishment of a EU credit system in VET. This initiative was further developed following the 2002 Copenhagen Declaration on the future priorities for enhancing European cooperation in VET, w</w:t>
      </w:r>
      <w:r>
        <w:rPr>
          <w:noProof/>
        </w:rPr>
        <w:t xml:space="preserve">hich stated a need for a system supporting ’the transparency, comparability, transferability and recognition of competence and/or qualifications, between different countries and at different levels’. </w:t>
      </w:r>
    </w:p>
    <w:p w:rsidR="00620F75" w:rsidRDefault="001F403D">
      <w:pPr>
        <w:rPr>
          <w:noProof/>
        </w:rPr>
      </w:pPr>
      <w:r>
        <w:rPr>
          <w:noProof/>
        </w:rPr>
        <w:t>According to the abovementioned study on EU VET instrum</w:t>
      </w:r>
      <w:r>
        <w:rPr>
          <w:noProof/>
        </w:rPr>
        <w:t>ents, ECVET has widely contributed to the development of a better-quality mobility experience through the use and documentation of units of learning outcomes. Since 2009, six more countries have introduced modules or units in IVET (bringing the total to 21</w:t>
      </w:r>
      <w:r>
        <w:rPr>
          <w:noProof/>
        </w:rPr>
        <w:t xml:space="preserve">). Credit systems have been introduced in an additional nine countries over the same period bringing the total to 17. On the other hand, the concept of ECVET points was generally not applied and ECVET did not lead to the development of EU credit system in </w:t>
      </w:r>
      <w:r>
        <w:rPr>
          <w:noProof/>
        </w:rPr>
        <w:t>VET.</w:t>
      </w:r>
    </w:p>
    <w:p w:rsidR="00620F75" w:rsidRDefault="001F403D">
      <w:pPr>
        <w:rPr>
          <w:noProof/>
        </w:rPr>
      </w:pPr>
      <w:r>
        <w:rPr>
          <w:noProof/>
        </w:rPr>
        <w:t>Based on the feedback received during the stakeholder consultation and the experience gained with the ECVET implementation over the last 10 years, the present proposal incorporates and reinforces some elements of the 2009 ECVET Recommendation and aban</w:t>
      </w:r>
      <w:r>
        <w:rPr>
          <w:noProof/>
        </w:rPr>
        <w:t xml:space="preserve">dons others that do not bring an added value or respond to a real need in the VET systems. In particular, </w:t>
      </w:r>
    </w:p>
    <w:p w:rsidR="00620F75" w:rsidRDefault="001F403D">
      <w:pPr>
        <w:pStyle w:val="ListParagraph"/>
        <w:numPr>
          <w:ilvl w:val="0"/>
          <w:numId w:val="62"/>
        </w:numPr>
        <w:rPr>
          <w:noProof/>
        </w:rPr>
      </w:pPr>
      <w:r>
        <w:rPr>
          <w:noProof/>
        </w:rPr>
        <w:t xml:space="preserve">The principle that qualifications are made of units of learning outcomes is integrated and reinforced in the proposal (modularisation). This is seen </w:t>
      </w:r>
      <w:r>
        <w:rPr>
          <w:noProof/>
        </w:rPr>
        <w:t xml:space="preserve">as a pre-requisite to </w:t>
      </w:r>
      <w:r>
        <w:rPr>
          <w:noProof/>
        </w:rPr>
        <w:lastRenderedPageBreak/>
        <w:t>increase flexibility of the VET programmes and facilitate validation as means to boost the take-up of up- and reskilling. It is also instrumental in facilitating mobility of VET learners and the recognition of learning outcomes achiev</w:t>
      </w:r>
      <w:r>
        <w:rPr>
          <w:noProof/>
        </w:rPr>
        <w:t xml:space="preserve">ed during such mobility periods. Furthermore, it can also support the automatic mutual recognition of VET qualifications and cooperation at sectoral level. To this end, a concept of European Vocational Core Profiles will be explored with the aim to define </w:t>
      </w:r>
      <w:r>
        <w:rPr>
          <w:noProof/>
        </w:rPr>
        <w:t>a certain share of a common training content at European level. The profiles have the potential to significantly facilitate mobility of learners and workers, automatic recognition of vocational qualifications, and the development of joint VET qualification</w:t>
      </w:r>
      <w:r>
        <w:rPr>
          <w:noProof/>
        </w:rPr>
        <w:t>s and curricula.</w:t>
      </w:r>
    </w:p>
    <w:p w:rsidR="00620F75" w:rsidRDefault="001F403D">
      <w:pPr>
        <w:pStyle w:val="ListParagraph"/>
        <w:numPr>
          <w:ilvl w:val="0"/>
          <w:numId w:val="62"/>
        </w:numPr>
        <w:rPr>
          <w:noProof/>
        </w:rPr>
      </w:pPr>
      <w:r>
        <w:rPr>
          <w:noProof/>
        </w:rPr>
        <w:t>The mobility tools developed under the 2009 Recommendation (e.g. learning agreement and memorandum of understanding) related to supporting geographical mobility of VET learners will be further developed in the framework of other EU instrum</w:t>
      </w:r>
      <w:r>
        <w:rPr>
          <w:noProof/>
        </w:rPr>
        <w:t>ents such as those supported by the Erasmus+ programme and linked to the further development of Europass.</w:t>
      </w:r>
    </w:p>
    <w:p w:rsidR="00620F75" w:rsidRDefault="001F403D">
      <w:pPr>
        <w:pStyle w:val="ListParagraph"/>
        <w:numPr>
          <w:ilvl w:val="0"/>
          <w:numId w:val="62"/>
        </w:numPr>
        <w:rPr>
          <w:noProof/>
        </w:rPr>
      </w:pPr>
      <w:r>
        <w:rPr>
          <w:noProof/>
        </w:rPr>
        <w:t>The credit points introduced by the 2009 Recommendation will be discontinued, due to the very low take-up and no evidence of added value. In practice,</w:t>
      </w:r>
      <w:r>
        <w:rPr>
          <w:noProof/>
        </w:rPr>
        <w:t xml:space="preserve"> ECTS (European Credit Transfer and Accumulation System) applied widely in higher education is used also for post-secondary and tertiary VET.</w:t>
      </w:r>
    </w:p>
    <w:p w:rsidR="00620F75" w:rsidRDefault="001F403D">
      <w:pPr>
        <w:rPr>
          <w:noProof/>
        </w:rPr>
      </w:pPr>
      <w:r>
        <w:rPr>
          <w:noProof/>
        </w:rPr>
        <w:t>The 2009 ECVET Recommendation will be repealed and the ECVET provisions and principles as outlined above will be t</w:t>
      </w:r>
      <w:r>
        <w:rPr>
          <w:noProof/>
        </w:rPr>
        <w:t>aken forward on the basis of the present proposal and mainstreamed into other EU policy instruments.</w:t>
      </w:r>
    </w:p>
    <w:p w:rsidR="00620F75" w:rsidRDefault="00620F75">
      <w:pPr>
        <w:rPr>
          <w:noProof/>
          <w:lang w:val="en-US"/>
        </w:rPr>
      </w:pPr>
    </w:p>
    <w:p w:rsidR="00620F75" w:rsidRDefault="001F403D">
      <w:pPr>
        <w:pStyle w:val="Heading2"/>
        <w:rPr>
          <w:rStyle w:val="Heading2Char"/>
          <w:b/>
          <w:noProof/>
        </w:rPr>
      </w:pPr>
      <w:bookmarkStart w:id="152" w:name="_Toc34039158"/>
      <w:bookmarkStart w:id="153" w:name="_Toc34040458"/>
      <w:bookmarkStart w:id="154" w:name="_Toc34041715"/>
      <w:bookmarkStart w:id="155" w:name="_Toc34042217"/>
      <w:bookmarkStart w:id="156" w:name="_Toc32997320"/>
      <w:bookmarkStart w:id="157" w:name="_Toc43376115"/>
      <w:r>
        <w:rPr>
          <w:rStyle w:val="Heading2Char"/>
          <w:b/>
          <w:noProof/>
        </w:rPr>
        <w:t>EU support initiatives</w:t>
      </w:r>
      <w:bookmarkEnd w:id="152"/>
      <w:bookmarkEnd w:id="153"/>
      <w:bookmarkEnd w:id="154"/>
      <w:bookmarkEnd w:id="155"/>
      <w:bookmarkEnd w:id="156"/>
      <w:bookmarkEnd w:id="157"/>
      <w:r>
        <w:rPr>
          <w:rStyle w:val="Heading2Char"/>
          <w:b/>
          <w:noProof/>
        </w:rPr>
        <w:t xml:space="preserve"> </w:t>
      </w:r>
    </w:p>
    <w:p w:rsidR="00620F75" w:rsidRDefault="001F403D">
      <w:pPr>
        <w:rPr>
          <w:noProof/>
        </w:rPr>
      </w:pPr>
      <w:r>
        <w:rPr>
          <w:noProof/>
        </w:rPr>
        <w:t>The following chapter provides more details on support actions proposed in the Commission Proposal for a Council Recommendation on</w:t>
      </w:r>
      <w:r>
        <w:rPr>
          <w:noProof/>
        </w:rPr>
        <w:t xml:space="preserve"> vocational education and training for sustainable competitiveness, social fairness and resilience.</w:t>
      </w:r>
    </w:p>
    <w:p w:rsidR="00620F75" w:rsidRDefault="001F403D">
      <w:pPr>
        <w:pStyle w:val="Heading3"/>
        <w:rPr>
          <w:noProof/>
        </w:rPr>
      </w:pPr>
      <w:bookmarkStart w:id="158" w:name="_Toc34041716"/>
      <w:bookmarkStart w:id="159" w:name="_Toc34039159"/>
      <w:bookmarkStart w:id="160" w:name="_Toc34040459"/>
      <w:bookmarkStart w:id="161" w:name="_Toc34042218"/>
      <w:bookmarkStart w:id="162" w:name="_Toc32997321"/>
      <w:bookmarkStart w:id="163" w:name="_Toc43376116"/>
      <w:r>
        <w:rPr>
          <w:rStyle w:val="Heading2Char"/>
          <w:rFonts w:eastAsiaTheme="minorHAnsi"/>
          <w:b/>
          <w:noProof/>
        </w:rPr>
        <w:t>Platforms of Centres of Vocational Excellence</w:t>
      </w:r>
      <w:bookmarkEnd w:id="158"/>
      <w:bookmarkEnd w:id="159"/>
      <w:bookmarkEnd w:id="160"/>
      <w:bookmarkEnd w:id="161"/>
      <w:bookmarkEnd w:id="162"/>
      <w:bookmarkEnd w:id="163"/>
    </w:p>
    <w:p w:rsidR="00620F75" w:rsidRDefault="001F403D">
      <w:pPr>
        <w:rPr>
          <w:b/>
          <w:noProof/>
        </w:rPr>
      </w:pPr>
      <w:r>
        <w:rPr>
          <w:noProof/>
        </w:rPr>
        <w:t xml:space="preserve">This subchapter provides an overview of the main features of the initiative of </w:t>
      </w:r>
      <w:r>
        <w:rPr>
          <w:b/>
          <w:noProof/>
        </w:rPr>
        <w:t xml:space="preserve">Platforms of Centres of Vocational Excellence (CoVE). </w:t>
      </w:r>
    </w:p>
    <w:p w:rsidR="00620F75" w:rsidRDefault="001F403D">
      <w:pPr>
        <w:rPr>
          <w:b/>
          <w:noProof/>
          <w:color w:val="1F497D" w:themeColor="text2"/>
        </w:rPr>
      </w:pPr>
      <w:r>
        <w:rPr>
          <w:b/>
          <w:noProof/>
          <w:color w:val="1F497D" w:themeColor="text2"/>
        </w:rPr>
        <w:t>What is Vocational Excellence?</w:t>
      </w:r>
    </w:p>
    <w:p w:rsidR="00620F75" w:rsidRDefault="001F403D">
      <w:pPr>
        <w:rPr>
          <w:noProof/>
        </w:rPr>
      </w:pPr>
      <w:r>
        <w:rPr>
          <w:noProof/>
        </w:rPr>
        <w:t>Platforms of Centres of Vocational Excellence are intended to be world-class reference points for training for both initial training of young people as well as for contin</w:t>
      </w:r>
      <w:r>
        <w:rPr>
          <w:noProof/>
        </w:rPr>
        <w:t>uing up-skilling and re-skilling of adults. They operate in a given local context, closely embedded in the innovation ecosystems, while working with centres in other countries through international collaborative platforms.</w:t>
      </w:r>
    </w:p>
    <w:p w:rsidR="00620F75" w:rsidRDefault="001F403D">
      <w:pPr>
        <w:rPr>
          <w:noProof/>
        </w:rPr>
      </w:pPr>
      <w:r>
        <w:rPr>
          <w:noProof/>
        </w:rPr>
        <w:t xml:space="preserve">CoVEs act as catalysts for local </w:t>
      </w:r>
      <w:r>
        <w:rPr>
          <w:noProof/>
        </w:rPr>
        <w:t>business investment, supporting European and regional innovation and smart specialisation strategies, development of VET at higher qualification levels and provide innovative services such as business incubators for start-ups and technology innovation hubs</w:t>
      </w:r>
      <w:r>
        <w:rPr>
          <w:noProof/>
        </w:rPr>
        <w:t>. They ensure high quality skills and competences that lead to quality employment and career-long opportunities, which meet the needs of an innovative, inclusive and sustainable economy.</w:t>
      </w:r>
    </w:p>
    <w:p w:rsidR="00620F75" w:rsidRDefault="001F403D">
      <w:pPr>
        <w:rPr>
          <w:noProof/>
        </w:rPr>
      </w:pPr>
      <w:r>
        <w:rPr>
          <w:noProof/>
        </w:rPr>
        <w:lastRenderedPageBreak/>
        <w:t>A mapping study has been conducted to provide concrete examples of th</w:t>
      </w:r>
      <w:r>
        <w:rPr>
          <w:noProof/>
        </w:rPr>
        <w:t>e main characteristics of CoVEs, with a view to informing the concept and the development of EU support plans.</w:t>
      </w:r>
      <w:r>
        <w:rPr>
          <w:rStyle w:val="FootnoteReference"/>
          <w:noProof/>
        </w:rPr>
        <w:footnoteReference w:id="67"/>
      </w:r>
      <w:r>
        <w:rPr>
          <w:noProof/>
        </w:rPr>
        <w:t xml:space="preserve"> </w:t>
      </w:r>
    </w:p>
    <w:p w:rsidR="00620F75" w:rsidRDefault="001F403D">
      <w:pPr>
        <w:rPr>
          <w:noProof/>
        </w:rPr>
      </w:pPr>
      <w:r>
        <w:rPr>
          <w:noProof/>
        </w:rPr>
        <w:t xml:space="preserve">The concept of vocational excellence that is proposed is characterised by a </w:t>
      </w:r>
      <w:r>
        <w:rPr>
          <w:b/>
          <w:noProof/>
        </w:rPr>
        <w:t>holistic</w:t>
      </w:r>
      <w:r>
        <w:rPr>
          <w:noProof/>
        </w:rPr>
        <w:t xml:space="preserve"> </w:t>
      </w:r>
      <w:r>
        <w:rPr>
          <w:b/>
          <w:noProof/>
        </w:rPr>
        <w:t>learner centred</w:t>
      </w:r>
      <w:r>
        <w:rPr>
          <w:noProof/>
        </w:rPr>
        <w:t xml:space="preserve"> approach in which VET: </w:t>
      </w:r>
    </w:p>
    <w:p w:rsidR="00620F75" w:rsidRDefault="001F403D">
      <w:pPr>
        <w:numPr>
          <w:ilvl w:val="0"/>
          <w:numId w:val="23"/>
        </w:numPr>
        <w:rPr>
          <w:noProof/>
        </w:rPr>
      </w:pPr>
      <w:r>
        <w:rPr>
          <w:noProof/>
        </w:rPr>
        <w:t xml:space="preserve">Is an integrative part of </w:t>
      </w:r>
      <w:r>
        <w:rPr>
          <w:b/>
          <w:noProof/>
        </w:rPr>
        <w:t>skills ecosystems</w:t>
      </w:r>
      <w:r>
        <w:rPr>
          <w:noProof/>
        </w:rPr>
        <w:t>, contributing to regional development</w:t>
      </w:r>
      <w:r>
        <w:rPr>
          <w:noProof/>
          <w:vertAlign w:val="superscript"/>
        </w:rPr>
        <w:footnoteReference w:id="68"/>
      </w:r>
      <w:r>
        <w:rPr>
          <w:noProof/>
        </w:rPr>
        <w:t>, innovation</w:t>
      </w:r>
      <w:r>
        <w:rPr>
          <w:noProof/>
          <w:vertAlign w:val="superscript"/>
        </w:rPr>
        <w:footnoteReference w:id="69"/>
      </w:r>
      <w:r>
        <w:rPr>
          <w:noProof/>
        </w:rPr>
        <w:t>, and smart specialisation strategies</w:t>
      </w:r>
      <w:r>
        <w:rPr>
          <w:noProof/>
          <w:vertAlign w:val="superscript"/>
        </w:rPr>
        <w:footnoteReference w:id="70"/>
      </w:r>
    </w:p>
    <w:p w:rsidR="00620F75" w:rsidRDefault="001F403D">
      <w:pPr>
        <w:numPr>
          <w:ilvl w:val="0"/>
          <w:numId w:val="23"/>
        </w:numPr>
        <w:rPr>
          <w:noProof/>
        </w:rPr>
      </w:pPr>
      <w:r>
        <w:rPr>
          <w:noProof/>
        </w:rPr>
        <w:t xml:space="preserve">Is part of </w:t>
      </w:r>
      <w:r>
        <w:rPr>
          <w:b/>
          <w:noProof/>
        </w:rPr>
        <w:t>knowledge triangles</w:t>
      </w:r>
      <w:r>
        <w:rPr>
          <w:noProof/>
        </w:rPr>
        <w:t>, working closely with other education and training sectors, the scientific community, and b</w:t>
      </w:r>
      <w:r>
        <w:rPr>
          <w:noProof/>
        </w:rPr>
        <w:t>usiness</w:t>
      </w:r>
    </w:p>
    <w:p w:rsidR="00620F75" w:rsidRDefault="001F403D">
      <w:pPr>
        <w:numPr>
          <w:ilvl w:val="0"/>
          <w:numId w:val="23"/>
        </w:numPr>
        <w:rPr>
          <w:noProof/>
        </w:rPr>
      </w:pPr>
      <w:r>
        <w:rPr>
          <w:noProof/>
        </w:rPr>
        <w:t xml:space="preserve">Enables learners to acquire both </w:t>
      </w:r>
      <w:r>
        <w:rPr>
          <w:b/>
          <w:noProof/>
        </w:rPr>
        <w:t>vocational</w:t>
      </w:r>
      <w:r>
        <w:rPr>
          <w:noProof/>
        </w:rPr>
        <w:t xml:space="preserve"> and </w:t>
      </w:r>
      <w:r>
        <w:rPr>
          <w:b/>
          <w:noProof/>
        </w:rPr>
        <w:t>key competences</w:t>
      </w:r>
      <w:r>
        <w:rPr>
          <w:b/>
          <w:noProof/>
          <w:vertAlign w:val="superscript"/>
        </w:rPr>
        <w:footnoteReference w:id="71"/>
      </w:r>
      <w:r>
        <w:rPr>
          <w:noProof/>
        </w:rPr>
        <w:t xml:space="preserve"> through </w:t>
      </w:r>
      <w:r>
        <w:rPr>
          <w:b/>
          <w:noProof/>
        </w:rPr>
        <w:t>high-quality provision</w:t>
      </w:r>
      <w:r>
        <w:rPr>
          <w:noProof/>
        </w:rPr>
        <w:t xml:space="preserve"> that is underpinned by quality assurance, builds innovative forms of partnerships with the world of work, and is supported by the continuous professiona</w:t>
      </w:r>
      <w:r>
        <w:rPr>
          <w:noProof/>
        </w:rPr>
        <w:t>l development of teaching and training staff, innovative pedagogies, mobility and internationalisation strategies.</w:t>
      </w:r>
    </w:p>
    <w:p w:rsidR="00620F75" w:rsidRDefault="00620F75">
      <w:pPr>
        <w:rPr>
          <w:noProof/>
        </w:rPr>
      </w:pPr>
    </w:p>
    <w:p w:rsidR="00620F75" w:rsidRDefault="001F403D">
      <w:pPr>
        <w:rPr>
          <w:b/>
          <w:noProof/>
          <w:color w:val="1F497D" w:themeColor="text2"/>
        </w:rPr>
      </w:pPr>
      <w:r>
        <w:rPr>
          <w:b/>
          <w:noProof/>
          <w:color w:val="1F497D" w:themeColor="text2"/>
        </w:rPr>
        <w:t>Context</w:t>
      </w:r>
    </w:p>
    <w:p w:rsidR="00620F75" w:rsidRDefault="001F403D">
      <w:pPr>
        <w:rPr>
          <w:noProof/>
        </w:rPr>
      </w:pPr>
      <w:r>
        <w:rPr>
          <w:noProof/>
        </w:rPr>
        <w:t>The combined effects of rapid technological change, digitalization, climate change, circular economy, and new forms of work, call fo</w:t>
      </w:r>
      <w:r>
        <w:rPr>
          <w:noProof/>
        </w:rPr>
        <w:t>r innovative ideas to ensure that Vocational training not only adapts to change, but is also at the forefront of mastering and driving this change. These developments are not only disrupting every aspect of work and life, but also creating opportunities fo</w:t>
      </w:r>
      <w:r>
        <w:rPr>
          <w:noProof/>
        </w:rPr>
        <w:t xml:space="preserve">r innovation </w:t>
      </w:r>
      <w:r>
        <w:rPr>
          <w:noProof/>
          <w:vertAlign w:val="superscript"/>
        </w:rPr>
        <w:footnoteReference w:id="72"/>
      </w:r>
      <w:r>
        <w:rPr>
          <w:noProof/>
        </w:rPr>
        <w:t xml:space="preserve">and employment creation across all sectors. The capacity to innovate is increasingly becoming the key factor driving economic and social development. </w:t>
      </w:r>
    </w:p>
    <w:p w:rsidR="00620F75" w:rsidRDefault="001F403D">
      <w:pPr>
        <w:rPr>
          <w:noProof/>
        </w:rPr>
      </w:pPr>
      <w:r>
        <w:rPr>
          <w:noProof/>
        </w:rPr>
        <w:t xml:space="preserve">VET policy makers are confronted with new challenges in anticipating and responding in due </w:t>
      </w:r>
      <w:r>
        <w:rPr>
          <w:noProof/>
        </w:rPr>
        <w:t xml:space="preserve">time to the fast changing skill needs of the labour market, and to the expectations of individuals. The "shelf-life" of skills is becoming increasingly short. To address this challenge, VET institutions must become much more flexible and responsive to the </w:t>
      </w:r>
      <w:r>
        <w:rPr>
          <w:noProof/>
        </w:rPr>
        <w:t xml:space="preserve">need for renewing their offer, companies have to become an active partner in designing and providing opportunities for work-based learning, and individuals have to embrace lifelong </w:t>
      </w:r>
      <w:r>
        <w:rPr>
          <w:noProof/>
        </w:rPr>
        <w:lastRenderedPageBreak/>
        <w:t>learning to maintain their employability, active citizenship and quality of</w:t>
      </w:r>
      <w:r>
        <w:rPr>
          <w:noProof/>
        </w:rPr>
        <w:t xml:space="preserve"> life. The way we teach and learn has to be in tune with these new opportunities and challenges.</w:t>
      </w:r>
    </w:p>
    <w:p w:rsidR="00620F75" w:rsidRDefault="001F403D">
      <w:pPr>
        <w:rPr>
          <w:noProof/>
        </w:rPr>
      </w:pPr>
      <w:r>
        <w:rPr>
          <w:noProof/>
        </w:rPr>
        <w:t>Developments in the VET system have been mainly of a gradual and incremental nature, and in most cases driven top-down. Business-as-usual may not be a viable o</w:t>
      </w:r>
      <w:r>
        <w:rPr>
          <w:noProof/>
        </w:rPr>
        <w:t>ption for the future. The speed and scale of change calls for innovative approaches where VET institutions are empowered to understand, engage and be an active partner in co-creating solutions for local social and economic development. A bottom-up approach</w:t>
      </w:r>
      <w:r>
        <w:rPr>
          <w:noProof/>
        </w:rPr>
        <w:t xml:space="preserve"> where VET institutions are capable of rapidly adapting skills provision to evolving local needs, is essential to raise the attractiveness, relevance and quality in VET. The new paradigm for VET institutions is local in its nature, while the challenges the</w:t>
      </w:r>
      <w:r>
        <w:rPr>
          <w:noProof/>
        </w:rPr>
        <w:t xml:space="preserve">y are facing is increasingly complex and global. </w:t>
      </w:r>
    </w:p>
    <w:p w:rsidR="00620F75" w:rsidRDefault="001F403D">
      <w:pPr>
        <w:rPr>
          <w:b/>
          <w:noProof/>
        </w:rPr>
      </w:pPr>
      <w:r>
        <w:rPr>
          <w:b/>
          <w:noProof/>
          <w:color w:val="1F497D" w:themeColor="text2"/>
        </w:rPr>
        <w:t>The call for action</w:t>
      </w:r>
    </w:p>
    <w:p w:rsidR="00620F75" w:rsidRDefault="001F403D">
      <w:pPr>
        <w:rPr>
          <w:noProof/>
        </w:rPr>
      </w:pPr>
      <w:r>
        <w:rPr>
          <w:noProof/>
        </w:rPr>
        <w:t xml:space="preserve">The policy drive for Vocational excellence is not new. An initiative to promote Vocational excellence has been called for since 2004 when the parties to the Copenhagen process, i.e. the </w:t>
      </w:r>
      <w:r>
        <w:rPr>
          <w:noProof/>
        </w:rPr>
        <w:t>Member States, the social partners, the candidate countries, the EFTA countries and the Commission, set the overall priorities for the EU VET modernisation agenda in the following Communiqués.</w:t>
      </w:r>
    </w:p>
    <w:p w:rsidR="00620F75" w:rsidRDefault="001F403D">
      <w:pPr>
        <w:rPr>
          <w:noProof/>
        </w:rPr>
      </w:pPr>
      <w:r>
        <w:rPr>
          <w:noProof/>
        </w:rPr>
        <w:t xml:space="preserve">This was then followed up by </w:t>
      </w:r>
      <w:hyperlink r:id="rId40" w:history="1">
        <w:r>
          <w:rPr>
            <w:rStyle w:val="Hyperlink"/>
            <w:noProof/>
          </w:rPr>
          <w:t>2012 Communication on Rethinking Education</w:t>
        </w:r>
      </w:hyperlink>
      <w:r>
        <w:rPr>
          <w:noProof/>
        </w:rPr>
        <w:t>, proposing that excellence be pursued by aligning VET policies with regional/local economic development strategies namely for smart specialisation. Together with the 2012 Commu</w:t>
      </w:r>
      <w:r>
        <w:rPr>
          <w:noProof/>
        </w:rPr>
        <w:t xml:space="preserve">nication, a </w:t>
      </w:r>
      <w:hyperlink r:id="rId41" w:history="1">
        <w:r>
          <w:rPr>
            <w:rStyle w:val="Hyperlink"/>
            <w:noProof/>
          </w:rPr>
          <w:t>Staff Working Document</w:t>
        </w:r>
      </w:hyperlink>
      <w:r>
        <w:rPr>
          <w:noProof/>
        </w:rPr>
        <w:t xml:space="preserve"> gave further details on how the concept of Vocational excellence could be developed and achieved. </w:t>
      </w:r>
    </w:p>
    <w:p w:rsidR="00620F75" w:rsidRDefault="001F403D">
      <w:pPr>
        <w:rPr>
          <w:noProof/>
        </w:rPr>
      </w:pPr>
      <w:r>
        <w:rPr>
          <w:noProof/>
        </w:rPr>
        <w:t>The rec</w:t>
      </w:r>
      <w:r>
        <w:rPr>
          <w:noProof/>
        </w:rPr>
        <w:t>ent 2017 Communication on "</w:t>
      </w:r>
      <w:hyperlink r:id="rId42" w:history="1">
        <w:r>
          <w:rPr>
            <w:rStyle w:val="Hyperlink"/>
            <w:noProof/>
          </w:rPr>
          <w:t>Strengthening Innovation in Europe's Regions</w:t>
        </w:r>
      </w:hyperlink>
      <w:r>
        <w:rPr>
          <w:noProof/>
        </w:rPr>
        <w:t>" makes a specific reference to "linking vocational education and training to innovation systems", a</w:t>
      </w:r>
      <w:r>
        <w:rPr>
          <w:noProof/>
        </w:rPr>
        <w:t xml:space="preserve">s part of smart specialisation strategies at regional level. </w:t>
      </w:r>
    </w:p>
    <w:p w:rsidR="00620F75" w:rsidRDefault="001F403D">
      <w:pPr>
        <w:rPr>
          <w:noProof/>
        </w:rPr>
      </w:pPr>
      <w:r>
        <w:rPr>
          <w:noProof/>
        </w:rPr>
        <w:t xml:space="preserve">In the 2018 </w:t>
      </w:r>
      <w:hyperlink r:id="rId43" w:history="1">
        <w:r>
          <w:rPr>
            <w:rStyle w:val="Hyperlink"/>
            <w:noProof/>
          </w:rPr>
          <w:t>Communication on Building a stronger Europe</w:t>
        </w:r>
      </w:hyperlink>
      <w:r>
        <w:rPr>
          <w:noProof/>
        </w:rPr>
        <w:t xml:space="preserve">: the role of youth, education and culture policies, </w:t>
      </w:r>
      <w:r>
        <w:rPr>
          <w:noProof/>
        </w:rPr>
        <w:t xml:space="preserve">the Commission announced an initiative to "support the development of trans-national platforms of centres of vocational excellence”. The Centres of vocational excellence should promote an active role for VET in local and regional economic development. </w:t>
      </w:r>
    </w:p>
    <w:p w:rsidR="00620F75" w:rsidRDefault="001F403D">
      <w:pPr>
        <w:rPr>
          <w:noProof/>
        </w:rPr>
      </w:pPr>
      <w:r>
        <w:rPr>
          <w:noProof/>
        </w:rPr>
        <w:t xml:space="preserve">On </w:t>
      </w:r>
      <w:r>
        <w:rPr>
          <w:noProof/>
        </w:rPr>
        <w:t>3 December 2018, the ACVT adopted an “</w:t>
      </w:r>
      <w:hyperlink r:id="rId44" w:history="1">
        <w:r>
          <w:rPr>
            <w:rStyle w:val="Hyperlink"/>
            <w:noProof/>
          </w:rPr>
          <w:t>Opinion on the future of VET</w:t>
        </w:r>
      </w:hyperlink>
      <w:r>
        <w:rPr>
          <w:noProof/>
        </w:rPr>
        <w:t>” that also puts a focus on the promotion of VET Excellence and inclusion, and calls on the Commission to provid</w:t>
      </w:r>
      <w:r>
        <w:rPr>
          <w:noProof/>
        </w:rPr>
        <w:t>e support for the establishment of Platforms of Centres of Vocational Excellence.</w:t>
      </w:r>
    </w:p>
    <w:p w:rsidR="00620F75" w:rsidRDefault="001F403D">
      <w:pPr>
        <w:rPr>
          <w:noProof/>
        </w:rPr>
      </w:pPr>
      <w:r>
        <w:rPr>
          <w:noProof/>
        </w:rPr>
        <w:t xml:space="preserve">The Industry 2030 High Level Industrial Roundtable report </w:t>
      </w:r>
      <w:hyperlink r:id="rId45" w:history="1">
        <w:r>
          <w:rPr>
            <w:rStyle w:val="Hyperlink"/>
            <w:noProof/>
          </w:rPr>
          <w:t xml:space="preserve">“A </w:t>
        </w:r>
        <w:r>
          <w:rPr>
            <w:rStyle w:val="Hyperlink"/>
            <w:noProof/>
          </w:rPr>
          <w:t>vision for the European Industry until 2030”</w:t>
        </w:r>
      </w:hyperlink>
      <w:r>
        <w:rPr>
          <w:noProof/>
        </w:rPr>
        <w:t xml:space="preserve"> called for setting up of Acceleration Centres which would stimulate industrial transformation by synergistic bundling in one geographic location of various institutions, including Platforms of Centres of Vocatio</w:t>
      </w:r>
      <w:r>
        <w:rPr>
          <w:noProof/>
        </w:rPr>
        <w:t>nal Excellence.</w:t>
      </w:r>
    </w:p>
    <w:p w:rsidR="00620F75" w:rsidRDefault="00620F75">
      <w:pPr>
        <w:rPr>
          <w:noProof/>
        </w:rPr>
      </w:pPr>
    </w:p>
    <w:p w:rsidR="00620F75" w:rsidRDefault="001F403D">
      <w:pPr>
        <w:rPr>
          <w:b/>
          <w:noProof/>
          <w:color w:val="1F497D" w:themeColor="text2"/>
        </w:rPr>
      </w:pPr>
      <w:r>
        <w:rPr>
          <w:b/>
          <w:noProof/>
          <w:color w:val="1F497D" w:themeColor="text2"/>
        </w:rPr>
        <w:t>The initiative on platforms of "Centres of Vocational Excellence"</w:t>
      </w:r>
    </w:p>
    <w:p w:rsidR="00620F75" w:rsidRDefault="001F403D">
      <w:pPr>
        <w:rPr>
          <w:noProof/>
        </w:rPr>
      </w:pPr>
      <w:r>
        <w:rPr>
          <w:noProof/>
        </w:rPr>
        <w:t>When discussing innovation, reference is often made to the "</w:t>
      </w:r>
      <w:r>
        <w:rPr>
          <w:b/>
          <w:noProof/>
        </w:rPr>
        <w:t>knowledge triangle</w:t>
      </w:r>
      <w:r>
        <w:rPr>
          <w:noProof/>
        </w:rPr>
        <w:t xml:space="preserve">" – </w:t>
      </w:r>
      <w:r>
        <w:rPr>
          <w:i/>
          <w:noProof/>
        </w:rPr>
        <w:t>a link between businesses, education and research</w:t>
      </w:r>
      <w:r>
        <w:rPr>
          <w:noProof/>
        </w:rPr>
        <w:t>. In this context, education is often unde</w:t>
      </w:r>
      <w:r>
        <w:rPr>
          <w:noProof/>
        </w:rPr>
        <w:t xml:space="preserve">rstood as academic higher education, with VET playing a marginal role, and quite often being neglected. However, VET has an important role to play in the “knowledge triangle”, as well </w:t>
      </w:r>
      <w:r>
        <w:rPr>
          <w:noProof/>
        </w:rPr>
        <w:lastRenderedPageBreak/>
        <w:t>as in "smart specialisation" strategies that lead to sustainable growth,</w:t>
      </w:r>
      <w:r>
        <w:rPr>
          <w:noProof/>
        </w:rPr>
        <w:t xml:space="preserve"> innovation, job creation and social cohesion. </w:t>
      </w:r>
    </w:p>
    <w:p w:rsidR="00620F75" w:rsidRDefault="001F403D">
      <w:pPr>
        <w:rPr>
          <w:noProof/>
        </w:rPr>
      </w:pPr>
      <w:r>
        <w:rPr>
          <w:noProof/>
        </w:rPr>
        <w:t>Some Member States have launched successful initiatives aiming at Vocational excellence</w:t>
      </w:r>
      <w:r>
        <w:rPr>
          <w:noProof/>
          <w:vertAlign w:val="superscript"/>
        </w:rPr>
        <w:footnoteReference w:id="73"/>
      </w:r>
      <w:r>
        <w:rPr>
          <w:noProof/>
        </w:rPr>
        <w:t>, and include VET as part of their innovation strategies. However, these are still rare exceptions, and progress has bee</w:t>
      </w:r>
      <w:r>
        <w:rPr>
          <w:noProof/>
        </w:rPr>
        <w:t xml:space="preserve">n uneven throughout Europe. </w:t>
      </w:r>
    </w:p>
    <w:p w:rsidR="00620F75" w:rsidRDefault="001F403D">
      <w:pPr>
        <w:rPr>
          <w:noProof/>
        </w:rPr>
      </w:pPr>
      <w:r>
        <w:rPr>
          <w:noProof/>
        </w:rPr>
        <w:t>This initiative responds to this challenge, and introduces a "</w:t>
      </w:r>
      <w:r>
        <w:rPr>
          <w:b/>
          <w:noProof/>
        </w:rPr>
        <w:t>European dimension</w:t>
      </w:r>
      <w:r>
        <w:rPr>
          <w:noProof/>
        </w:rPr>
        <w:t xml:space="preserve">" aimed at fostering “upward convergence" of excellence by supporting the development of </w:t>
      </w:r>
      <w:r>
        <w:rPr>
          <w:b/>
          <w:noProof/>
        </w:rPr>
        <w:t>Centres of Vocational Excellence</w:t>
      </w:r>
      <w:r>
        <w:rPr>
          <w:noProof/>
        </w:rPr>
        <w:t>, operating at two levels:</w:t>
      </w:r>
    </w:p>
    <w:p w:rsidR="00620F75" w:rsidRDefault="001F403D">
      <w:pPr>
        <w:pStyle w:val="ListParagraph"/>
        <w:numPr>
          <w:ilvl w:val="0"/>
          <w:numId w:val="24"/>
        </w:numPr>
        <w:rPr>
          <w:noProof/>
        </w:rPr>
      </w:pPr>
      <w:r>
        <w:rPr>
          <w:b/>
          <w:noProof/>
        </w:rPr>
        <w:t xml:space="preserve">National: </w:t>
      </w:r>
      <w:r>
        <w:rPr>
          <w:noProof/>
        </w:rPr>
        <w:t>in a given local context,</w:t>
      </w:r>
      <w:r>
        <w:rPr>
          <w:b/>
          <w:noProof/>
        </w:rPr>
        <w:t xml:space="preserve"> </w:t>
      </w:r>
      <w:r>
        <w:rPr>
          <w:noProof/>
        </w:rPr>
        <w:t xml:space="preserve">embedding </w:t>
      </w:r>
      <w:r>
        <w:rPr>
          <w:b/>
          <w:noProof/>
        </w:rPr>
        <w:t>Centres of Vocational Excellence</w:t>
      </w:r>
      <w:r>
        <w:rPr>
          <w:noProof/>
        </w:rPr>
        <w:t xml:space="preserve"> closely in the local innovation ecosystems and acting as technology diffusion centres for SMEs including digital learning tools (ICT based simulators, virtual and augmented rea</w:t>
      </w:r>
      <w:r>
        <w:rPr>
          <w:noProof/>
        </w:rPr>
        <w:t>lity), and connecting them at European level.</w:t>
      </w:r>
    </w:p>
    <w:p w:rsidR="00620F75" w:rsidRDefault="00620F75">
      <w:pPr>
        <w:pStyle w:val="ListParagraph"/>
        <w:rPr>
          <w:noProof/>
        </w:rPr>
      </w:pPr>
    </w:p>
    <w:p w:rsidR="00620F75" w:rsidRDefault="001F403D">
      <w:pPr>
        <w:pStyle w:val="ListParagraph"/>
        <w:numPr>
          <w:ilvl w:val="0"/>
          <w:numId w:val="24"/>
        </w:numPr>
        <w:rPr>
          <w:noProof/>
        </w:rPr>
      </w:pPr>
      <w:r>
        <w:rPr>
          <w:b/>
          <w:noProof/>
        </w:rPr>
        <w:t xml:space="preserve">International: </w:t>
      </w:r>
      <w:r>
        <w:rPr>
          <w:noProof/>
        </w:rPr>
        <w:t>through</w:t>
      </w:r>
      <w:r>
        <w:rPr>
          <w:b/>
          <w:noProof/>
        </w:rPr>
        <w:t xml:space="preserve"> Platforms of Centres of Vocational Excellence</w:t>
      </w:r>
      <w:r>
        <w:rPr>
          <w:noProof/>
        </w:rPr>
        <w:t xml:space="preserve"> to establish world-class reference points for vocational training by bringing together CoVE`s that </w:t>
      </w:r>
      <w:r>
        <w:rPr>
          <w:b/>
          <w:noProof/>
        </w:rPr>
        <w:t>share a common interest</w:t>
      </w:r>
      <w:r>
        <w:rPr>
          <w:noProof/>
        </w:rPr>
        <w:t xml:space="preserve"> in specific sectors</w:t>
      </w:r>
      <w:r>
        <w:rPr>
          <w:noProof/>
          <w:vertAlign w:val="superscript"/>
        </w:rPr>
        <w:footnoteReference w:id="74"/>
      </w:r>
      <w:r>
        <w:rPr>
          <w:noProof/>
        </w:rPr>
        <w:t>/ trades (</w:t>
      </w:r>
      <w:r>
        <w:rPr>
          <w:i/>
          <w:noProof/>
        </w:rPr>
        <w:t>e.g. aeronautics, e-mobility, green technologies, ICT, healthcare, etc</w:t>
      </w:r>
      <w:r>
        <w:rPr>
          <w:noProof/>
        </w:rPr>
        <w:t>.) or innovative approaches to tackle societal challenges (</w:t>
      </w:r>
      <w:r>
        <w:rPr>
          <w:i/>
          <w:noProof/>
        </w:rPr>
        <w:t>e.g. Climate change, Digitalisation, Artificial Intelligence, Sustainable Development Goals, int</w:t>
      </w:r>
      <w:r>
        <w:rPr>
          <w:i/>
          <w:noProof/>
        </w:rPr>
        <w:t>egration of migrants, upskilling people with low qualification levels, etc.</w:t>
      </w:r>
      <w:r>
        <w:rPr>
          <w:noProof/>
        </w:rPr>
        <w:t>)</w:t>
      </w:r>
      <w:r>
        <w:rPr>
          <w:noProof/>
          <w:vertAlign w:val="superscript"/>
        </w:rPr>
        <w:footnoteReference w:id="75"/>
      </w:r>
      <w:r>
        <w:rPr>
          <w:noProof/>
        </w:rPr>
        <w:t>.</w:t>
      </w:r>
    </w:p>
    <w:p w:rsidR="00620F75" w:rsidRDefault="001F403D">
      <w:pPr>
        <w:rPr>
          <w:noProof/>
        </w:rPr>
      </w:pPr>
      <w:r>
        <w:rPr>
          <w:noProof/>
        </w:rPr>
        <w:t>The</w:t>
      </w:r>
      <w:r>
        <w:rPr>
          <w:b/>
          <w:noProof/>
        </w:rPr>
        <w:t xml:space="preserve"> platforms</w:t>
      </w:r>
      <w:r>
        <w:rPr>
          <w:noProof/>
        </w:rPr>
        <w:t xml:space="preserve"> will either bring together existing CoVE's in different countries, or expand the model by linking well-established CoVE's in one country with partners in other cou</w:t>
      </w:r>
      <w:r>
        <w:rPr>
          <w:noProof/>
        </w:rPr>
        <w:t xml:space="preserve">ntries, that intend to develop CoVE's in their local eco-system. </w:t>
      </w:r>
    </w:p>
    <w:p w:rsidR="00620F75" w:rsidRDefault="001F403D">
      <w:pPr>
        <w:rPr>
          <w:noProof/>
        </w:rPr>
      </w:pPr>
      <w:r>
        <w:rPr>
          <w:noProof/>
        </w:rPr>
        <w:t>The platforms will be open for the involvement of countries with well-developed vocational excellence systems, as well as those in the process of developing similar approaches, aimed at expl</w:t>
      </w:r>
      <w:r>
        <w:rPr>
          <w:noProof/>
        </w:rPr>
        <w:t>oring the full potential of VET institutions to play a proactive role in support of growth, competitiveness and innovation.</w:t>
      </w:r>
    </w:p>
    <w:p w:rsidR="00620F75" w:rsidRDefault="001F403D">
      <w:pPr>
        <w:rPr>
          <w:noProof/>
        </w:rPr>
      </w:pPr>
      <w:r>
        <w:rPr>
          <w:noProof/>
        </w:rPr>
        <w:t xml:space="preserve">Platforms of Centres of Vocational excellence </w:t>
      </w:r>
      <w:r>
        <w:rPr>
          <w:b/>
          <w:noProof/>
        </w:rPr>
        <w:t>are not intended to build new VET institutions and infrastructure from scratch</w:t>
      </w:r>
      <w:r>
        <w:rPr>
          <w:noProof/>
        </w:rPr>
        <w:t xml:space="preserve"> (althou</w:t>
      </w:r>
      <w:r>
        <w:rPr>
          <w:noProof/>
        </w:rPr>
        <w:t xml:space="preserve">gh it may also require this type of investment). Instead they aim to bring together a set of local/regional partners such as initial and continuing VET providers, tertiary education institutions including universities of applied sciences and polytechnics, </w:t>
      </w:r>
      <w:r>
        <w:rPr>
          <w:noProof/>
        </w:rPr>
        <w:t xml:space="preserve">research institutions, science parks, companies, chambers and their associations, social partners, sectoral skills councils, professional/sector associations, national and regional authorities and development agencies, public employment services, etc. </w:t>
      </w:r>
    </w:p>
    <w:p w:rsidR="00620F75" w:rsidRDefault="00620F75">
      <w:pPr>
        <w:rPr>
          <w:noProof/>
        </w:rPr>
      </w:pPr>
    </w:p>
    <w:p w:rsidR="00620F75" w:rsidRDefault="001F403D">
      <w:pPr>
        <w:rPr>
          <w:b/>
          <w:noProof/>
          <w:color w:val="1F497D" w:themeColor="text2"/>
        </w:rPr>
      </w:pPr>
      <w:r>
        <w:rPr>
          <w:b/>
          <w:noProof/>
          <w:color w:val="1F497D" w:themeColor="text2"/>
        </w:rPr>
        <w:lastRenderedPageBreak/>
        <w:t>Th</w:t>
      </w:r>
      <w:r>
        <w:rPr>
          <w:b/>
          <w:noProof/>
          <w:color w:val="1F497D" w:themeColor="text2"/>
        </w:rPr>
        <w:t>e essential features of Centres of Vocational Excellence</w:t>
      </w:r>
    </w:p>
    <w:p w:rsidR="00620F75" w:rsidRDefault="001F403D">
      <w:pPr>
        <w:rPr>
          <w:noProof/>
        </w:rPr>
      </w:pPr>
      <w:r>
        <w:rPr>
          <w:noProof/>
        </w:rPr>
        <w:t xml:space="preserve">CoVE's are characterised by adopting a </w:t>
      </w:r>
      <w:r>
        <w:rPr>
          <w:b/>
          <w:noProof/>
        </w:rPr>
        <w:t>systemic approach</w:t>
      </w:r>
      <w:r>
        <w:rPr>
          <w:noProof/>
        </w:rPr>
        <w:t xml:space="preserve"> through which VET institutions actively contribute to co-create "</w:t>
      </w:r>
      <w:r>
        <w:rPr>
          <w:b/>
          <w:noProof/>
        </w:rPr>
        <w:t>skills ecosystems</w:t>
      </w:r>
      <w:r>
        <w:rPr>
          <w:noProof/>
        </w:rPr>
        <w:t>", together with a wide range of other local/regional partne</w:t>
      </w:r>
      <w:r>
        <w:rPr>
          <w:noProof/>
        </w:rPr>
        <w:t xml:space="preserve">rs. CoVE´s are expected to go far beyond the simple provision of a quality vocational qualification. </w:t>
      </w:r>
    </w:p>
    <w:p w:rsidR="00620F75" w:rsidRDefault="001F403D">
      <w:pPr>
        <w:rPr>
          <w:noProof/>
        </w:rPr>
      </w:pPr>
      <w:r>
        <w:rPr>
          <w:noProof/>
        </w:rPr>
        <w:t xml:space="preserve">Below, we present a non-exhaustive (and non-compulsory) </w:t>
      </w:r>
      <w:r>
        <w:rPr>
          <w:b/>
          <w:noProof/>
        </w:rPr>
        <w:t>list of typical activities</w:t>
      </w:r>
      <w:r>
        <w:rPr>
          <w:noProof/>
        </w:rPr>
        <w:t xml:space="preserve"> and services provided by CoVE’s grouped under three clusters:</w:t>
      </w:r>
    </w:p>
    <w:p w:rsidR="00620F75" w:rsidRDefault="001F403D">
      <w:pPr>
        <w:rPr>
          <w:b/>
          <w:i/>
          <w:noProof/>
        </w:rPr>
      </w:pPr>
      <w:r>
        <w:rPr>
          <w:b/>
          <w:i/>
          <w:noProof/>
        </w:rPr>
        <w:t>Cluster 1</w:t>
      </w:r>
      <w:r>
        <w:rPr>
          <w:b/>
          <w:i/>
          <w:noProof/>
        </w:rPr>
        <w:t xml:space="preserve"> - Teaching and learning</w:t>
      </w:r>
    </w:p>
    <w:p w:rsidR="00620F75" w:rsidRDefault="001F403D">
      <w:pPr>
        <w:numPr>
          <w:ilvl w:val="0"/>
          <w:numId w:val="29"/>
        </w:numPr>
        <w:rPr>
          <w:noProof/>
        </w:rPr>
      </w:pPr>
      <w:r>
        <w:rPr>
          <w:noProof/>
        </w:rPr>
        <w:t xml:space="preserve">Providing people with labour market relevant skills, in a lifelong learning continuum approach. Combining offers of initial VET qualifications, with offers of continuing training (for upskilling and reskilling), that are informed by skills anticipation. </w:t>
      </w:r>
    </w:p>
    <w:p w:rsidR="00620F75" w:rsidRDefault="001F403D">
      <w:pPr>
        <w:numPr>
          <w:ilvl w:val="0"/>
          <w:numId w:val="29"/>
        </w:numPr>
        <w:rPr>
          <w:noProof/>
        </w:rPr>
      </w:pPr>
      <w:r>
        <w:rPr>
          <w:noProof/>
        </w:rPr>
        <w:t>P</w:t>
      </w:r>
      <w:r>
        <w:rPr>
          <w:noProof/>
        </w:rPr>
        <w:t>roviding guidance services, as well as validation of prior learning.</w:t>
      </w:r>
    </w:p>
    <w:p w:rsidR="00620F75" w:rsidRDefault="001F403D">
      <w:pPr>
        <w:numPr>
          <w:ilvl w:val="0"/>
          <w:numId w:val="29"/>
        </w:numPr>
        <w:rPr>
          <w:noProof/>
        </w:rPr>
      </w:pPr>
      <w:r>
        <w:rPr>
          <w:noProof/>
        </w:rPr>
        <w:t>Developing innovative curricula that focus both on technical skills and key competences</w:t>
      </w:r>
      <w:r>
        <w:rPr>
          <w:noProof/>
          <w:vertAlign w:val="superscript"/>
        </w:rPr>
        <w:footnoteReference w:id="76"/>
      </w:r>
      <w:r>
        <w:rPr>
          <w:noProof/>
        </w:rPr>
        <w:t>, while making use of European competence frameworks and tools (e.g. EntreComp, DigComp, DigCompOrg</w:t>
      </w:r>
      <w:r>
        <w:rPr>
          <w:noProof/>
        </w:rPr>
        <w:t>, SELFIE).</w:t>
      </w:r>
    </w:p>
    <w:p w:rsidR="00620F75" w:rsidRDefault="001F403D">
      <w:pPr>
        <w:numPr>
          <w:ilvl w:val="0"/>
          <w:numId w:val="29"/>
        </w:numPr>
        <w:rPr>
          <w:noProof/>
        </w:rPr>
      </w:pPr>
      <w:r>
        <w:rPr>
          <w:noProof/>
        </w:rPr>
        <w:t xml:space="preserve">Developing innovative learner-centred teaching and learning methodologies, including interdisciplinary, project-based, competence-based learning, and </w:t>
      </w:r>
      <w:hyperlink r:id="rId46" w:history="1">
        <w:r>
          <w:rPr>
            <w:rStyle w:val="Hyperlink"/>
            <w:noProof/>
          </w:rPr>
          <w:t>makerspaces</w:t>
        </w:r>
      </w:hyperlink>
      <w:r>
        <w:rPr>
          <w:noProof/>
          <w:vertAlign w:val="superscript"/>
        </w:rPr>
        <w:footnoteReference w:id="77"/>
      </w:r>
      <w:r>
        <w:rPr>
          <w:noProof/>
        </w:rPr>
        <w:t xml:space="preserve">, while fully exploiting digital technologies (e.g. MOOC's, simulators, virtual reality, etc.). </w:t>
      </w:r>
    </w:p>
    <w:p w:rsidR="00620F75" w:rsidRDefault="001F403D">
      <w:pPr>
        <w:numPr>
          <w:ilvl w:val="0"/>
          <w:numId w:val="29"/>
        </w:numPr>
        <w:rPr>
          <w:noProof/>
        </w:rPr>
      </w:pPr>
      <w:r>
        <w:rPr>
          <w:noProof/>
        </w:rPr>
        <w:t>Fostering learner excellence</w:t>
      </w:r>
      <w:r>
        <w:rPr>
          <w:noProof/>
          <w:vertAlign w:val="superscript"/>
        </w:rPr>
        <w:footnoteReference w:id="78"/>
      </w:r>
      <w:r>
        <w:rPr>
          <w:noProof/>
        </w:rPr>
        <w:t xml:space="preserve"> through actions that incentive VET learners to explore their innovation and creative potential, </w:t>
      </w:r>
      <w:r>
        <w:rPr>
          <w:noProof/>
        </w:rPr>
        <w:t>leading to a virtuous cycle of benefits for the learners, the teachers and the VET institution that can integrate best practices into regular programmes.</w:t>
      </w:r>
    </w:p>
    <w:p w:rsidR="00620F75" w:rsidRDefault="001F403D">
      <w:pPr>
        <w:numPr>
          <w:ilvl w:val="0"/>
          <w:numId w:val="29"/>
        </w:numPr>
        <w:rPr>
          <w:noProof/>
        </w:rPr>
      </w:pPr>
      <w:r>
        <w:rPr>
          <w:noProof/>
        </w:rPr>
        <w:t>Developing modular and learner-centred trans-national VET learning provision (curricula and/or qualifi</w:t>
      </w:r>
      <w:r>
        <w:rPr>
          <w:noProof/>
        </w:rPr>
        <w:t>cations) thus facilitating the mobility of learners and staff, as well as the recognition at regional and/or national levels.</w:t>
      </w:r>
    </w:p>
    <w:p w:rsidR="00620F75" w:rsidRDefault="001F403D">
      <w:pPr>
        <w:numPr>
          <w:ilvl w:val="0"/>
          <w:numId w:val="29"/>
        </w:numPr>
        <w:rPr>
          <w:noProof/>
        </w:rPr>
      </w:pPr>
      <w:r>
        <w:rPr>
          <w:noProof/>
        </w:rPr>
        <w:t>Providing higher level VET programmes and developing flexible pathways and cooperation mechanisms between VET and higher education</w:t>
      </w:r>
      <w:r>
        <w:rPr>
          <w:noProof/>
        </w:rPr>
        <w:t xml:space="preserve"> institutions.</w:t>
      </w:r>
    </w:p>
    <w:p w:rsidR="00620F75" w:rsidRDefault="001F403D">
      <w:pPr>
        <w:numPr>
          <w:ilvl w:val="0"/>
          <w:numId w:val="29"/>
        </w:numPr>
        <w:rPr>
          <w:noProof/>
        </w:rPr>
      </w:pPr>
      <w:r>
        <w:rPr>
          <w:noProof/>
        </w:rPr>
        <w:t xml:space="preserve">Investing in the initial and continuing professional development of teachers and trainers, for both pedagogical as well as technical skills, as well as for the implementation of a quality culture based on defined management systems. </w:t>
      </w:r>
    </w:p>
    <w:p w:rsidR="00620F75" w:rsidRDefault="001F403D">
      <w:pPr>
        <w:numPr>
          <w:ilvl w:val="0"/>
          <w:numId w:val="29"/>
        </w:numPr>
        <w:rPr>
          <w:noProof/>
        </w:rPr>
      </w:pPr>
      <w:r>
        <w:rPr>
          <w:noProof/>
        </w:rPr>
        <w:t>Establi</w:t>
      </w:r>
      <w:r>
        <w:rPr>
          <w:noProof/>
        </w:rPr>
        <w:t>shing strong quality assurance mechanisms aligned with European tools and instruments, which may also include working towards the certification of education and training providers based on standards developed by relevant national and/or international stand</w:t>
      </w:r>
      <w:r>
        <w:rPr>
          <w:noProof/>
        </w:rPr>
        <w:t>ards organisations - e.g. ISO 21001 or EFQM.</w:t>
      </w:r>
    </w:p>
    <w:p w:rsidR="00620F75" w:rsidRDefault="001F403D">
      <w:pPr>
        <w:numPr>
          <w:ilvl w:val="0"/>
          <w:numId w:val="29"/>
        </w:numPr>
        <w:rPr>
          <w:noProof/>
        </w:rPr>
      </w:pPr>
      <w:r>
        <w:rPr>
          <w:noProof/>
        </w:rPr>
        <w:t xml:space="preserve">Establishing effective feedback loops and graduate tracking systems that enable the timely adaptation of learning provision to evolving labour market needs. </w:t>
      </w:r>
    </w:p>
    <w:p w:rsidR="00620F75" w:rsidRDefault="001F403D">
      <w:pPr>
        <w:rPr>
          <w:b/>
          <w:i/>
          <w:noProof/>
        </w:rPr>
      </w:pPr>
      <w:r>
        <w:rPr>
          <w:b/>
          <w:i/>
          <w:noProof/>
        </w:rPr>
        <w:lastRenderedPageBreak/>
        <w:t>Cluster 2 - Cooperation and partnerships</w:t>
      </w:r>
    </w:p>
    <w:p w:rsidR="00620F75" w:rsidRDefault="001F403D">
      <w:pPr>
        <w:numPr>
          <w:ilvl w:val="0"/>
          <w:numId w:val="29"/>
        </w:numPr>
        <w:rPr>
          <w:noProof/>
        </w:rPr>
      </w:pPr>
      <w:r>
        <w:rPr>
          <w:noProof/>
        </w:rPr>
        <w:t>Contributing</w:t>
      </w:r>
      <w:r>
        <w:rPr>
          <w:noProof/>
        </w:rPr>
        <w:t xml:space="preserve"> to creation and dissemination of new knowledge in partnership with other stakeholders, e.g. through joint R&amp;D with universities, R&amp;D units in companies, research bodies, etc.</w:t>
      </w:r>
    </w:p>
    <w:p w:rsidR="00620F75" w:rsidRDefault="001F403D">
      <w:pPr>
        <w:numPr>
          <w:ilvl w:val="0"/>
          <w:numId w:val="29"/>
        </w:numPr>
        <w:rPr>
          <w:noProof/>
        </w:rPr>
      </w:pPr>
      <w:r>
        <w:rPr>
          <w:noProof/>
        </w:rPr>
        <w:t>Establishing business-education partnerships for apprenticeships, internships, s</w:t>
      </w:r>
      <w:r>
        <w:rPr>
          <w:noProof/>
        </w:rPr>
        <w:t>haring of equipment, exchanges of staff and teachers between companies and VET centres, etc.</w:t>
      </w:r>
    </w:p>
    <w:p w:rsidR="00620F75" w:rsidRDefault="001F403D">
      <w:pPr>
        <w:numPr>
          <w:ilvl w:val="0"/>
          <w:numId w:val="29"/>
        </w:numPr>
        <w:rPr>
          <w:noProof/>
        </w:rPr>
      </w:pPr>
      <w:r>
        <w:rPr>
          <w:noProof/>
        </w:rPr>
        <w:t>Providing SMEs with technical support, needs assessment, tools and methodologies, as well as tailor-made training to support their offers for apprenticeship and up</w:t>
      </w:r>
      <w:r>
        <w:rPr>
          <w:noProof/>
        </w:rPr>
        <w:t>-skilling/re-skilling.</w:t>
      </w:r>
    </w:p>
    <w:p w:rsidR="00620F75" w:rsidRDefault="001F403D">
      <w:pPr>
        <w:numPr>
          <w:ilvl w:val="0"/>
          <w:numId w:val="29"/>
        </w:numPr>
        <w:rPr>
          <w:noProof/>
        </w:rPr>
      </w:pPr>
      <w:r>
        <w:rPr>
          <w:noProof/>
        </w:rPr>
        <w:t>Working together with local SME's through innovation hubs, technology diffusion centres, and applied research</w:t>
      </w:r>
      <w:r>
        <w:rPr>
          <w:noProof/>
        </w:rPr>
        <w:footnoteReference w:id="79"/>
      </w:r>
      <w:r>
        <w:rPr>
          <w:noProof/>
        </w:rPr>
        <w:t xml:space="preserve"> projects with the involvement of VET learners and staff.</w:t>
      </w:r>
    </w:p>
    <w:p w:rsidR="00620F75" w:rsidRDefault="001F403D">
      <w:pPr>
        <w:numPr>
          <w:ilvl w:val="0"/>
          <w:numId w:val="29"/>
        </w:numPr>
        <w:rPr>
          <w:noProof/>
        </w:rPr>
      </w:pPr>
      <w:r>
        <w:rPr>
          <w:noProof/>
        </w:rPr>
        <w:t>Providing or supporting business incubators for VET learners to d</w:t>
      </w:r>
      <w:r>
        <w:rPr>
          <w:noProof/>
        </w:rPr>
        <w:t>evelop their entrepreneurship skills and initiatives.</w:t>
      </w:r>
    </w:p>
    <w:p w:rsidR="00620F75" w:rsidRDefault="001F403D">
      <w:pPr>
        <w:numPr>
          <w:ilvl w:val="0"/>
          <w:numId w:val="29"/>
        </w:numPr>
        <w:rPr>
          <w:noProof/>
        </w:rPr>
      </w:pPr>
      <w:r>
        <w:rPr>
          <w:noProof/>
        </w:rPr>
        <w:t>Developing internationalisation strategies to foster trans-national mobility of VET learners, teachers and trainers, as well as leaders. This could also include preparatory work to facilitate mobility s</w:t>
      </w:r>
      <w:r>
        <w:rPr>
          <w:noProof/>
        </w:rPr>
        <w:t>uch as teaching programmes or courses on EU studies to improve understanding of Europe's integration process and its place in a globalised world (e.g. inspired on the Jean Monnet actions).</w:t>
      </w:r>
    </w:p>
    <w:p w:rsidR="00620F75" w:rsidRDefault="001F403D">
      <w:pPr>
        <w:numPr>
          <w:ilvl w:val="0"/>
          <w:numId w:val="29"/>
        </w:numPr>
        <w:rPr>
          <w:noProof/>
        </w:rPr>
      </w:pPr>
      <w:r>
        <w:rPr>
          <w:noProof/>
        </w:rPr>
        <w:t>Launching and actively participating in campaigns and activities ai</w:t>
      </w:r>
      <w:r>
        <w:rPr>
          <w:noProof/>
        </w:rPr>
        <w:t>med at raising the attractiveness of VET and awareness to the life and job opportunities provided by VET qualifications. These initiatives could attract more people (including learners in primary and secondary schools) to specific professions, and contribu</w:t>
      </w:r>
      <w:r>
        <w:rPr>
          <w:noProof/>
        </w:rPr>
        <w:t>te to the European Vocational Skills Week.</w:t>
      </w:r>
    </w:p>
    <w:p w:rsidR="00620F75" w:rsidRDefault="001F403D">
      <w:pPr>
        <w:numPr>
          <w:ilvl w:val="0"/>
          <w:numId w:val="29"/>
        </w:numPr>
        <w:rPr>
          <w:noProof/>
        </w:rPr>
      </w:pPr>
      <w:r>
        <w:rPr>
          <w:noProof/>
        </w:rPr>
        <w:t>Participating in national and international skills competitions, aimed at raising the attractiveness and excellence in VET.</w:t>
      </w:r>
    </w:p>
    <w:p w:rsidR="00620F75" w:rsidRDefault="001F403D">
      <w:pPr>
        <w:numPr>
          <w:ilvl w:val="0"/>
          <w:numId w:val="29"/>
        </w:numPr>
        <w:rPr>
          <w:noProof/>
        </w:rPr>
      </w:pPr>
      <w:r>
        <w:rPr>
          <w:noProof/>
        </w:rPr>
        <w:t xml:space="preserve">Developing "International VET campus/academies" for learners in primary, secondary, and </w:t>
      </w:r>
      <w:r>
        <w:rPr>
          <w:noProof/>
        </w:rPr>
        <w:t>VET schools, teachers and trainers, Leaders in VET institutions, as well as for people considering future vocational study options. These could be focused on specific occupational fields, products or services.</w:t>
      </w:r>
    </w:p>
    <w:p w:rsidR="00620F75" w:rsidRDefault="001F403D">
      <w:pPr>
        <w:rPr>
          <w:b/>
          <w:i/>
          <w:noProof/>
        </w:rPr>
      </w:pPr>
      <w:r>
        <w:rPr>
          <w:b/>
          <w:i/>
          <w:noProof/>
        </w:rPr>
        <w:t>Cluster 3 - Governance and funding</w:t>
      </w:r>
    </w:p>
    <w:p w:rsidR="00620F75" w:rsidRDefault="001F403D">
      <w:pPr>
        <w:numPr>
          <w:ilvl w:val="0"/>
          <w:numId w:val="29"/>
        </w:numPr>
        <w:rPr>
          <w:noProof/>
        </w:rPr>
      </w:pPr>
      <w:r>
        <w:rPr>
          <w:noProof/>
        </w:rPr>
        <w:t>Ensuring ef</w:t>
      </w:r>
      <w:r>
        <w:rPr>
          <w:noProof/>
        </w:rPr>
        <w:t xml:space="preserve">fective governance at all levels involving relevant stakeholders, particularly companies, chambers, professional and sector associations, national and regional authorities and social partners. </w:t>
      </w:r>
    </w:p>
    <w:p w:rsidR="00620F75" w:rsidRDefault="001F403D">
      <w:pPr>
        <w:numPr>
          <w:ilvl w:val="0"/>
          <w:numId w:val="29"/>
        </w:numPr>
        <w:rPr>
          <w:noProof/>
        </w:rPr>
      </w:pPr>
      <w:r>
        <w:rPr>
          <w:noProof/>
        </w:rPr>
        <w:lastRenderedPageBreak/>
        <w:t>Actively engaging in the overall national Skills governance sy</w:t>
      </w:r>
      <w:r>
        <w:rPr>
          <w:noProof/>
        </w:rPr>
        <w:t>stems and linking with employment and social policies at local, regional, national and European level.</w:t>
      </w:r>
    </w:p>
    <w:p w:rsidR="00620F75" w:rsidRDefault="001F403D">
      <w:pPr>
        <w:numPr>
          <w:ilvl w:val="0"/>
          <w:numId w:val="29"/>
        </w:numPr>
        <w:rPr>
          <w:noProof/>
        </w:rPr>
      </w:pPr>
      <w:r>
        <w:rPr>
          <w:noProof/>
        </w:rPr>
        <w:t>Integrating into economic and innovation strategies and systems at local, regional, national and European levels to proactively co-shape innovation and g</w:t>
      </w:r>
      <w:r>
        <w:rPr>
          <w:noProof/>
        </w:rPr>
        <w:t>rowth.</w:t>
      </w:r>
    </w:p>
    <w:p w:rsidR="00620F75" w:rsidRDefault="001F403D">
      <w:pPr>
        <w:numPr>
          <w:ilvl w:val="0"/>
          <w:numId w:val="29"/>
        </w:numPr>
        <w:rPr>
          <w:noProof/>
        </w:rPr>
      </w:pPr>
      <w:r>
        <w:rPr>
          <w:noProof/>
        </w:rPr>
        <w:t xml:space="preserve">Developing sustainable financial models that combine public and private funding, as well as income generating activities. </w:t>
      </w:r>
    </w:p>
    <w:p w:rsidR="00620F75" w:rsidRDefault="001F403D">
      <w:pPr>
        <w:numPr>
          <w:ilvl w:val="0"/>
          <w:numId w:val="29"/>
        </w:numPr>
        <w:rPr>
          <w:noProof/>
        </w:rPr>
      </w:pPr>
      <w:r>
        <w:rPr>
          <w:noProof/>
        </w:rPr>
        <w:t>Supporting the attraction of foreign investment projects by ensuring timely provision of skills for companies investing locall</w:t>
      </w:r>
      <w:r>
        <w:rPr>
          <w:noProof/>
        </w:rPr>
        <w:t>y</w:t>
      </w:r>
    </w:p>
    <w:p w:rsidR="00620F75" w:rsidRDefault="001F403D">
      <w:pPr>
        <w:numPr>
          <w:ilvl w:val="0"/>
          <w:numId w:val="29"/>
        </w:numPr>
        <w:rPr>
          <w:noProof/>
        </w:rPr>
      </w:pPr>
      <w:r>
        <w:rPr>
          <w:noProof/>
        </w:rPr>
        <w:t>Making full use of national and EU financial instruments and Funds. These can include the support of education and training actions, mobility of learners and staff, applied research activities, infrastructure investments to modernise VET centres with adv</w:t>
      </w:r>
      <w:r>
        <w:rPr>
          <w:noProof/>
        </w:rPr>
        <w:t xml:space="preserve">anced equipment, implementation of management systems to assure excellence and sustainability of VET organizations and the services they provide, etc. </w:t>
      </w:r>
    </w:p>
    <w:p w:rsidR="00620F75" w:rsidRDefault="001F403D">
      <w:pPr>
        <w:rPr>
          <w:b/>
          <w:noProof/>
          <w:color w:val="1F497D" w:themeColor="text2"/>
        </w:rPr>
      </w:pPr>
      <w:r>
        <w:rPr>
          <w:b/>
          <w:noProof/>
          <w:color w:val="1F497D" w:themeColor="text2"/>
        </w:rPr>
        <w:t>Future roll-out of the Platforms of Centres of Vocational Excellence according to Commission proposal</w:t>
      </w:r>
    </w:p>
    <w:p w:rsidR="00620F75" w:rsidRDefault="001F403D">
      <w:pPr>
        <w:widowControl w:val="0"/>
        <w:spacing w:after="120"/>
        <w:rPr>
          <w:rFonts w:cstheme="minorHAnsi"/>
          <w:noProof/>
        </w:rPr>
      </w:pPr>
      <w:r>
        <w:rPr>
          <w:rFonts w:cstheme="minorHAnsi"/>
          <w:noProof/>
        </w:rPr>
        <w:t>The Commission has proposed that the future Erasmus programme funds the activities related to the transnational cooperation of these centres, notably related to the establishment of the transnational platforms, initial operation, and capacity building. The</w:t>
      </w:r>
      <w:r>
        <w:rPr>
          <w:rFonts w:cstheme="minorHAnsi"/>
          <w:noProof/>
        </w:rPr>
        <w:t xml:space="preserve"> precise modalities of funding and design of the action are still to be defined, within the context of preparing the ground for the implementation of the future Erasmus Regulation. The platforms should aim to be self-sustainable in the medium-term.</w:t>
      </w:r>
    </w:p>
    <w:p w:rsidR="00620F75" w:rsidRDefault="001F403D">
      <w:pPr>
        <w:spacing w:after="120"/>
        <w:rPr>
          <w:rFonts w:cstheme="minorHAnsi"/>
          <w:noProof/>
          <w:color w:val="000000"/>
        </w:rPr>
      </w:pPr>
      <w:r>
        <w:rPr>
          <w:rFonts w:cstheme="minorHAnsi"/>
          <w:noProof/>
          <w:color w:val="000000"/>
        </w:rPr>
        <w:t>Pilot a</w:t>
      </w:r>
      <w:r>
        <w:rPr>
          <w:rFonts w:cstheme="minorHAnsi"/>
          <w:noProof/>
          <w:color w:val="000000"/>
        </w:rPr>
        <w:t>ctions to prepare the initiative are being supported by the current Erasmus+ programme:</w:t>
      </w:r>
    </w:p>
    <w:p w:rsidR="00620F75" w:rsidRDefault="001F403D">
      <w:pPr>
        <w:numPr>
          <w:ilvl w:val="0"/>
          <w:numId w:val="27"/>
        </w:numPr>
        <w:spacing w:after="120"/>
        <w:rPr>
          <w:rFonts w:cstheme="minorHAnsi"/>
          <w:noProof/>
        </w:rPr>
      </w:pPr>
      <w:r>
        <w:rPr>
          <w:rFonts w:cstheme="minorHAnsi"/>
          <w:noProof/>
          <w:color w:val="000000"/>
        </w:rPr>
        <w:t xml:space="preserve">In the </w:t>
      </w:r>
      <w:r>
        <w:rPr>
          <w:rFonts w:cstheme="minorHAnsi"/>
          <w:b/>
          <w:noProof/>
          <w:color w:val="000000"/>
        </w:rPr>
        <w:t>2019 Erasmus+ call</w:t>
      </w:r>
      <w:r>
        <w:rPr>
          <w:rFonts w:cstheme="minorHAnsi"/>
          <w:noProof/>
          <w:color w:val="000000"/>
        </w:rPr>
        <w:t xml:space="preserve">, the Commission launched a </w:t>
      </w:r>
      <w:hyperlink r:id="rId47" w:history="1">
        <w:r>
          <w:rPr>
            <w:rStyle w:val="Hyperlink"/>
            <w:rFonts w:cstheme="minorHAnsi"/>
            <w:noProof/>
          </w:rPr>
          <w:t>call for pilot proj</w:t>
        </w:r>
        <w:r>
          <w:rPr>
            <w:rStyle w:val="Hyperlink"/>
            <w:rFonts w:cstheme="minorHAnsi"/>
            <w:noProof/>
          </w:rPr>
          <w:t>ects</w:t>
        </w:r>
      </w:hyperlink>
      <w:r>
        <w:rPr>
          <w:rFonts w:cstheme="minorHAnsi"/>
          <w:noProof/>
          <w:color w:val="000000"/>
        </w:rPr>
        <w:t xml:space="preserve"> under Sector Skills Alliances with a </w:t>
      </w:r>
      <w:r>
        <w:rPr>
          <w:rFonts w:cstheme="minorHAnsi"/>
          <w:noProof/>
        </w:rPr>
        <w:t xml:space="preserve">budget of €5 million to support a first set of up to 5 projects running for 2 years. </w:t>
      </w:r>
    </w:p>
    <w:p w:rsidR="00620F75" w:rsidRDefault="001F403D">
      <w:pPr>
        <w:numPr>
          <w:ilvl w:val="0"/>
          <w:numId w:val="27"/>
        </w:numPr>
        <w:spacing w:after="120"/>
        <w:rPr>
          <w:rFonts w:cstheme="minorHAnsi"/>
          <w:noProof/>
        </w:rPr>
      </w:pPr>
      <w:r>
        <w:rPr>
          <w:rFonts w:cstheme="minorHAnsi"/>
          <w:noProof/>
        </w:rPr>
        <w:t xml:space="preserve">In the </w:t>
      </w:r>
      <w:r>
        <w:rPr>
          <w:rFonts w:cstheme="minorHAnsi"/>
          <w:b/>
          <w:noProof/>
        </w:rPr>
        <w:t>2020 Erasmus+ call</w:t>
      </w:r>
      <w:r>
        <w:rPr>
          <w:rFonts w:cstheme="minorHAnsi"/>
          <w:noProof/>
        </w:rPr>
        <w:t xml:space="preserve">, the Commission published a </w:t>
      </w:r>
      <w:hyperlink r:id="rId48" w:history="1">
        <w:r>
          <w:rPr>
            <w:rStyle w:val="Hyperlink"/>
            <w:rFonts w:cstheme="minorHAnsi"/>
            <w:b/>
            <w:i/>
            <w:noProof/>
          </w:rPr>
          <w:t>specific call</w:t>
        </w:r>
      </w:hyperlink>
      <w:r>
        <w:rPr>
          <w:rFonts w:cstheme="minorHAnsi"/>
          <w:noProof/>
        </w:rPr>
        <w:t xml:space="preserve"> to establish Platforms of CoVE´s</w:t>
      </w:r>
      <w:r>
        <w:rPr>
          <w:rFonts w:cstheme="minorHAnsi"/>
          <w:b/>
          <w:i/>
          <w:noProof/>
        </w:rPr>
        <w:t xml:space="preserve"> </w:t>
      </w:r>
      <w:r>
        <w:rPr>
          <w:rFonts w:cstheme="minorHAnsi"/>
          <w:noProof/>
        </w:rPr>
        <w:t>with a budget of €20 million to support 5 fully-fledged Platforms running for 4 years, that closely resemble the future model that will be supported in the Erasmus programme in th</w:t>
      </w:r>
      <w:r>
        <w:rPr>
          <w:rFonts w:cstheme="minorHAnsi"/>
          <w:noProof/>
        </w:rPr>
        <w:t xml:space="preserve">e period 2021-2027. </w:t>
      </w:r>
    </w:p>
    <w:p w:rsidR="00620F75" w:rsidRDefault="001F403D">
      <w:pPr>
        <w:pStyle w:val="Heading3"/>
        <w:rPr>
          <w:rStyle w:val="Heading2Char"/>
          <w:rFonts w:eastAsiaTheme="minorHAnsi"/>
          <w:b/>
          <w:noProof/>
        </w:rPr>
      </w:pPr>
      <w:bookmarkStart w:id="164" w:name="_Toc34039160"/>
      <w:bookmarkStart w:id="165" w:name="_Toc34040460"/>
      <w:bookmarkStart w:id="166" w:name="_Toc34041717"/>
      <w:bookmarkStart w:id="167" w:name="_Toc34042219"/>
      <w:bookmarkStart w:id="168" w:name="_Toc32997322"/>
      <w:r>
        <w:rPr>
          <w:rStyle w:val="Heading2Char"/>
          <w:rFonts w:eastAsiaTheme="minorHAnsi"/>
          <w:b/>
          <w:noProof/>
        </w:rPr>
        <w:t xml:space="preserve"> </w:t>
      </w:r>
      <w:bookmarkStart w:id="169" w:name="_Toc43376117"/>
      <w:r>
        <w:rPr>
          <w:rStyle w:val="Heading2Char"/>
          <w:rFonts w:eastAsiaTheme="minorHAnsi"/>
          <w:b/>
          <w:noProof/>
        </w:rPr>
        <w:t>Support service</w:t>
      </w:r>
      <w:bookmarkEnd w:id="164"/>
      <w:bookmarkEnd w:id="165"/>
      <w:bookmarkEnd w:id="166"/>
      <w:bookmarkEnd w:id="167"/>
      <w:bookmarkEnd w:id="168"/>
      <w:r>
        <w:rPr>
          <w:rStyle w:val="Heading2Char"/>
          <w:rFonts w:eastAsiaTheme="minorHAnsi"/>
          <w:b/>
          <w:noProof/>
        </w:rPr>
        <w:t>s for VET</w:t>
      </w:r>
      <w:bookmarkEnd w:id="169"/>
    </w:p>
    <w:p w:rsidR="00620F75" w:rsidRDefault="001F403D">
      <w:pPr>
        <w:rPr>
          <w:noProof/>
        </w:rPr>
      </w:pPr>
      <w:r>
        <w:rPr>
          <w:noProof/>
        </w:rPr>
        <w:t>The Commission proposal for a Council Recommendation on vocational education and training for sustainable competitiveness, social fairness and resilience proposes that the support of the European Commission to</w:t>
      </w:r>
      <w:r>
        <w:rPr>
          <w:noProof/>
        </w:rPr>
        <w:t xml:space="preserve"> Member States with a view to the implementation of this Recommendation will be organised through support services based on demands from all relevant stakeholders.</w:t>
      </w:r>
    </w:p>
    <w:p w:rsidR="00620F75" w:rsidRDefault="001F403D">
      <w:pPr>
        <w:rPr>
          <w:noProof/>
        </w:rPr>
      </w:pPr>
      <w:r>
        <w:rPr>
          <w:noProof/>
        </w:rPr>
        <w:t xml:space="preserve">The services will built on existing support activities related to the implementation of the </w:t>
      </w:r>
      <w:r>
        <w:rPr>
          <w:noProof/>
        </w:rPr>
        <w:t>Recommendations on EQAVET, ECVET and European framework for quality and effective apprenticeships – notably its Apprenticeships Support Services.</w:t>
      </w:r>
    </w:p>
    <w:p w:rsidR="00620F75" w:rsidRDefault="001F403D">
      <w:pPr>
        <w:rPr>
          <w:noProof/>
        </w:rPr>
      </w:pPr>
      <w:r>
        <w:rPr>
          <w:noProof/>
        </w:rPr>
        <w:t>The support of the European Commission to Member States with a view to the implementation of this Recommendati</w:t>
      </w:r>
      <w:r>
        <w:rPr>
          <w:noProof/>
        </w:rPr>
        <w:t xml:space="preserve">on could be gradually deployed through reinforcing support for structural reforms on apprenticeships through the apprenticeship support </w:t>
      </w:r>
      <w:r>
        <w:rPr>
          <w:noProof/>
        </w:rPr>
        <w:lastRenderedPageBreak/>
        <w:t>service</w:t>
      </w:r>
      <w:r>
        <w:rPr>
          <w:noProof/>
          <w:vertAlign w:val="superscript"/>
        </w:rPr>
        <w:footnoteReference w:id="80"/>
      </w:r>
      <w:r>
        <w:rPr>
          <w:noProof/>
        </w:rPr>
        <w:t xml:space="preserve"> and a new boost to European Alliance for Apprenticeships in synergy with the Youth Guarantee as well as expandi</w:t>
      </w:r>
      <w:r>
        <w:rPr>
          <w:noProof/>
        </w:rPr>
        <w:t>ng support services for vocational education and training together with Cedefop. The activities could cover a range of services, including mutual learning, expert advice, bench-learning, analytical work and capacity building for implementing this Recommend</w:t>
      </w:r>
      <w:r>
        <w:rPr>
          <w:noProof/>
        </w:rPr>
        <w:t>ation.</w:t>
      </w:r>
    </w:p>
    <w:p w:rsidR="00620F75" w:rsidRDefault="001F403D">
      <w:pPr>
        <w:rPr>
          <w:noProof/>
        </w:rPr>
      </w:pPr>
      <w:r>
        <w:rPr>
          <w:noProof/>
        </w:rPr>
        <w:t>The services will be based on rolling work programme to be defined together with the Advisory Committee on Vocational Training in cooperation with learners’ representatives and providers of vocational education and training.</w:t>
      </w:r>
    </w:p>
    <w:p w:rsidR="00620F75" w:rsidRDefault="001F403D">
      <w:pPr>
        <w:pStyle w:val="Heading3"/>
        <w:rPr>
          <w:rStyle w:val="Heading2Char"/>
          <w:rFonts w:eastAsiaTheme="minorHAnsi"/>
          <w:b/>
          <w:noProof/>
        </w:rPr>
      </w:pPr>
      <w:bookmarkStart w:id="170" w:name="_Toc34039161"/>
      <w:bookmarkStart w:id="171" w:name="_Toc34040461"/>
      <w:bookmarkStart w:id="172" w:name="_Toc34041718"/>
      <w:bookmarkStart w:id="173" w:name="_Toc34042220"/>
      <w:bookmarkStart w:id="174" w:name="_Toc32997323"/>
      <w:bookmarkStart w:id="175" w:name="_Toc43376118"/>
      <w:r>
        <w:rPr>
          <w:rStyle w:val="Heading2Char"/>
          <w:rFonts w:eastAsiaTheme="minorHAnsi"/>
          <w:b/>
          <w:noProof/>
        </w:rPr>
        <w:t>EQAVET Peer Reviews</w:t>
      </w:r>
      <w:bookmarkEnd w:id="170"/>
      <w:bookmarkEnd w:id="171"/>
      <w:bookmarkEnd w:id="172"/>
      <w:bookmarkEnd w:id="173"/>
      <w:bookmarkEnd w:id="174"/>
      <w:bookmarkEnd w:id="175"/>
    </w:p>
    <w:p w:rsidR="00620F75" w:rsidRDefault="001F403D">
      <w:pPr>
        <w:rPr>
          <w:noProof/>
        </w:rPr>
      </w:pPr>
      <w:r>
        <w:rPr>
          <w:noProof/>
        </w:rPr>
        <w:t>With</w:t>
      </w:r>
      <w:r>
        <w:rPr>
          <w:noProof/>
        </w:rPr>
        <w:t xml:space="preserve"> the view to strengthen the European dimension of increased transparency and ‘trust-building’ the proposal proposes to introduce peer reviews on quality assurance arrangements in VET. The focus on the European dimension is a logical extension of successful</w:t>
      </w:r>
      <w:r>
        <w:rPr>
          <w:noProof/>
        </w:rPr>
        <w:t xml:space="preserve"> activities which have taken places since the adoption of EQAVET Recommendation in 2009 and which have helped the majority of countries to define, review and refine their quality assurance systems. The format and working methods of this reinforced European</w:t>
      </w:r>
      <w:r>
        <w:rPr>
          <w:noProof/>
        </w:rPr>
        <w:t xml:space="preserve"> dimension, aimed at strengthening transparency and trust building, through a peer review exercise needs to be further discussed with all relevant stakeholders. </w:t>
      </w:r>
    </w:p>
    <w:p w:rsidR="00620F75" w:rsidRDefault="001F403D">
      <w:pPr>
        <w:rPr>
          <w:noProof/>
        </w:rPr>
      </w:pPr>
      <w:r>
        <w:rPr>
          <w:noProof/>
        </w:rPr>
        <w:t>It is intended to make use of the new Erasmus Programme and possibly integrate the exercise in</w:t>
      </w:r>
      <w:r>
        <w:rPr>
          <w:noProof/>
        </w:rPr>
        <w:t xml:space="preserve"> the future integrated VET support service as explained above.</w:t>
      </w:r>
    </w:p>
    <w:p w:rsidR="00620F75" w:rsidRDefault="001F403D">
      <w:pPr>
        <w:rPr>
          <w:noProof/>
        </w:rPr>
      </w:pPr>
      <w:r>
        <w:rPr>
          <w:noProof/>
        </w:rPr>
        <w:t>The following box presents a possible approach to build the concept of peer reviews on quality assurance in VET.</w:t>
      </w:r>
    </w:p>
    <w:p w:rsidR="00620F75" w:rsidRDefault="001F403D">
      <w:pPr>
        <w:rPr>
          <w:rFonts w:cstheme="minorHAnsi"/>
          <w:b/>
          <w:iCs/>
          <w:noProof/>
          <w:szCs w:val="24"/>
        </w:rPr>
      </w:pPr>
      <w:r>
        <w:rPr>
          <w:rFonts w:cstheme="minorHAnsi"/>
          <w:b/>
          <w:iCs/>
          <w:noProof/>
          <w:szCs w:val="24"/>
        </w:rPr>
        <w:t>Box 6 - Peer reviews on quality assurance in VET</w:t>
      </w:r>
    </w:p>
    <w:tbl>
      <w:tblPr>
        <w:tblStyle w:val="TableGrid"/>
        <w:tblW w:w="0" w:type="auto"/>
        <w:tblLook w:val="04A0" w:firstRow="1" w:lastRow="0" w:firstColumn="1" w:lastColumn="0" w:noHBand="0" w:noVBand="1"/>
      </w:tblPr>
      <w:tblGrid>
        <w:gridCol w:w="9212"/>
      </w:tblGrid>
      <w:tr w:rsidR="00620F75">
        <w:tc>
          <w:tcPr>
            <w:tcW w:w="9212" w:type="dxa"/>
          </w:tcPr>
          <w:p w:rsidR="00620F75" w:rsidRDefault="001F403D">
            <w:pPr>
              <w:rPr>
                <w:noProof/>
              </w:rPr>
            </w:pPr>
            <w:r>
              <w:rPr>
                <w:noProof/>
              </w:rPr>
              <w:t xml:space="preserve">A peer review is a type of </w:t>
            </w:r>
            <w:r>
              <w:rPr>
                <w:noProof/>
              </w:rPr>
              <w:t>mutual learning activity. It is hosted by a country to present and discuss in depth the specific policy responses and arrangements in place to achieve the objectives of the policy area. Both representatives of Member States and independent experts can part</w:t>
            </w:r>
            <w:r>
              <w:rPr>
                <w:noProof/>
              </w:rPr>
              <w:t>icipate. The peer review was introduced as an ET2020 tool following the 2012 Joint Report and it is used on a regular basis in the meetings of the Directors General for VET.</w:t>
            </w:r>
          </w:p>
          <w:p w:rsidR="00620F75" w:rsidRDefault="001F403D">
            <w:pPr>
              <w:rPr>
                <w:noProof/>
              </w:rPr>
            </w:pPr>
            <w:r>
              <w:rPr>
                <w:noProof/>
              </w:rPr>
              <w:t xml:space="preserve">In the context of the proposed options for EQAVET, a peer review is a type of </w:t>
            </w:r>
            <w:r>
              <w:rPr>
                <w:noProof/>
              </w:rPr>
              <w:t>mutual learning activity focused on the quality assurance arrangements at VET system level. The objectives of these peer reviews are to support the improvement QA at Member State level, enhance the transparency of QA arrangements and reinforce trust betwee</w:t>
            </w:r>
            <w:r>
              <w:rPr>
                <w:noProof/>
              </w:rPr>
              <w:t>n the Member States.</w:t>
            </w:r>
          </w:p>
          <w:p w:rsidR="00620F75" w:rsidRDefault="001F403D">
            <w:pPr>
              <w:rPr>
                <w:noProof/>
              </w:rPr>
            </w:pPr>
            <w:r>
              <w:rPr>
                <w:noProof/>
              </w:rPr>
              <w:t>Therefore, peer review is not to be confused with accreditation or certification. In the framework of the EQAVET implementation, EU peer reviews at VET provider level are already frequently carried out in EU funded projects. A specific</w:t>
            </w:r>
            <w:r>
              <w:rPr>
                <w:noProof/>
              </w:rPr>
              <w:t xml:space="preserve"> methodology for a EU peer </w:t>
            </w:r>
            <w:r>
              <w:rPr>
                <w:noProof/>
              </w:rPr>
              <w:lastRenderedPageBreak/>
              <w:t xml:space="preserve">reviews at VET provider level has been developed in the framework of Leonardo Da Vinci project in 2007 and this methodology is still used in more recent projects (for example in the projects selected in the framework of the 2017 </w:t>
            </w:r>
            <w:r>
              <w:rPr>
                <w:noProof/>
              </w:rPr>
              <w:t>restricted call for proposals of EQAVET NRPs).</w:t>
            </w:r>
          </w:p>
          <w:p w:rsidR="00620F75" w:rsidRDefault="001F403D">
            <w:pPr>
              <w:rPr>
                <w:noProof/>
              </w:rPr>
            </w:pPr>
            <w:r>
              <w:rPr>
                <w:noProof/>
              </w:rPr>
              <w:t>The key principles of EU peer reviews at VET system level would need to be determined in cooperation with the participating Member States and could consist of the following features:</w:t>
            </w:r>
          </w:p>
          <w:p w:rsidR="00620F75" w:rsidRDefault="001F403D">
            <w:pPr>
              <w:numPr>
                <w:ilvl w:val="0"/>
                <w:numId w:val="22"/>
              </w:numPr>
              <w:rPr>
                <w:noProof/>
              </w:rPr>
            </w:pPr>
            <w:r>
              <w:rPr>
                <w:noProof/>
              </w:rPr>
              <w:t>The focus is on supporting</w:t>
            </w:r>
            <w:r>
              <w:rPr>
                <w:noProof/>
              </w:rPr>
              <w:t xml:space="preserve"> countries to improve their QA and creating transparency of QA arrangements in Member States;</w:t>
            </w:r>
          </w:p>
          <w:p w:rsidR="00620F75" w:rsidRDefault="001F403D">
            <w:pPr>
              <w:numPr>
                <w:ilvl w:val="0"/>
                <w:numId w:val="22"/>
              </w:numPr>
              <w:rPr>
                <w:noProof/>
              </w:rPr>
            </w:pPr>
            <w:r>
              <w:rPr>
                <w:noProof/>
              </w:rPr>
              <w:t>The target group is those officials who have responsibilities for QA of VET at the system level;</w:t>
            </w:r>
          </w:p>
          <w:p w:rsidR="00620F75" w:rsidRDefault="001F403D">
            <w:pPr>
              <w:numPr>
                <w:ilvl w:val="0"/>
                <w:numId w:val="22"/>
              </w:numPr>
              <w:rPr>
                <w:noProof/>
              </w:rPr>
            </w:pPr>
            <w:r>
              <w:rPr>
                <w:noProof/>
              </w:rPr>
              <w:t xml:space="preserve">The peer review is not a technical and/or bureaucratic procedure </w:t>
            </w:r>
            <w:r>
              <w:rPr>
                <w:noProof/>
              </w:rPr>
              <w:t>but a dynamic and motivating discussion process that engages policy makers at national/system level and increases cooperation at EU level;</w:t>
            </w:r>
          </w:p>
          <w:p w:rsidR="00620F75" w:rsidRDefault="001F403D">
            <w:pPr>
              <w:numPr>
                <w:ilvl w:val="0"/>
                <w:numId w:val="22"/>
              </w:numPr>
              <w:rPr>
                <w:noProof/>
              </w:rPr>
            </w:pPr>
            <w:r>
              <w:rPr>
                <w:noProof/>
              </w:rPr>
              <w:t>A specific methodology to carry out EU peer reviews at VET system level needs to be defined in cooperation with Membe</w:t>
            </w:r>
            <w:r>
              <w:rPr>
                <w:noProof/>
              </w:rPr>
              <w:t>r State representatives and social partners.</w:t>
            </w:r>
          </w:p>
          <w:p w:rsidR="00620F75" w:rsidRDefault="00620F75">
            <w:pPr>
              <w:rPr>
                <w:noProof/>
              </w:rPr>
            </w:pPr>
          </w:p>
        </w:tc>
      </w:tr>
    </w:tbl>
    <w:p w:rsidR="00620F75" w:rsidRDefault="001F403D">
      <w:pPr>
        <w:pStyle w:val="Heading3"/>
        <w:rPr>
          <w:rStyle w:val="Heading2Char"/>
          <w:rFonts w:eastAsiaTheme="minorHAnsi"/>
          <w:b/>
          <w:noProof/>
        </w:rPr>
      </w:pPr>
      <w:bookmarkStart w:id="176" w:name="_Toc43376119"/>
      <w:r>
        <w:rPr>
          <w:rStyle w:val="Heading2Char"/>
          <w:rFonts w:eastAsiaTheme="minorHAnsi"/>
          <w:b/>
          <w:noProof/>
        </w:rPr>
        <w:lastRenderedPageBreak/>
        <w:t>European Vocational Core Profiles</w:t>
      </w:r>
      <w:bookmarkEnd w:id="176"/>
    </w:p>
    <w:p w:rsidR="00620F75" w:rsidRDefault="001F403D">
      <w:pPr>
        <w:tabs>
          <w:tab w:val="num" w:pos="2258"/>
        </w:tabs>
        <w:rPr>
          <w:noProof/>
        </w:rPr>
      </w:pPr>
      <w:r>
        <w:rPr>
          <w:noProof/>
        </w:rPr>
        <w:t>European VET systems have the potential to establish themselves as a global reference point for skills development. There are a number of actions to be taken at European level</w:t>
      </w:r>
      <w:r>
        <w:rPr>
          <w:noProof/>
        </w:rPr>
        <w:t xml:space="preserve"> which can promote European leadership in a global training market, such as support to internationalisation of vocational education and training systems, promotion of skills competitions or organisation of communication campaigns to raise the attractivenes</w:t>
      </w:r>
      <w:r>
        <w:rPr>
          <w:noProof/>
        </w:rPr>
        <w:t>s and image of VET.</w:t>
      </w:r>
    </w:p>
    <w:p w:rsidR="00620F75" w:rsidRDefault="001F403D">
      <w:pPr>
        <w:tabs>
          <w:tab w:val="num" w:pos="2258"/>
        </w:tabs>
        <w:rPr>
          <w:noProof/>
        </w:rPr>
      </w:pPr>
      <w:r>
        <w:rPr>
          <w:noProof/>
        </w:rPr>
        <w:t xml:space="preserve">An innovative element supporting excellence and internationalisation of VET is the concept of </w:t>
      </w:r>
      <w:r>
        <w:rPr>
          <w:i/>
          <w:noProof/>
        </w:rPr>
        <w:t>European Vocational Core</w:t>
      </w:r>
      <w:r>
        <w:rPr>
          <w:noProof/>
        </w:rPr>
        <w:t xml:space="preserve"> </w:t>
      </w:r>
      <w:r>
        <w:rPr>
          <w:i/>
          <w:noProof/>
        </w:rPr>
        <w:t>Profiles</w:t>
      </w:r>
      <w:r>
        <w:rPr>
          <w:noProof/>
        </w:rPr>
        <w:t xml:space="preserve"> which would define a certain share of a common training content at European level. As part of Europass platf</w:t>
      </w:r>
      <w:r>
        <w:rPr>
          <w:noProof/>
        </w:rPr>
        <w:t>orm and complemented, where possible, by  vocational digital content, the Profiles have a potential to significantly facilitate mobility of learners and workers, automatic recognition of vocational qualifications, and the development of joint vocational ed</w:t>
      </w:r>
      <w:r>
        <w:rPr>
          <w:noProof/>
        </w:rPr>
        <w:t>ucation and training curricula, qualifications and micro-credentials.</w:t>
      </w:r>
    </w:p>
    <w:p w:rsidR="00620F75" w:rsidRDefault="001F403D">
      <w:pPr>
        <w:pStyle w:val="Heading3"/>
        <w:rPr>
          <w:rStyle w:val="Heading2Char"/>
          <w:rFonts w:eastAsiaTheme="minorHAnsi"/>
          <w:b/>
          <w:noProof/>
        </w:rPr>
      </w:pPr>
      <w:bookmarkStart w:id="177" w:name="_Toc43376120"/>
      <w:r>
        <w:rPr>
          <w:rStyle w:val="Heading2Char"/>
          <w:rFonts w:eastAsiaTheme="minorHAnsi"/>
          <w:b/>
          <w:noProof/>
        </w:rPr>
        <w:t>Capacity building of providers of vocational education and training</w:t>
      </w:r>
      <w:bookmarkEnd w:id="177"/>
    </w:p>
    <w:p w:rsidR="00620F75" w:rsidRDefault="001F403D">
      <w:pPr>
        <w:rPr>
          <w:noProof/>
        </w:rPr>
      </w:pPr>
      <w:r>
        <w:rPr>
          <w:noProof/>
        </w:rPr>
        <w:t>The 2010 Bruges Communiqué stated that: "</w:t>
      </w:r>
      <w:r>
        <w:rPr>
          <w:b/>
          <w:i/>
          <w:noProof/>
        </w:rPr>
        <w:t>VET provider organisations should be encouraged to cooperate at European leve</w:t>
      </w:r>
      <w:r>
        <w:rPr>
          <w:b/>
          <w:i/>
          <w:noProof/>
        </w:rPr>
        <w:t>l</w:t>
      </w:r>
      <w:r>
        <w:rPr>
          <w:noProof/>
        </w:rPr>
        <w:t xml:space="preserve">" and several deliverables in the Communiqué also imply other stakeholders to work with VET providers. </w:t>
      </w:r>
    </w:p>
    <w:p w:rsidR="00620F75" w:rsidRDefault="001F403D">
      <w:pPr>
        <w:spacing w:after="120"/>
        <w:rPr>
          <w:noProof/>
          <w:szCs w:val="24"/>
        </w:rPr>
      </w:pPr>
      <w:r>
        <w:rPr>
          <w:noProof/>
          <w:szCs w:val="24"/>
        </w:rPr>
        <w:t>VET providers and their associations are crucial players in the implementation of the reforms in VET at national level and are directly relevant in the</w:t>
      </w:r>
      <w:r>
        <w:rPr>
          <w:noProof/>
          <w:szCs w:val="24"/>
        </w:rPr>
        <w:t xml:space="preserve"> implementation of the EU policies and initiatives. They are multipliers, to disseminate the VET policy agenda and good practices exchanged at the EU level, while they also provide feedback and expertise from a practitioners’ grass root level perspective, </w:t>
      </w:r>
      <w:r>
        <w:rPr>
          <w:noProof/>
          <w:szCs w:val="24"/>
        </w:rPr>
        <w:t>to the policy proposals made by the Commission.</w:t>
      </w:r>
    </w:p>
    <w:p w:rsidR="00620F75" w:rsidRDefault="001F403D">
      <w:pPr>
        <w:rPr>
          <w:noProof/>
          <w:szCs w:val="24"/>
        </w:rPr>
      </w:pPr>
      <w:bookmarkStart w:id="178" w:name="bookmark58"/>
      <w:r>
        <w:rPr>
          <w:noProof/>
          <w:lang w:bidi="en-US"/>
        </w:rPr>
        <w:lastRenderedPageBreak/>
        <w:t>Some European VET provider associations which have interests in IVET, CVET, and higher level VET gathered every year since 2010 for informal meetings with the EC services responsible for VET</w:t>
      </w:r>
      <w:r>
        <w:rPr>
          <w:noProof/>
          <w:highlight w:val="lightGray"/>
          <w:lang w:bidi="en-US"/>
        </w:rPr>
        <w:t>.</w:t>
      </w:r>
      <w:r>
        <w:rPr>
          <w:noProof/>
          <w:lang w:bidi="en-US"/>
        </w:rPr>
        <w:t xml:space="preserve"> Since 2015, </w:t>
      </w:r>
      <w:r>
        <w:rPr>
          <w:noProof/>
          <w:szCs w:val="24"/>
        </w:rPr>
        <w:t>an e</w:t>
      </w:r>
      <w:r>
        <w:rPr>
          <w:noProof/>
          <w:szCs w:val="24"/>
        </w:rPr>
        <w:t>xpert group called "Platform for European Associations of VET providers" (hereafter the Platform) has been created. The group is currently composed of the 6 European Associations of VET providers: EfVET (</w:t>
      </w:r>
      <w:hyperlink r:id="rId49" w:history="1">
        <w:r>
          <w:rPr>
            <w:rStyle w:val="Hyperlink"/>
            <w:noProof/>
            <w:szCs w:val="24"/>
          </w:rPr>
          <w:t>https://www.e</w:t>
        </w:r>
        <w:r>
          <w:rPr>
            <w:rStyle w:val="Hyperlink"/>
            <w:noProof/>
            <w:szCs w:val="24"/>
          </w:rPr>
          <w:t>fvet.org/</w:t>
        </w:r>
      </w:hyperlink>
      <w:r>
        <w:rPr>
          <w:noProof/>
          <w:szCs w:val="24"/>
        </w:rPr>
        <w:t>), EUproVET (</w:t>
      </w:r>
      <w:hyperlink r:id="rId50" w:history="1">
        <w:r>
          <w:rPr>
            <w:rStyle w:val="Hyperlink"/>
            <w:noProof/>
            <w:szCs w:val="24"/>
          </w:rPr>
          <w:t>http://www.euprovet.eu</w:t>
        </w:r>
      </w:hyperlink>
      <w:r>
        <w:rPr>
          <w:noProof/>
          <w:szCs w:val="24"/>
        </w:rPr>
        <w:t>), EVBB (</w:t>
      </w:r>
      <w:hyperlink r:id="rId51" w:history="1">
        <w:r>
          <w:rPr>
            <w:rStyle w:val="Hyperlink"/>
            <w:noProof/>
            <w:szCs w:val="24"/>
          </w:rPr>
          <w:t>http://evbb.eu/</w:t>
        </w:r>
      </w:hyperlink>
      <w:r>
        <w:rPr>
          <w:noProof/>
          <w:szCs w:val="24"/>
        </w:rPr>
        <w:t>), EVTA (</w:t>
      </w:r>
      <w:hyperlink r:id="rId52" w:history="1">
        <w:r>
          <w:rPr>
            <w:rStyle w:val="Hyperlink"/>
            <w:noProof/>
            <w:szCs w:val="24"/>
          </w:rPr>
          <w:t>www.evta.eu</w:t>
        </w:r>
      </w:hyperlink>
      <w:r>
        <w:rPr>
          <w:noProof/>
          <w:szCs w:val="24"/>
        </w:rPr>
        <w:t>) - as 4 VET centred organizations - and EURASHE (</w:t>
      </w:r>
      <w:hyperlink r:id="rId53" w:history="1">
        <w:r>
          <w:rPr>
            <w:rStyle w:val="Hyperlink"/>
            <w:noProof/>
          </w:rPr>
          <w:t>http://www.eurashe.eu/</w:t>
        </w:r>
      </w:hyperlink>
      <w:r>
        <w:rPr>
          <w:noProof/>
        </w:rPr>
        <w:t xml:space="preserve">) </w:t>
      </w:r>
      <w:r>
        <w:rPr>
          <w:noProof/>
          <w:szCs w:val="24"/>
        </w:rPr>
        <w:t>and Eucen (</w:t>
      </w:r>
      <w:hyperlink r:id="rId54" w:history="1">
        <w:r>
          <w:rPr>
            <w:noProof/>
            <w:color w:val="0000FF"/>
            <w:u w:val="single"/>
          </w:rPr>
          <w:t>http://www.eucen.eu/</w:t>
        </w:r>
      </w:hyperlink>
      <w:r>
        <w:rPr>
          <w:noProof/>
        </w:rPr>
        <w:t>)</w:t>
      </w:r>
      <w:r>
        <w:rPr>
          <w:noProof/>
          <w:szCs w:val="24"/>
        </w:rPr>
        <w:t xml:space="preserve">, the latter ones </w:t>
      </w:r>
      <w:r>
        <w:rPr>
          <w:noProof/>
        </w:rPr>
        <w:t>representing cross-cutting sectors of relevance</w:t>
      </w:r>
      <w:r>
        <w:rPr>
          <w:noProof/>
          <w:szCs w:val="24"/>
        </w:rPr>
        <w:t>, i.e. higher education and lifelong learning.</w:t>
      </w:r>
    </w:p>
    <w:bookmarkEnd w:id="178"/>
    <w:p w:rsidR="00620F75" w:rsidRDefault="001F403D">
      <w:pPr>
        <w:rPr>
          <w:noProof/>
        </w:rPr>
      </w:pPr>
      <w:r>
        <w:rPr>
          <w:noProof/>
        </w:rPr>
        <w:t xml:space="preserve">In addition, a “Community of practitioners on promoting quality in VET delivery” has been set up in 2017 by Cedefop in close cooperation with the “Platform” and the Directorate General for Employment, Social Affairs and Inclusion.  </w:t>
      </w:r>
    </w:p>
    <w:p w:rsidR="00620F75" w:rsidRDefault="001F403D">
      <w:pPr>
        <w:rPr>
          <w:noProof/>
        </w:rPr>
      </w:pPr>
      <w:r>
        <w:rPr>
          <w:noProof/>
        </w:rPr>
        <w:t xml:space="preserve">The Community produces </w:t>
      </w:r>
      <w:r>
        <w:rPr>
          <w:noProof/>
        </w:rPr>
        <w:t>concrete practical guidance for practitioners, identify good practices and maximise use of European activities and results at grass-root level. Its work is practice oriented and draw upon VET-providers’ own experience. A work-programme 2017-2020 has been a</w:t>
      </w:r>
      <w:r>
        <w:rPr>
          <w:noProof/>
        </w:rPr>
        <w:t xml:space="preserve">greed with three axes: </w:t>
      </w:r>
    </w:p>
    <w:p w:rsidR="00620F75" w:rsidRDefault="001F403D">
      <w:pPr>
        <w:pStyle w:val="ListParagraph"/>
        <w:numPr>
          <w:ilvl w:val="0"/>
          <w:numId w:val="25"/>
        </w:numPr>
        <w:spacing w:before="0" w:after="200" w:line="276" w:lineRule="auto"/>
        <w:rPr>
          <w:noProof/>
        </w:rPr>
      </w:pPr>
      <w:r>
        <w:rPr>
          <w:noProof/>
        </w:rPr>
        <w:t>Technology Enhanced Learning environments</w:t>
      </w:r>
    </w:p>
    <w:p w:rsidR="00620F75" w:rsidRDefault="001F403D">
      <w:pPr>
        <w:pStyle w:val="ListParagraph"/>
        <w:numPr>
          <w:ilvl w:val="0"/>
          <w:numId w:val="25"/>
        </w:numPr>
        <w:spacing w:before="0" w:after="200" w:line="276" w:lineRule="auto"/>
        <w:rPr>
          <w:noProof/>
        </w:rPr>
      </w:pPr>
      <w:r>
        <w:rPr>
          <w:noProof/>
        </w:rPr>
        <w:t xml:space="preserve">EU mobility: reinforcing learning attractiveness and employability </w:t>
      </w:r>
    </w:p>
    <w:p w:rsidR="00620F75" w:rsidRDefault="001F403D">
      <w:pPr>
        <w:pStyle w:val="ListParagraph"/>
        <w:numPr>
          <w:ilvl w:val="0"/>
          <w:numId w:val="25"/>
        </w:numPr>
        <w:spacing w:before="0" w:after="200" w:line="276" w:lineRule="auto"/>
        <w:rPr>
          <w:noProof/>
        </w:rPr>
      </w:pPr>
      <w:r>
        <w:rPr>
          <w:noProof/>
        </w:rPr>
        <w:t xml:space="preserve">Empowerment and integration of migrants through learning. </w:t>
      </w:r>
    </w:p>
    <w:p w:rsidR="00620F75" w:rsidRDefault="001F403D">
      <w:pPr>
        <w:rPr>
          <w:noProof/>
          <w:szCs w:val="24"/>
        </w:rPr>
      </w:pPr>
      <w:r>
        <w:rPr>
          <w:noProof/>
        </w:rPr>
        <w:t xml:space="preserve">There is a need to </w:t>
      </w:r>
      <w:r>
        <w:rPr>
          <w:noProof/>
          <w:szCs w:val="24"/>
        </w:rPr>
        <w:t xml:space="preserve">reinforce a structured dialogue with VET </w:t>
      </w:r>
      <w:r>
        <w:rPr>
          <w:noProof/>
          <w:szCs w:val="24"/>
        </w:rPr>
        <w:t>providers with a view of empowering and strengthening their role in the EU level VET cooperation. Also in several editions of the European Vocational Skills Week the need for a European VET Community was highlighted.</w:t>
      </w:r>
    </w:p>
    <w:p w:rsidR="00620F75" w:rsidRDefault="001F403D">
      <w:pPr>
        <w:rPr>
          <w:noProof/>
        </w:rPr>
      </w:pPr>
      <w:r>
        <w:rPr>
          <w:noProof/>
        </w:rPr>
        <w:t>The Commission aims to build on this in</w:t>
      </w:r>
      <w:r>
        <w:rPr>
          <w:noProof/>
        </w:rPr>
        <w:t>itiative and explore options for building a European Community of learning providers, by making best use the new Erasmus Programme and of relevant existing platforms with the aim to extend and develop professional knowledge professional practice.</w:t>
      </w:r>
    </w:p>
    <w:p w:rsidR="00620F75" w:rsidRDefault="001F403D">
      <w:pPr>
        <w:rPr>
          <w:noProof/>
        </w:rPr>
      </w:pPr>
      <w:r>
        <w:rPr>
          <w:noProof/>
        </w:rPr>
        <w:t>This Comm</w:t>
      </w:r>
      <w:r>
        <w:rPr>
          <w:noProof/>
        </w:rPr>
        <w:t xml:space="preserve">unity should reach out to potential new members to the Community: school leaders, teachers and in-company trainers, HR managers, sharing information through webinars, on-line fora, and meetings. </w:t>
      </w:r>
    </w:p>
    <w:p w:rsidR="00620F75" w:rsidRDefault="001F403D">
      <w:pPr>
        <w:rPr>
          <w:noProof/>
        </w:rPr>
      </w:pPr>
      <w:r>
        <w:rPr>
          <w:noProof/>
        </w:rPr>
        <w:t>Synergies with other platforms (School Education Gateway, e-</w:t>
      </w:r>
      <w:r>
        <w:rPr>
          <w:noProof/>
        </w:rPr>
        <w:t>twinning, EURES, Apprenticeships Support Services and others) should be ensured.  Active participants to the Community could receive an open badge to recognize their contributions to selected topics.</w:t>
      </w:r>
    </w:p>
    <w:p w:rsidR="00620F75" w:rsidRDefault="00620F75">
      <w:pPr>
        <w:rPr>
          <w:noProof/>
        </w:rPr>
      </w:pPr>
    </w:p>
    <w:p w:rsidR="00620F75" w:rsidRDefault="001F403D">
      <w:pPr>
        <w:pStyle w:val="Heading3"/>
        <w:rPr>
          <w:rStyle w:val="Heading2Char"/>
          <w:rFonts w:eastAsiaTheme="minorHAnsi"/>
          <w:b/>
          <w:noProof/>
        </w:rPr>
      </w:pPr>
      <w:bookmarkStart w:id="179" w:name="_Toc43376121"/>
      <w:r>
        <w:rPr>
          <w:rStyle w:val="Heading2Char"/>
          <w:rFonts w:eastAsiaTheme="minorHAnsi"/>
          <w:b/>
          <w:noProof/>
        </w:rPr>
        <w:t>SELFIE tool for VET schools and work-based learning</w:t>
      </w:r>
      <w:bookmarkEnd w:id="179"/>
    </w:p>
    <w:p w:rsidR="00620F75" w:rsidRDefault="001F403D">
      <w:pPr>
        <w:rPr>
          <w:noProof/>
        </w:rPr>
      </w:pPr>
      <w:r>
        <w:rPr>
          <w:noProof/>
        </w:rPr>
        <w:t>The</w:t>
      </w:r>
      <w:r>
        <w:rPr>
          <w:noProof/>
        </w:rPr>
        <w:t xml:space="preserve"> SELFIE self-reflection tool</w:t>
      </w:r>
      <w:r>
        <w:rPr>
          <w:rStyle w:val="FootnoteReference"/>
          <w:noProof/>
        </w:rPr>
        <w:footnoteReference w:id="81"/>
      </w:r>
      <w:r>
        <w:rPr>
          <w:noProof/>
        </w:rPr>
        <w:t xml:space="preserve"> supports schools at different education levels (primary, lower-secondary, upper-secondary general, upper-secondary vocational and post-secondary non-tertiary education) in using digital technologies for teaching and learning. </w:t>
      </w:r>
      <w:r>
        <w:rPr>
          <w:noProof/>
        </w:rPr>
        <w:t xml:space="preserve">It was launched in October 2018 as an action of the Digital Education Action Plan. The tool is available in more than 30 languages and has been used by more than 640,000 participants </w:t>
      </w:r>
      <w:r>
        <w:rPr>
          <w:noProof/>
        </w:rPr>
        <w:lastRenderedPageBreak/>
        <w:t>from 7200 schools in 57 countries</w:t>
      </w:r>
      <w:r>
        <w:rPr>
          <w:rStyle w:val="FootnoteReference"/>
          <w:noProof/>
        </w:rPr>
        <w:footnoteReference w:id="82"/>
      </w:r>
      <w:r>
        <w:rPr>
          <w:noProof/>
        </w:rPr>
        <w:t xml:space="preserve">. Participation in the tool is free of </w:t>
      </w:r>
      <w:r>
        <w:rPr>
          <w:noProof/>
        </w:rPr>
        <w:t xml:space="preserve">charge, voluntary and open to any school worldwide. </w:t>
      </w:r>
    </w:p>
    <w:p w:rsidR="00620F75" w:rsidRDefault="001F403D">
      <w:pPr>
        <w:rPr>
          <w:noProof/>
        </w:rPr>
      </w:pPr>
      <w:r>
        <w:rPr>
          <w:noProof/>
        </w:rPr>
        <w:t>SELFIE gathers anonymously the views of the school’s community (school leaders, teachers, and students) on how technology is used in their school. The questions cover areas such as leadership, infrastruc</w:t>
      </w:r>
      <w:r>
        <w:rPr>
          <w:noProof/>
        </w:rPr>
        <w:t>ture, teacher training and students’ digital competence. More than thirty questions are also relevant for remote/blended teaching and learning, which make it particularly useful in the current COVID19 crisis. In addition, schools can add up to ten question</w:t>
      </w:r>
      <w:r>
        <w:rPr>
          <w:noProof/>
        </w:rPr>
        <w:t>s to cover more aspects, for example on emergency remote teaching and learning.</w:t>
      </w:r>
    </w:p>
    <w:p w:rsidR="00620F75" w:rsidRDefault="001F403D">
      <w:pPr>
        <w:rPr>
          <w:noProof/>
        </w:rPr>
      </w:pPr>
      <w:r>
        <w:rPr>
          <w:noProof/>
        </w:rPr>
        <w:t>Based on this input, the tool generates a tailored-made interactive report of each school‘s strengths and weaknesses in their use of digital technologies for teaching and learn</w:t>
      </w:r>
      <w:r>
        <w:rPr>
          <w:noProof/>
        </w:rPr>
        <w:t>ing. The findings can help schools know where they stand, discuss technology use and develop an action plan for their school. SELFIE can then be used at a later stage to gauge progress and adapt the action plan. Participants also obtain personalised certif</w:t>
      </w:r>
      <w:r>
        <w:rPr>
          <w:noProof/>
        </w:rPr>
        <w:t xml:space="preserve">icates of participation, while schools can receive an open badge. </w:t>
      </w:r>
    </w:p>
    <w:p w:rsidR="00620F75" w:rsidRDefault="001F403D">
      <w:pPr>
        <w:rPr>
          <w:noProof/>
        </w:rPr>
      </w:pPr>
      <w:r>
        <w:rPr>
          <w:noProof/>
        </w:rPr>
        <w:t>SELFIE is a scientifically validated tool which is based on the European Framework for Digitally-Competent Educational Organisations (DigCompOrg</w:t>
      </w:r>
      <w:r>
        <w:rPr>
          <w:rStyle w:val="FootnoteReference"/>
          <w:noProof/>
        </w:rPr>
        <w:footnoteReference w:id="83"/>
      </w:r>
      <w:r>
        <w:rPr>
          <w:noProof/>
        </w:rPr>
        <w:t>). SELFIE has been developed in close cooper</w:t>
      </w:r>
      <w:r>
        <w:rPr>
          <w:noProof/>
        </w:rPr>
        <w:t>ation by the Commission in collaboration with a team of experts from schools, education ministries and research institutes across Europe</w:t>
      </w:r>
      <w:r>
        <w:rPr>
          <w:rStyle w:val="FootnoteReference"/>
          <w:noProof/>
        </w:rPr>
        <w:footnoteReference w:id="84"/>
      </w:r>
      <w:r>
        <w:rPr>
          <w:noProof/>
        </w:rPr>
        <w:t xml:space="preserve">. Partner institutions include the European Training Foundation, the European Centre for the Development of Vocational </w:t>
      </w:r>
      <w:r>
        <w:rPr>
          <w:noProof/>
        </w:rPr>
        <w:t>Training (Cedefop) and UNESCO's Institute for Information Technologies in Education. Several Erasmus+ projects are currently also working on developing additional support services to the tool and its users. Apart from its use in the Member States, the Euro</w:t>
      </w:r>
      <w:r>
        <w:rPr>
          <w:noProof/>
        </w:rPr>
        <w:t xml:space="preserve">pean Commission has also been cooperating with the European Training Foundation to pilot and extend its use in the countries of the Western Balkans, Turkey and other partner countries. </w:t>
      </w:r>
    </w:p>
    <w:p w:rsidR="00620F75" w:rsidRDefault="001F403D">
      <w:pPr>
        <w:rPr>
          <w:noProof/>
        </w:rPr>
      </w:pPr>
      <w:r>
        <w:rPr>
          <w:noProof/>
        </w:rPr>
        <w:t>Cedefop and the European Training Foundation have additionally contrib</w:t>
      </w:r>
      <w:r>
        <w:rPr>
          <w:noProof/>
        </w:rPr>
        <w:t>uted their expertise on VET to assure the questionnaire’s relevance to the specific needs of VET schools. Therefore, a few questions have been added to the SELFIE questionnaires for school leaders, teachers and students that are specifically designed to ad</w:t>
      </w:r>
      <w:r>
        <w:rPr>
          <w:noProof/>
        </w:rPr>
        <w:t xml:space="preserve">dress VET schools. These questions include topics such as the use of digital technologies in partnerships with other organisation, career guidance or the development of skills that are relevant to the vocational qualification of students. </w:t>
      </w:r>
    </w:p>
    <w:p w:rsidR="00620F75" w:rsidRDefault="001F403D">
      <w:pPr>
        <w:rPr>
          <w:strike/>
          <w:noProof/>
        </w:rPr>
      </w:pPr>
      <w:r>
        <w:rPr>
          <w:noProof/>
        </w:rPr>
        <w:t xml:space="preserve">VET schools can </w:t>
      </w:r>
      <w:r>
        <w:rPr>
          <w:noProof/>
        </w:rPr>
        <w:t>already use the SELFIE tool within their institutions. However, many VET schools also provide opportunities to their learners to obtain skills and gather experiences in the workplace (for example, apprenticeships and traineeships). These work-based learnin</w:t>
      </w:r>
      <w:r>
        <w:rPr>
          <w:noProof/>
        </w:rPr>
        <w:t>g (WBL) settings in VET are not yet covered by the SELFIE tool. Therefore, a feasibility study, conducted by the Commission</w:t>
      </w:r>
      <w:r>
        <w:rPr>
          <w:rStyle w:val="FootnoteReference"/>
          <w:noProof/>
          <w:color w:val="0000FF" w:themeColor="hyperlink"/>
          <w:u w:val="single"/>
        </w:rPr>
        <w:footnoteReference w:id="85"/>
      </w:r>
      <w:r>
        <w:rPr>
          <w:noProof/>
        </w:rPr>
        <w:t xml:space="preserve">, and supported by Cedefop and the European Training Foundation, assessed whether and how SELFIE could be adapted to WBL </w:t>
      </w:r>
      <w:r>
        <w:rPr>
          <w:noProof/>
        </w:rPr>
        <w:lastRenderedPageBreak/>
        <w:t xml:space="preserve">systems in </w:t>
      </w:r>
      <w:r>
        <w:rPr>
          <w:noProof/>
        </w:rPr>
        <w:t>VET and if there was demand for such an extension of the tool. To this end, more than 30 semi-structured interviews with all relevant stakeholder groups were conducted in various European countries, including VET schools, employers, trade unions, VET provi</w:t>
      </w:r>
      <w:r>
        <w:rPr>
          <w:noProof/>
        </w:rPr>
        <w:t xml:space="preserve">ders’ associations, employers’ associations and international organisations. In addition, an online survey was designed to get further feedback from more actors in the field. The ongoing work was also presented to the relevant groups at EU level, e.g. the </w:t>
      </w:r>
      <w:r>
        <w:rPr>
          <w:noProof/>
        </w:rPr>
        <w:t>ET2020 Working Group on Vocational Education and Training and the Associations of European VET providers. The results of the study show that there is a need for a new version of the SELFIE tool specifically focussing on the WBL arrangements in VET. Among o</w:t>
      </w:r>
      <w:r>
        <w:rPr>
          <w:noProof/>
        </w:rPr>
        <w:t>thers, this new version should include a new questionnaire for in-company trainers that supports students during their time with employers. COVID-19 has shown the difficulty of maintaining the work-based learning part of VET in companies, which makes it ev</w:t>
      </w:r>
      <w:r>
        <w:rPr>
          <w:noProof/>
        </w:rPr>
        <w:t>en more important to make the dialogue between VET teachers and in-company trainers more effective via digital means, such as Selfie for WBL.</w:t>
      </w:r>
    </w:p>
    <w:p w:rsidR="00620F75" w:rsidRDefault="001F403D">
      <w:pPr>
        <w:rPr>
          <w:noProof/>
        </w:rPr>
      </w:pPr>
      <w:r>
        <w:rPr>
          <w:noProof/>
        </w:rPr>
        <w:t xml:space="preserve">Given these results, the European Commission has been developing the SELFIE tool for work-based learning contexts </w:t>
      </w:r>
      <w:r>
        <w:rPr>
          <w:noProof/>
        </w:rPr>
        <w:t>in VET since January 2020. It will allow VET schools and employers to reflect jointly on how their collaboration and their use of digital technologies for teaching and learning can be improved. SELFIE for work-based learning can thus also improve the effec</w:t>
      </w:r>
      <w:r>
        <w:rPr>
          <w:noProof/>
        </w:rPr>
        <w:t>tiveness and quality of VET systems as a whole. Pilot testing of the work-based learning tool is foreseen in several Member States in autumn 2020 (pending tender selection it should include Germany, France, Hungary or Poland), with final launch of the tool</w:t>
      </w:r>
      <w:r>
        <w:rPr>
          <w:noProof/>
        </w:rPr>
        <w:t xml:space="preserve"> in all the official languages of the EU in 2021. Beyond the technical development of the tool, it is important to build the broader ecosystem of Selfie for WBL by raising awareness and engaging stakeholders closely throughout the process.</w:t>
      </w:r>
    </w:p>
    <w:p w:rsidR="00620F75" w:rsidRDefault="00620F75">
      <w:pPr>
        <w:rPr>
          <w:noProof/>
        </w:rPr>
      </w:pPr>
    </w:p>
    <w:p w:rsidR="00620F75" w:rsidRDefault="001F403D">
      <w:pPr>
        <w:pStyle w:val="Heading2"/>
        <w:rPr>
          <w:noProof/>
          <w:lang w:val="en-US"/>
        </w:rPr>
      </w:pPr>
      <w:bookmarkStart w:id="180" w:name="_Toc34039163"/>
      <w:bookmarkStart w:id="181" w:name="_Toc34040463"/>
      <w:bookmarkStart w:id="182" w:name="_Toc34041720"/>
      <w:bookmarkStart w:id="183" w:name="_Toc34042222"/>
      <w:bookmarkStart w:id="184" w:name="_Toc32997325"/>
      <w:bookmarkStart w:id="185" w:name="_Toc43376122"/>
      <w:r>
        <w:rPr>
          <w:noProof/>
          <w:lang w:val="en-US"/>
        </w:rPr>
        <w:t xml:space="preserve">Monitoring and </w:t>
      </w:r>
      <w:r>
        <w:rPr>
          <w:noProof/>
          <w:lang w:val="en-US"/>
        </w:rPr>
        <w:t>indicators for the VET policy framework</w:t>
      </w:r>
      <w:bookmarkEnd w:id="180"/>
      <w:bookmarkEnd w:id="181"/>
      <w:bookmarkEnd w:id="182"/>
      <w:bookmarkEnd w:id="183"/>
      <w:bookmarkEnd w:id="184"/>
      <w:bookmarkEnd w:id="185"/>
    </w:p>
    <w:p w:rsidR="00620F75" w:rsidRDefault="001F403D">
      <w:pPr>
        <w:rPr>
          <w:noProof/>
          <w:lang w:val="en-US"/>
        </w:rPr>
      </w:pPr>
      <w:r>
        <w:rPr>
          <w:noProof/>
          <w:lang w:val="en-US"/>
        </w:rPr>
        <w:t>In order to be able to effectively steer VET systems as well as to assess the progress achieved in supporting the adaptation of EU VET systems to the changing social, economic and labour market context, an ability to</w:t>
      </w:r>
      <w:r>
        <w:rPr>
          <w:noProof/>
          <w:lang w:val="en-US"/>
        </w:rPr>
        <w:t xml:space="preserve"> monitor the changes taking place in VET systems as well as their effects is paramount. </w:t>
      </w:r>
    </w:p>
    <w:p w:rsidR="00620F75" w:rsidRDefault="001F403D">
      <w:pPr>
        <w:rPr>
          <w:noProof/>
          <w:lang w:val="en-US"/>
        </w:rPr>
      </w:pPr>
      <w:r>
        <w:rPr>
          <w:noProof/>
          <w:lang w:val="en-US"/>
        </w:rPr>
        <w:t>At the European level, VET systems are at an intersection of multiple quantitative and qualitative monitoring processes. Existing approaches to monitoring either do no</w:t>
      </w:r>
      <w:r>
        <w:rPr>
          <w:noProof/>
          <w:lang w:val="en-US"/>
        </w:rPr>
        <w:t>t systematically capture VET or do not provide coherent cross-country statistical reporting. Despite lack of specific VET indicators, some ET 2020 benchmarks, such as on employability and participation in adult learning, reported data on VET (professional)</w:t>
      </w:r>
      <w:r>
        <w:rPr>
          <w:noProof/>
          <w:lang w:val="en-US"/>
        </w:rPr>
        <w:t xml:space="preserve"> and general education orientations. A further effort in the direction to develop a broader monitoring system for VET has been the compilation of a range of indicators within the CEDEFOP project “On the way to 2020: data for vocational education and traini</w:t>
      </w:r>
      <w:r>
        <w:rPr>
          <w:noProof/>
          <w:lang w:val="en-US"/>
        </w:rPr>
        <w:t xml:space="preserve">ng policies”. </w:t>
      </w:r>
    </w:p>
    <w:p w:rsidR="00620F75" w:rsidRDefault="001F403D">
      <w:pPr>
        <w:rPr>
          <w:noProof/>
          <w:lang w:val="en-US"/>
        </w:rPr>
      </w:pPr>
      <w:r>
        <w:rPr>
          <w:noProof/>
          <w:lang w:val="en-US"/>
        </w:rPr>
        <w:t xml:space="preserve">European Statistical System has evolved a lot since 2014 and generates now regularly reported data on VET. Also, as of 2021, we will have available on an annual basis regular data on work-based learning covering all the EU Member States and </w:t>
      </w:r>
      <w:r>
        <w:rPr>
          <w:noProof/>
          <w:lang w:val="en-US"/>
        </w:rPr>
        <w:t>as of 2022 the data on adult participation in learning will be based on a 12-month reference with a bi-annual frequency. In light of these realized and planned developments, the Advisory Committee on Vocational Training (ACVT), in its opinion on the future</w:t>
      </w:r>
      <w:r>
        <w:rPr>
          <w:noProof/>
          <w:lang w:val="en-US"/>
        </w:rPr>
        <w:t xml:space="preserve"> of vocational education and training post-2020, called for the establishment of “</w:t>
      </w:r>
      <w:r>
        <w:rPr>
          <w:i/>
          <w:noProof/>
          <w:lang w:val="en-US"/>
        </w:rPr>
        <w:t xml:space="preserve">A clear and light monitoring framework, against </w:t>
      </w:r>
      <w:r>
        <w:rPr>
          <w:i/>
          <w:noProof/>
          <w:lang w:val="en-US"/>
        </w:rPr>
        <w:lastRenderedPageBreak/>
        <w:t>a set of indicators &lt;…&gt;, to enhance transparency and support mutual trust among Member States &lt;…&gt;</w:t>
      </w:r>
      <w:r>
        <w:rPr>
          <w:noProof/>
          <w:lang w:val="en-US"/>
        </w:rPr>
        <w:t xml:space="preserve">”. </w:t>
      </w:r>
    </w:p>
    <w:p w:rsidR="00620F75" w:rsidRDefault="001F403D">
      <w:pPr>
        <w:rPr>
          <w:noProof/>
          <w:lang w:val="en-US"/>
        </w:rPr>
      </w:pPr>
      <w:r>
        <w:rPr>
          <w:noProof/>
          <w:lang w:val="en-US"/>
        </w:rPr>
        <w:t>An ideal monitoring frame</w:t>
      </w:r>
      <w:r>
        <w:rPr>
          <w:noProof/>
          <w:lang w:val="en-US"/>
        </w:rPr>
        <w:t>work would need to be based on a solid logical model and should also be underpinned by contextual information and interpretation which would help explain the changes of statistical indicators within the context of national education and training systems an</w:t>
      </w:r>
      <w:r>
        <w:rPr>
          <w:noProof/>
          <w:lang w:val="en-US"/>
        </w:rPr>
        <w:t>d socio-economic situation. The monitoring through statistical indicators, reported on an annual or bi-annual frequency in could be combined with reporting on the progress implementing policy priorities under the Copenhagen as well as Torino processes. Thi</w:t>
      </w:r>
      <w:r>
        <w:rPr>
          <w:noProof/>
          <w:lang w:val="en-US"/>
        </w:rPr>
        <w:t xml:space="preserve">s would provide a comprehensive picture of the status of VET systems, development trends and policy actions undertaken to enhance the functioning of VET systems throughout Europe and neighboring countries. </w:t>
      </w:r>
    </w:p>
    <w:p w:rsidR="00620F75" w:rsidRDefault="001F403D">
      <w:pPr>
        <w:rPr>
          <w:noProof/>
          <w:lang w:val="en-US"/>
        </w:rPr>
      </w:pPr>
      <w:r>
        <w:rPr>
          <w:noProof/>
          <w:lang w:val="en-US"/>
        </w:rPr>
        <w:t>The underlying logical model that could be used f</w:t>
      </w:r>
      <w:r>
        <w:rPr>
          <w:noProof/>
          <w:lang w:val="en-US"/>
        </w:rPr>
        <w:t>or monitoring the proposed Recommendation is an input-process-output-outcome model, regularly used as the basis for the design of monitoring frameworks:</w:t>
      </w:r>
    </w:p>
    <w:p w:rsidR="00620F75" w:rsidRDefault="001F403D">
      <w:pPr>
        <w:pStyle w:val="ListParagraph"/>
        <w:numPr>
          <w:ilvl w:val="0"/>
          <w:numId w:val="21"/>
        </w:numPr>
        <w:rPr>
          <w:noProof/>
          <w:lang w:val="en-US"/>
        </w:rPr>
      </w:pPr>
      <w:r>
        <w:rPr>
          <w:noProof/>
          <w:lang w:val="en-US"/>
        </w:rPr>
        <w:t>The input aspect of the model can be covered by monitoring investment in VET (but without proposing a s</w:t>
      </w:r>
      <w:r>
        <w:rPr>
          <w:noProof/>
          <w:lang w:val="en-US"/>
        </w:rPr>
        <w:t xml:space="preserve">ingle indicator/ target). </w:t>
      </w:r>
    </w:p>
    <w:p w:rsidR="00620F75" w:rsidRDefault="001F403D">
      <w:pPr>
        <w:pStyle w:val="ListParagraph"/>
        <w:numPr>
          <w:ilvl w:val="0"/>
          <w:numId w:val="21"/>
        </w:numPr>
        <w:rPr>
          <w:noProof/>
          <w:lang w:val="en-US"/>
        </w:rPr>
      </w:pPr>
      <w:r>
        <w:rPr>
          <w:noProof/>
          <w:lang w:val="en-US"/>
        </w:rPr>
        <w:t>The process aspect of the model can be covered by two indicators, representing key VET policy priorities, notably</w:t>
      </w:r>
    </w:p>
    <w:p w:rsidR="00620F75" w:rsidRDefault="001F403D">
      <w:pPr>
        <w:pStyle w:val="ListParagraph"/>
        <w:numPr>
          <w:ilvl w:val="1"/>
          <w:numId w:val="21"/>
        </w:numPr>
        <w:rPr>
          <w:noProof/>
          <w:lang w:val="en-US"/>
        </w:rPr>
      </w:pPr>
      <w:r>
        <w:rPr>
          <w:noProof/>
          <w:lang w:val="en-US"/>
        </w:rPr>
        <w:t>Exposure to work-based learning;</w:t>
      </w:r>
    </w:p>
    <w:p w:rsidR="00620F75" w:rsidRDefault="001F403D">
      <w:pPr>
        <w:pStyle w:val="ListParagraph"/>
        <w:numPr>
          <w:ilvl w:val="1"/>
          <w:numId w:val="21"/>
        </w:numPr>
        <w:rPr>
          <w:noProof/>
          <w:lang w:val="en-US"/>
        </w:rPr>
      </w:pPr>
      <w:r>
        <w:rPr>
          <w:noProof/>
          <w:lang w:val="en-US"/>
        </w:rPr>
        <w:t>International learning mobility in formal VET;</w:t>
      </w:r>
    </w:p>
    <w:p w:rsidR="00620F75" w:rsidRDefault="001F403D">
      <w:pPr>
        <w:pStyle w:val="ListParagraph"/>
        <w:numPr>
          <w:ilvl w:val="0"/>
          <w:numId w:val="21"/>
        </w:numPr>
        <w:rPr>
          <w:noProof/>
          <w:lang w:val="en-US"/>
        </w:rPr>
      </w:pPr>
      <w:r>
        <w:rPr>
          <w:noProof/>
          <w:lang w:val="en-US"/>
        </w:rPr>
        <w:t>The outcome aspect of the models ca</w:t>
      </w:r>
      <w:r>
        <w:rPr>
          <w:noProof/>
          <w:lang w:val="en-US"/>
        </w:rPr>
        <w:t>n be covered by an indicator on VET recent graduates employment rate.</w:t>
      </w:r>
    </w:p>
    <w:p w:rsidR="00620F75" w:rsidRDefault="001F403D">
      <w:pPr>
        <w:rPr>
          <w:noProof/>
          <w:lang w:val="en-US"/>
        </w:rPr>
      </w:pPr>
      <w:r>
        <w:rPr>
          <w:noProof/>
          <w:lang w:val="en-US"/>
        </w:rPr>
        <w:t>The proposed indicators cover well the different stages of this model and some of these are also proposed as objectives in the proposal for the Recommendation.</w:t>
      </w:r>
    </w:p>
    <w:p w:rsidR="00620F75" w:rsidRDefault="001F403D">
      <w:pPr>
        <w:pStyle w:val="Heading5"/>
        <w:rPr>
          <w:noProof/>
          <w:lang w:val="en-US"/>
        </w:rPr>
      </w:pPr>
      <w:r>
        <w:rPr>
          <w:noProof/>
          <w:lang w:val="en-US"/>
        </w:rPr>
        <w:t xml:space="preserve">Investment in VET </w:t>
      </w:r>
    </w:p>
    <w:p w:rsidR="00620F75" w:rsidRDefault="001F403D">
      <w:pPr>
        <w:rPr>
          <w:noProof/>
        </w:rPr>
      </w:pPr>
      <w:r>
        <w:rPr>
          <w:noProof/>
        </w:rPr>
        <w:t xml:space="preserve">As for </w:t>
      </w:r>
      <w:r>
        <w:rPr>
          <w:noProof/>
        </w:rPr>
        <w:t xml:space="preserve">all education and training programmes, financial resources are key in steering the vocational education and training systems. Financial resources can encourage institutions to offer some programmes rather than others and steer the number of places offered </w:t>
      </w:r>
      <w:r>
        <w:rPr>
          <w:noProof/>
        </w:rPr>
        <w:t>in each occupation. This is essential to ensure the mix of provision is responsive to labour market needs. Funding arrangements need to take into account the targeted field of study, recognising that some programmes are cheaper to deliver than others – one</w:t>
      </w:r>
      <w:r>
        <w:rPr>
          <w:noProof/>
        </w:rPr>
        <w:t xml:space="preserve"> challenge is that the high costs of starting new programmes (e.g. new equipment, staff recruitment) encourages the continuation of existing programmes and discourages the introduction of new programmes. Financial incentives are also commonly used to encou</w:t>
      </w:r>
      <w:r>
        <w:rPr>
          <w:noProof/>
        </w:rPr>
        <w:t>rage employers to offer work-based learning – for example in the form of tax breaks to training companies, subsidies to employers to take on an apprentice.</w:t>
      </w:r>
    </w:p>
    <w:p w:rsidR="00620F75" w:rsidRDefault="001F403D">
      <w:pPr>
        <w:rPr>
          <w:noProof/>
        </w:rPr>
      </w:pPr>
      <w:r>
        <w:rPr>
          <w:noProof/>
        </w:rPr>
        <w:t>There are two key elements with regard to statistics on investment in VET. First, there is the well-</w:t>
      </w:r>
      <w:r>
        <w:rPr>
          <w:noProof/>
        </w:rPr>
        <w:t>established reporting system - Unesco-OECD-Eurostat (UOE) data collection, providing on an annual basis data on the expenditure within formal education and training systems. It has a relatively good coverage of data on VET, even if there are some weaknesse</w:t>
      </w:r>
      <w:r>
        <w:rPr>
          <w:noProof/>
        </w:rPr>
        <w:t>s with regard to comprehensive coverage of expenditure on work-based learning (OECD, forthcoming). In part, the on-going Eurostat UOE Task Force on Education Expenditure aims to address some of the methodological shortcomings of this data collection, which</w:t>
      </w:r>
      <w:r>
        <w:rPr>
          <w:noProof/>
        </w:rPr>
        <w:t xml:space="preserve"> would also lead to improvement on coverage of expenditure data on formal VET. Secondly, there are three additional data sources on investment into non-formal training, which do provide complementary data but even these sources on their own are not fully s</w:t>
      </w:r>
      <w:r>
        <w:rPr>
          <w:noProof/>
        </w:rPr>
        <w:t xml:space="preserve">ufficient to provide </w:t>
      </w:r>
      <w:r>
        <w:rPr>
          <w:noProof/>
        </w:rPr>
        <w:lastRenderedPageBreak/>
        <w:t>a full picture on investment in non-formal training. These include EU Adult Education Survey (EU AES), covering individuals’ own expenditure; the EU Continuing Vocational Training Survey (EU CVTS), covering expenditure on training by p</w:t>
      </w:r>
      <w:r>
        <w:rPr>
          <w:noProof/>
        </w:rPr>
        <w:t>rivate sector enterprises’ with at least 10 persons employed and the DG EMPL ALMP database, covering expenditure on training as part of active labour market policies. The first two data sources, however, only provide relevant information every 5 years (for</w:t>
      </w:r>
      <w:r>
        <w:rPr>
          <w:noProof/>
        </w:rPr>
        <w:t xml:space="preserve"> EU CVTS) or every 6 years (for EU AES), given the relatively lower frequency of these surveys. </w:t>
      </w:r>
    </w:p>
    <w:p w:rsidR="00620F75" w:rsidRDefault="001F403D">
      <w:pPr>
        <w:rPr>
          <w:noProof/>
        </w:rPr>
      </w:pPr>
      <w:r>
        <w:rPr>
          <w:noProof/>
        </w:rPr>
        <w:t>While there is no proposal to set a target for this indicator, it is considered to be a useful indicator to further develop as part of the monitoring framework</w:t>
      </w:r>
      <w:r>
        <w:rPr>
          <w:noProof/>
        </w:rPr>
        <w:t xml:space="preserve"> for VET.</w:t>
      </w:r>
    </w:p>
    <w:p w:rsidR="00620F75" w:rsidRDefault="001F403D">
      <w:pPr>
        <w:pStyle w:val="Heading5"/>
        <w:rPr>
          <w:noProof/>
          <w:lang w:val="en-US"/>
        </w:rPr>
      </w:pPr>
      <w:r>
        <w:rPr>
          <w:noProof/>
          <w:szCs w:val="24"/>
          <w:lang w:val="en-US"/>
        </w:rPr>
        <w:t>Indicator on work</w:t>
      </w:r>
      <w:r>
        <w:rPr>
          <w:noProof/>
          <w:lang w:val="en-US"/>
        </w:rPr>
        <w:t>-based learning in medium-level</w:t>
      </w:r>
      <w:r>
        <w:rPr>
          <w:rStyle w:val="FootnoteReference"/>
          <w:noProof/>
          <w:lang w:val="en-US"/>
        </w:rPr>
        <w:footnoteReference w:id="86"/>
      </w:r>
      <w:r>
        <w:rPr>
          <w:noProof/>
          <w:lang w:val="en-US"/>
        </w:rPr>
        <w:t xml:space="preserve"> VET </w:t>
      </w:r>
    </w:p>
    <w:p w:rsidR="00620F75" w:rsidRDefault="001F403D">
      <w:pPr>
        <w:rPr>
          <w:noProof/>
        </w:rPr>
      </w:pPr>
      <w:r>
        <w:rPr>
          <w:noProof/>
        </w:rPr>
        <w:t>One of the main priorities in Union VET policy has been the promotion of work-based learning and apprenticeships schemes in VET systems, as tools to deliver labour market relevant skills, eas</w:t>
      </w:r>
      <w:r>
        <w:rPr>
          <w:noProof/>
        </w:rPr>
        <w:t xml:space="preserve">e transitions to labour market, and contribute to reducing youth unemployment. </w:t>
      </w:r>
    </w:p>
    <w:p w:rsidR="00620F75" w:rsidRDefault="001F403D">
      <w:pPr>
        <w:autoSpaceDE w:val="0"/>
        <w:autoSpaceDN w:val="0"/>
        <w:adjustRightInd w:val="0"/>
        <w:spacing w:after="120"/>
        <w:rPr>
          <w:noProof/>
        </w:rPr>
      </w:pPr>
      <w:r>
        <w:rPr>
          <w:noProof/>
        </w:rPr>
        <w:t>Promoting WBL has been a very important area of European cooperation in VET since the launch of the Copenhagen process. At their 2015 meeting in Riga, European Ministers respon</w:t>
      </w:r>
      <w:r>
        <w:rPr>
          <w:noProof/>
        </w:rPr>
        <w:t>sible for VET, together with the Social partners selected WBL as the first of five priorities for the period 2015-2020. The Commission Communication on the New Skills Agenda for Europe (2016)</w:t>
      </w:r>
      <w:r>
        <w:rPr>
          <w:rStyle w:val="FootnoteReference"/>
          <w:noProof/>
        </w:rPr>
        <w:footnoteReference w:id="87"/>
      </w:r>
      <w:r>
        <w:rPr>
          <w:noProof/>
        </w:rPr>
        <w:t xml:space="preserve"> further reinforces the focus on WBL. The recent 2018 Council Re</w:t>
      </w:r>
      <w:r>
        <w:rPr>
          <w:noProof/>
        </w:rPr>
        <w:t>commendation on a framework for quality and effective apprenticeships</w:t>
      </w:r>
      <w:r>
        <w:rPr>
          <w:rStyle w:val="FootnoteReference"/>
          <w:noProof/>
        </w:rPr>
        <w:footnoteReference w:id="88"/>
      </w:r>
      <w:r>
        <w:rPr>
          <w:noProof/>
        </w:rPr>
        <w:t xml:space="preserve"> recommends that a substantial part of an apprenticeship, meaning at least half of it, should be carried out in the workplace and stresses the aim to progress gradually towards that shar</w:t>
      </w:r>
      <w:r>
        <w:rPr>
          <w:noProof/>
        </w:rPr>
        <w:t xml:space="preserve">e of the apprenticeship being workplace learning. </w:t>
      </w:r>
    </w:p>
    <w:p w:rsidR="00620F75" w:rsidRDefault="001F403D">
      <w:pPr>
        <w:rPr>
          <w:noProof/>
        </w:rPr>
      </w:pPr>
      <w:r>
        <w:rPr>
          <w:noProof/>
        </w:rPr>
        <w:t>Also beyond the EU, there is strong consensus about the benefits of WBL for improving pathways to adulthood; delivering economic and labour market benefits to learners, enterprises and society more broadly</w:t>
      </w:r>
      <w:r>
        <w:rPr>
          <w:noProof/>
        </w:rPr>
        <w:t>; improving pedagogy; and reducing costs and increasing capacity within the system (Sweet, 2011)</w:t>
      </w:r>
      <w:r>
        <w:rPr>
          <w:rStyle w:val="FootnoteReference"/>
          <w:noProof/>
        </w:rPr>
        <w:footnoteReference w:id="89"/>
      </w:r>
      <w:r>
        <w:rPr>
          <w:noProof/>
        </w:rPr>
        <w:t>. The ILO has suggested that combined school- and work-based programmes reduce skills mismatches and provide hiring possibilities for firms (ILO, 2017a)</w:t>
      </w:r>
      <w:r>
        <w:rPr>
          <w:rStyle w:val="FootnoteReference"/>
          <w:noProof/>
        </w:rPr>
        <w:footnoteReference w:id="90"/>
      </w:r>
      <w:r>
        <w:rPr>
          <w:noProof/>
        </w:rPr>
        <w:t>.  The</w:t>
      </w:r>
      <w:r>
        <w:rPr>
          <w:noProof/>
        </w:rPr>
        <w:t xml:space="preserve"> latest data from the ad-hoc module of the EU-LFS on young people in the labour market, carried out in 2016, also clearly show the benefits (for example higher employment rates) of work-based learning (particularly apprenticeships) for students. Positive l</w:t>
      </w:r>
      <w:r>
        <w:rPr>
          <w:noProof/>
        </w:rPr>
        <w:t>abour market outcomes from work-based learning have been re-confirmed in a number of recent studies using OECD and EU-level data (OECD, 2019; JRC, 2020).</w:t>
      </w:r>
    </w:p>
    <w:p w:rsidR="00620F75" w:rsidRDefault="001F403D">
      <w:pPr>
        <w:rPr>
          <w:noProof/>
        </w:rPr>
      </w:pPr>
      <w:r>
        <w:rPr>
          <w:noProof/>
        </w:rPr>
        <w:t>While there have been some limitations in terms of regular and comprehensive data coverage of work-bas</w:t>
      </w:r>
      <w:r>
        <w:rPr>
          <w:noProof/>
        </w:rPr>
        <w:t>ed learning until now, it was agreed that under the adopted Integrated European Social Statistics Framework Regulation (IESS FR)</w:t>
      </w:r>
      <w:r>
        <w:rPr>
          <w:rStyle w:val="FootnoteReference"/>
          <w:noProof/>
        </w:rPr>
        <w:footnoteReference w:id="91"/>
      </w:r>
      <w:r>
        <w:rPr>
          <w:noProof/>
        </w:rPr>
        <w:t xml:space="preserve">, the variable "work </w:t>
      </w:r>
      <w:r>
        <w:rPr>
          <w:noProof/>
        </w:rPr>
        <w:lastRenderedPageBreak/>
        <w:t xml:space="preserve">experience at a workplace as part of HATLEVEL" (HATWORK) will be included into the core LFS as from 2021. </w:t>
      </w:r>
      <w:r>
        <w:rPr>
          <w:noProof/>
        </w:rPr>
        <w:t>This variable allows distinguishing different types of work-based learning, using dimensions such as duration of work-based learning experience as well as if it included pay or not. A dedicated European Commission Joint Research Centre Study (JRC, 2020), c</w:t>
      </w:r>
      <w:r>
        <w:rPr>
          <w:noProof/>
        </w:rPr>
        <w:t>onfirmed that this data would be a good option for monitoring learners’ exposure to work-based learning. This indicator focuses on medium-level VET given the lack of standardised operational definition at international level to isolate programmes at bachel</w:t>
      </w:r>
      <w:r>
        <w:rPr>
          <w:noProof/>
        </w:rPr>
        <w:t>ors and masters levels in tertiary education belonging to vocational/professional pathway.</w:t>
      </w:r>
    </w:p>
    <w:p w:rsidR="00620F75" w:rsidRDefault="001F403D">
      <w:pPr>
        <w:keepNext/>
        <w:spacing w:after="60"/>
        <w:rPr>
          <w:rFonts w:cstheme="minorHAnsi"/>
          <w:b/>
          <w:iCs/>
          <w:noProof/>
          <w:szCs w:val="24"/>
        </w:rPr>
      </w:pPr>
      <w:r>
        <w:rPr>
          <w:rFonts w:cstheme="minorHAnsi"/>
          <w:b/>
          <w:iCs/>
          <w:noProof/>
          <w:szCs w:val="24"/>
        </w:rPr>
        <w:t xml:space="preserve">Figure 11: </w:t>
      </w:r>
      <w:r>
        <w:rPr>
          <w:b/>
          <w:noProof/>
        </w:rPr>
        <w:t xml:space="preserve">Exposure of </w:t>
      </w:r>
      <w:r>
        <w:rPr>
          <w:rFonts w:cstheme="minorHAnsi"/>
          <w:b/>
          <w:iCs/>
          <w:noProof/>
          <w:szCs w:val="24"/>
        </w:rPr>
        <w:t>recent graduates (aged 15-34) with a medium-level vocational education and training qualifications to work-based learning, 2016</w:t>
      </w:r>
    </w:p>
    <w:p w:rsidR="00620F75" w:rsidRDefault="00620F75">
      <w:pPr>
        <w:keepNext/>
        <w:spacing w:after="60"/>
        <w:rPr>
          <w:rFonts w:cstheme="minorHAnsi"/>
          <w:iCs/>
          <w:noProof/>
          <w:szCs w:val="24"/>
        </w:rPr>
      </w:pPr>
    </w:p>
    <w:p w:rsidR="00620F75" w:rsidRDefault="001F403D">
      <w:pPr>
        <w:keepNext/>
        <w:spacing w:after="60"/>
        <w:jc w:val="center"/>
        <w:rPr>
          <w:noProof/>
          <w:lang w:eastAsia="en-GB"/>
        </w:rPr>
      </w:pPr>
      <w:r>
        <w:rPr>
          <w:noProof/>
          <w:lang w:eastAsia="en-GB"/>
        </w:rPr>
        <w:drawing>
          <wp:inline distT="0" distB="0" distL="0" distR="0">
            <wp:extent cx="5010150" cy="287655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6" cstate="print"/>
                    <a:stretch>
                      <a:fillRect/>
                    </a:stretch>
                  </pic:blipFill>
                  <pic:spPr>
                    <a:xfrm>
                      <a:off x="0" y="0"/>
                      <a:ext cx="5010150" cy="2876550"/>
                    </a:xfrm>
                    <a:prstGeom prst="rect">
                      <a:avLst/>
                    </a:prstGeom>
                  </pic:spPr>
                </pic:pic>
              </a:graphicData>
            </a:graphic>
          </wp:inline>
        </w:drawing>
      </w:r>
    </w:p>
    <w:p w:rsidR="00620F75" w:rsidRDefault="00620F75">
      <w:pPr>
        <w:keepNext/>
        <w:spacing w:after="60"/>
        <w:rPr>
          <w:rFonts w:cstheme="minorHAnsi"/>
          <w:iCs/>
          <w:noProof/>
          <w:szCs w:val="24"/>
        </w:rPr>
      </w:pPr>
    </w:p>
    <w:p w:rsidR="00620F75" w:rsidRDefault="001F403D">
      <w:pPr>
        <w:keepNext/>
        <w:spacing w:after="60"/>
        <w:jc w:val="center"/>
        <w:rPr>
          <w:rFonts w:ascii="Times New Roman" w:hAnsi="Times New Roman" w:cs="Times New Roman"/>
          <w:iCs/>
          <w:noProof/>
          <w:sz w:val="20"/>
          <w:szCs w:val="20"/>
        </w:rPr>
      </w:pPr>
      <w:r>
        <w:rPr>
          <w:noProof/>
          <w:lang w:eastAsia="en-GB"/>
        </w:rPr>
        <w:t xml:space="preserve"> </w:t>
      </w:r>
    </w:p>
    <w:p w:rsidR="00620F75" w:rsidRDefault="001F403D">
      <w:pPr>
        <w:contextualSpacing/>
        <w:rPr>
          <w:rFonts w:cs="Times New Roman"/>
          <w:iCs/>
          <w:noProof/>
          <w:sz w:val="20"/>
          <w:szCs w:val="20"/>
        </w:rPr>
      </w:pPr>
      <w:r>
        <w:rPr>
          <w:rFonts w:cs="Times New Roman"/>
          <w:iCs/>
          <w:noProof/>
          <w:sz w:val="20"/>
          <w:szCs w:val="20"/>
        </w:rPr>
        <w:t xml:space="preserve">Source: Eurostat, LFS ad-hoc module on young people in the labour market, 2016, special data extraction for DG EMPL. </w:t>
      </w:r>
      <w:r>
        <w:rPr>
          <w:rFonts w:eastAsia="Calibri" w:cs="Times New Roman"/>
          <w:iCs/>
          <w:noProof/>
          <w:sz w:val="20"/>
          <w:szCs w:val="20"/>
        </w:rPr>
        <w:t>Reading note: R</w:t>
      </w:r>
      <w:r>
        <w:rPr>
          <w:rFonts w:cs="Times New Roman"/>
          <w:noProof/>
          <w:sz w:val="20"/>
          <w:szCs w:val="20"/>
        </w:rPr>
        <w:t xml:space="preserve">ecent graduates are defined as individuals who have graduated 1-3 years before the survey. </w:t>
      </w:r>
      <w:r>
        <w:rPr>
          <w:rFonts w:eastAsia="Calibri" w:cs="Times New Roman"/>
          <w:iCs/>
          <w:noProof/>
          <w:sz w:val="20"/>
          <w:szCs w:val="20"/>
        </w:rPr>
        <w:t>VET at medium level includes qual</w:t>
      </w:r>
      <w:r>
        <w:rPr>
          <w:rFonts w:eastAsia="Calibri" w:cs="Times New Roman"/>
          <w:iCs/>
          <w:noProof/>
          <w:sz w:val="20"/>
          <w:szCs w:val="20"/>
        </w:rPr>
        <w:t>ifications from upper-secondary (ISCED 3) or post-secondary non-tertiary (ISCED 4) education and training programmes. The data also includes those still enrolled in education or training. Operational Eurostat definition of apprenticeship includes remunerat</w:t>
      </w:r>
      <w:r>
        <w:rPr>
          <w:rFonts w:eastAsia="Calibri" w:cs="Times New Roman"/>
          <w:iCs/>
          <w:noProof/>
          <w:sz w:val="20"/>
          <w:szCs w:val="20"/>
        </w:rPr>
        <w:t>ed, curriculum-related work-experience during studies, of at least 6 months in duration. Data on share of recent graduates exposed to all work-based learning is not reliable for Malta and Croatia; data on share of recent graduates exposed to apprenticeship</w:t>
      </w:r>
      <w:r>
        <w:rPr>
          <w:rFonts w:eastAsia="Calibri" w:cs="Times New Roman"/>
          <w:iCs/>
          <w:noProof/>
          <w:sz w:val="20"/>
          <w:szCs w:val="20"/>
        </w:rPr>
        <w:t>s is not reliable for Belgium, Cyprus, Italy, Slovenia and Spain; data on share of recent graduates exposed to other types of work-based learning apart from apprenticeships is not reliable for Cyprus.</w:t>
      </w:r>
    </w:p>
    <w:p w:rsidR="00620F75" w:rsidRDefault="00620F75">
      <w:pPr>
        <w:rPr>
          <w:noProof/>
        </w:rPr>
      </w:pPr>
    </w:p>
    <w:p w:rsidR="00620F75" w:rsidRDefault="001F403D">
      <w:pPr>
        <w:pStyle w:val="Heading5"/>
        <w:rPr>
          <w:noProof/>
          <w:lang w:val="en-US"/>
        </w:rPr>
      </w:pPr>
      <w:r>
        <w:rPr>
          <w:noProof/>
          <w:lang w:val="en-US"/>
        </w:rPr>
        <w:lastRenderedPageBreak/>
        <w:t xml:space="preserve">Indicator on learning mobility in VET </w:t>
      </w:r>
    </w:p>
    <w:p w:rsidR="00620F75" w:rsidRDefault="001F403D">
      <w:pPr>
        <w:rPr>
          <w:rFonts w:ascii="_GOPA TheSerif Light" w:hAnsi="_GOPA TheSerif Light"/>
          <w:noProof/>
          <w:sz w:val="19"/>
        </w:rPr>
      </w:pPr>
      <w:r>
        <w:rPr>
          <w:noProof/>
        </w:rPr>
        <w:t xml:space="preserve">In the context </w:t>
      </w:r>
      <w:r>
        <w:rPr>
          <w:noProof/>
        </w:rPr>
        <w:t>of the strategic framework on “Education and Training 2020”, the European Council agreed on 29</w:t>
      </w:r>
      <w:r>
        <w:rPr>
          <w:noProof/>
          <w:vertAlign w:val="superscript"/>
        </w:rPr>
        <w:t>th</w:t>
      </w:r>
      <w:r>
        <w:rPr>
          <w:noProof/>
        </w:rPr>
        <w:t xml:space="preserve"> of November 2011 on an EU benchmark for learning mobility in initial vocational education and training (IVET)</w:t>
      </w:r>
      <w:r>
        <w:rPr>
          <w:noProof/>
        </w:rPr>
        <w:fldChar w:fldCharType="begin"/>
      </w:r>
      <w:r>
        <w:rPr>
          <w:noProof/>
        </w:rPr>
        <w:instrText xml:space="preserve"> ADDIN EN.CITE &lt;EndNote&gt;&lt;Cite&gt;&lt;Author&gt;European Com</w:instrText>
      </w:r>
      <w:r>
        <w:rPr>
          <w:noProof/>
        </w:rPr>
        <w:instrText>mission&lt;/Author&gt;&lt;Year&gt;2015&lt;/Year&gt;&lt;RecNum&gt;15265&lt;/RecNum&gt;&lt;DisplayText&gt;(European Commission, 2015)&lt;/DisplayText&gt;&lt;record&gt;&lt;rec-number&gt;15265&lt;/rec-number&gt;&lt;foreign-keys&gt;&lt;key app="EN" db-id="pw0p5xtxlspedwefrtjvwts4vexwstpzvf0v" timestamp="1560416983"&gt;15265&lt;/key&gt;&lt;/</w:instrText>
      </w:r>
      <w:r>
        <w:rPr>
          <w:noProof/>
        </w:rPr>
        <w:instrText>foreign-keys&gt;&lt;ref-type name="Report"&gt;27&lt;/ref-type&gt;&lt;contributors&gt;&lt;authors&gt;&lt;author&gt;European Commission, &lt;/author&gt;&lt;/authors&gt;&lt;/contributors&gt;&lt;titles&gt;&lt;title&gt;Pilot data collection 2014 on IVET learning mobility and general youth learning mobility. Item 6.1&lt;/title</w:instrText>
      </w:r>
      <w:r>
        <w:rPr>
          <w:noProof/>
        </w:rPr>
        <w:instrText>&gt;&lt;/titles&gt;&lt;dates&gt;&lt;year&gt;2015&lt;/year&gt;&lt;/dates&gt;&lt;pub-location&gt;Luxembourg&lt;/pub-location&gt;&lt;publisher&gt;Meeting of the Education and Training Statistics Working Group Luxembourg, 16-17th June 2015&lt;/publisher&gt;&lt;urls&gt;&lt;/urls&gt;&lt;/record&gt;&lt;/Cite&gt;&lt;/EndNote&gt;</w:instrText>
      </w:r>
      <w:r>
        <w:rPr>
          <w:noProof/>
        </w:rPr>
        <w:fldChar w:fldCharType="separate"/>
      </w:r>
      <w:r>
        <w:rPr>
          <w:noProof/>
        </w:rPr>
        <w:t>(European Commission,</w:t>
      </w:r>
      <w:r>
        <w:rPr>
          <w:noProof/>
        </w:rPr>
        <w:t xml:space="preserve"> 2015)</w:t>
      </w:r>
      <w:r>
        <w:rPr>
          <w:noProof/>
        </w:rPr>
        <w:fldChar w:fldCharType="end"/>
      </w:r>
      <w:r>
        <w:rPr>
          <w:noProof/>
        </w:rPr>
        <w:t xml:space="preserve">. It is stated that </w:t>
      </w:r>
      <w:r>
        <w:rPr>
          <w:rStyle w:val="FootnoteReference"/>
          <w:noProof/>
        </w:rPr>
        <w:footnoteReference w:id="92"/>
      </w:r>
    </w:p>
    <w:p w:rsidR="00620F75" w:rsidRDefault="001F403D">
      <w:pPr>
        <w:rPr>
          <w:noProof/>
        </w:rPr>
      </w:pPr>
      <w:r>
        <w:rPr>
          <w:noProof/>
        </w:rPr>
        <w:t>“By 2020, an EU average of at least 6% of 18-34-year-olds with an initial vocational education and training (VET) qualification should have had an initial VET-related study or training period (including work placements) abroa</w:t>
      </w:r>
      <w:r>
        <w:rPr>
          <w:noProof/>
        </w:rPr>
        <w:t>d lasting a minimum of 2 weeks (10 working days), or less if documented by Europass.”</w:t>
      </w:r>
    </w:p>
    <w:p w:rsidR="00620F75" w:rsidRDefault="001F403D">
      <w:pPr>
        <w:rPr>
          <w:rFonts w:ascii="Times New Roman" w:eastAsia="Times New Roman" w:hAnsi="Times New Roman"/>
          <w:noProof/>
          <w:szCs w:val="24"/>
          <w:lang w:eastAsia="en-GB"/>
        </w:rPr>
      </w:pPr>
      <w:r>
        <w:rPr>
          <w:noProof/>
        </w:rPr>
        <w:t>By the time of adopting the benchmark, there had been no data sources available for building up the indicator, however, in the conclusions, it has been envisaged to use e</w:t>
      </w:r>
      <w:r>
        <w:rPr>
          <w:noProof/>
        </w:rPr>
        <w:t>xisting household surveys as a future source for measuring learning mobility in IVET.</w:t>
      </w:r>
      <w:r>
        <w:rPr>
          <w:rFonts w:ascii="Times New Roman" w:eastAsia="Times New Roman" w:hAnsi="Times New Roman"/>
          <w:noProof/>
          <w:szCs w:val="24"/>
          <w:lang w:eastAsia="en-GB"/>
        </w:rPr>
        <w:t xml:space="preserve"> </w:t>
      </w:r>
    </w:p>
    <w:p w:rsidR="00620F75" w:rsidRDefault="001F403D">
      <w:pPr>
        <w:rPr>
          <w:rFonts w:ascii="_GOPA TheSerif Light" w:hAnsi="_GOPA TheSerif Light"/>
          <w:noProof/>
          <w:sz w:val="19"/>
        </w:rPr>
      </w:pPr>
      <w:r>
        <w:rPr>
          <w:noProof/>
        </w:rPr>
        <w:t xml:space="preserve">For testing the feasibility of using a general household survey for collecting the required data with the needed quality, a pilot had been implemented in 16 EU Member </w:t>
      </w:r>
      <w:r>
        <w:rPr>
          <w:noProof/>
        </w:rPr>
        <w:t>States (MS). Some countries did not participate in the survey as they could fall back on administrative data (e.g. Finland) or expected to achieve data on IVET learning mobility based on research among recent graduates instead of the total population (e.g.</w:t>
      </w:r>
      <w:r>
        <w:rPr>
          <w:noProof/>
        </w:rPr>
        <w:t xml:space="preserve"> Germany, France). By using a general population survey, data of sufficient quality could be achieved only for eleven countries. It was therefore concluded that a general survey is not the best source of data on learning mobility in VET, in particular in c</w:t>
      </w:r>
      <w:r>
        <w:rPr>
          <w:noProof/>
        </w:rPr>
        <w:t>ountries with a small IVET population and with (assumingly) low rates of participation in IVET learning mobilities (European Commission 2015).</w:t>
      </w:r>
    </w:p>
    <w:p w:rsidR="00620F75" w:rsidRDefault="001F403D">
      <w:pPr>
        <w:rPr>
          <w:rFonts w:eastAsia="Times New Roman"/>
          <w:noProof/>
          <w:szCs w:val="24"/>
          <w:lang w:eastAsia="en-GB"/>
        </w:rPr>
      </w:pPr>
      <w:r>
        <w:rPr>
          <w:noProof/>
        </w:rPr>
        <w:t>Based on the pilot data collection and discussions with Member State authorities and as requested by the Council,</w:t>
      </w:r>
      <w:r>
        <w:rPr>
          <w:noProof/>
        </w:rPr>
        <w:t xml:space="preserve"> the Commission, in its Progress report on a learning mobility benchmark</w:t>
      </w:r>
      <w:r>
        <w:rPr>
          <w:rStyle w:val="FootnoteReference"/>
          <w:noProof/>
        </w:rPr>
        <w:footnoteReference w:id="93"/>
      </w:r>
      <w:r>
        <w:rPr>
          <w:noProof/>
        </w:rPr>
        <w:t>, proposed to explore the use of administrative data and review the feasibility of using such data to underpin the benchmark on IVET mobility. Administrative data on this already exis</w:t>
      </w:r>
      <w:r>
        <w:rPr>
          <w:noProof/>
        </w:rPr>
        <w:t xml:space="preserve">ts in some EU countries as well as in other participating countries of the Erasmus + programme. </w:t>
      </w:r>
      <w:r>
        <w:rPr>
          <w:rFonts w:eastAsia="Times New Roman"/>
          <w:noProof/>
          <w:szCs w:val="24"/>
          <w:lang w:eastAsia="en-GB"/>
        </w:rPr>
        <w:t>Subsequently, the Commission procured a feasibility study on evaluating the possibility to compute a learning mobility indicator using administrative data sourc</w:t>
      </w:r>
      <w:r>
        <w:rPr>
          <w:rFonts w:eastAsia="Times New Roman"/>
          <w:noProof/>
          <w:szCs w:val="24"/>
          <w:lang w:eastAsia="en-GB"/>
        </w:rPr>
        <w:t xml:space="preserve">es. </w:t>
      </w:r>
    </w:p>
    <w:p w:rsidR="00620F75" w:rsidRDefault="001F403D">
      <w:pPr>
        <w:rPr>
          <w:rFonts w:eastAsia="Times New Roman"/>
          <w:noProof/>
          <w:szCs w:val="24"/>
          <w:lang w:eastAsia="en-GB"/>
        </w:rPr>
      </w:pPr>
      <w:r>
        <w:rPr>
          <w:rFonts w:eastAsia="Times New Roman"/>
          <w:noProof/>
          <w:szCs w:val="24"/>
          <w:lang w:eastAsia="en-GB"/>
        </w:rPr>
        <w:t>The conclusions of the study point out to the possibility, using primarily Erasmus+ data, but also, where appropriate, additional data from national authorities, to compute an indicator on the prevalence of learning mobility among the population of le</w:t>
      </w:r>
      <w:r>
        <w:rPr>
          <w:rFonts w:eastAsia="Times New Roman"/>
          <w:noProof/>
          <w:szCs w:val="24"/>
          <w:lang w:eastAsia="en-GB"/>
        </w:rPr>
        <w:t xml:space="preserve">arners in formal VET (European Commission, forthcoming). The preliminary results of the initial estimation of the indicator is provided below. </w:t>
      </w:r>
    </w:p>
    <w:p w:rsidR="00620F75" w:rsidRDefault="00620F75">
      <w:pPr>
        <w:rPr>
          <w:rFonts w:eastAsia="Times New Roman"/>
          <w:noProof/>
          <w:szCs w:val="24"/>
          <w:lang w:eastAsia="en-GB"/>
        </w:rPr>
      </w:pPr>
    </w:p>
    <w:p w:rsidR="00620F75" w:rsidRDefault="00620F75">
      <w:pPr>
        <w:rPr>
          <w:rFonts w:eastAsia="Times New Roman"/>
          <w:noProof/>
          <w:szCs w:val="24"/>
          <w:lang w:eastAsia="en-GB"/>
        </w:rPr>
      </w:pPr>
    </w:p>
    <w:p w:rsidR="00620F75" w:rsidRDefault="00620F75">
      <w:pPr>
        <w:rPr>
          <w:rFonts w:eastAsia="Times New Roman"/>
          <w:noProof/>
          <w:szCs w:val="24"/>
          <w:lang w:eastAsia="en-GB"/>
        </w:rPr>
      </w:pPr>
    </w:p>
    <w:p w:rsidR="00620F75" w:rsidRDefault="00620F75">
      <w:pPr>
        <w:rPr>
          <w:rFonts w:eastAsia="Times New Roman"/>
          <w:noProof/>
          <w:szCs w:val="24"/>
          <w:lang w:eastAsia="en-GB"/>
        </w:rPr>
      </w:pPr>
    </w:p>
    <w:p w:rsidR="00620F75" w:rsidRDefault="001F403D">
      <w:pPr>
        <w:rPr>
          <w:rFonts w:cstheme="minorHAnsi"/>
          <w:b/>
          <w:iCs/>
          <w:noProof/>
          <w:szCs w:val="24"/>
        </w:rPr>
      </w:pPr>
      <w:r>
        <w:rPr>
          <w:rFonts w:cstheme="minorHAnsi"/>
          <w:b/>
          <w:iCs/>
          <w:noProof/>
          <w:szCs w:val="24"/>
        </w:rPr>
        <w:lastRenderedPageBreak/>
        <w:t xml:space="preserve">Figure 12: the share of mobile VET learners out of a cohort of graduates from VET in a corresponding year, </w:t>
      </w:r>
      <w:r>
        <w:rPr>
          <w:rFonts w:cstheme="minorHAnsi"/>
          <w:b/>
          <w:iCs/>
          <w:noProof/>
          <w:szCs w:val="24"/>
        </w:rPr>
        <w:t>EU27 average</w:t>
      </w:r>
    </w:p>
    <w:p w:rsidR="00620F75" w:rsidRDefault="001F403D">
      <w:pPr>
        <w:rPr>
          <w:rFonts w:eastAsia="Times New Roman"/>
          <w:noProof/>
          <w:szCs w:val="24"/>
          <w:lang w:eastAsia="en-GB"/>
        </w:rPr>
      </w:pPr>
      <w:r>
        <w:rPr>
          <w:noProof/>
          <w:lang w:eastAsia="en-GB"/>
        </w:rPr>
        <w:drawing>
          <wp:anchor distT="0" distB="0" distL="114300" distR="114300" simplePos="0" relativeHeight="251658241" behindDoc="0" locked="0" layoutInCell="1" allowOverlap="1">
            <wp:simplePos x="0" y="0"/>
            <wp:positionH relativeFrom="column">
              <wp:posOffset>0</wp:posOffset>
            </wp:positionH>
            <wp:positionV relativeFrom="paragraph">
              <wp:posOffset>258445</wp:posOffset>
            </wp:positionV>
            <wp:extent cx="5659120" cy="2743200"/>
            <wp:effectExtent l="0" t="0" r="0" b="0"/>
            <wp:wrapSquare wrapText="bothSides"/>
            <wp:docPr id="10" name="Diagramm 10">
              <a:extLst xmlns:a="http://schemas.openxmlformats.org/drawingml/2006/main">
                <a:ext uri="{FF2B5EF4-FFF2-40B4-BE49-F238E27FC236}">
                  <a16:creationId xmlns:a16="http://schemas.microsoft.com/office/drawing/2014/main" id="{CBDE8FF7-AD67-45B5-B601-8C87D68CAF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p>
    <w:p w:rsidR="00620F75" w:rsidRDefault="001F403D">
      <w:pPr>
        <w:rPr>
          <w:noProof/>
          <w:sz w:val="14"/>
          <w:szCs w:val="14"/>
        </w:rPr>
      </w:pPr>
      <w:r>
        <w:rPr>
          <w:noProof/>
          <w:sz w:val="20"/>
          <w:szCs w:val="20"/>
          <w:lang w:val="en-US"/>
        </w:rPr>
        <w:t>Sources: for estimating the population of mobile VET learners – total number of contracted Erasmus+ VET KA1 mobile learners in the reference year for years 2014-2019; for estimating the reference population – the number of VET graduates in t</w:t>
      </w:r>
      <w:r>
        <w:rPr>
          <w:noProof/>
          <w:sz w:val="20"/>
          <w:szCs w:val="20"/>
          <w:lang w:val="en-US"/>
        </w:rPr>
        <w:t>he reference year, compiled by Eurostat through the UOE data collection for years 2014-2017, online data table [</w:t>
      </w:r>
      <w:hyperlink r:id="rId56" w:history="1">
        <w:r>
          <w:rPr>
            <w:rStyle w:val="Hyperlink"/>
            <w:noProof/>
            <w:sz w:val="20"/>
            <w:szCs w:val="20"/>
            <w:lang w:val="en-US"/>
          </w:rPr>
          <w:t>educ_uoe_grad01</w:t>
        </w:r>
      </w:hyperlink>
      <w:r>
        <w:rPr>
          <w:noProof/>
          <w:sz w:val="20"/>
          <w:szCs w:val="20"/>
          <w:lang w:val="en-US"/>
        </w:rPr>
        <w:t xml:space="preserve">]. For estimating the reference </w:t>
      </w:r>
      <w:r>
        <w:rPr>
          <w:noProof/>
          <w:sz w:val="20"/>
          <w:szCs w:val="20"/>
          <w:lang w:val="en-US"/>
        </w:rPr>
        <w:t>population in years 2018 and 2019, the data from year 2017 (latest available) was used. This includes learners enrolled in VET programs provided by education and training institutions which are located within the EU27, who may go for a learning mobility in</w:t>
      </w:r>
      <w:r>
        <w:rPr>
          <w:noProof/>
          <w:sz w:val="20"/>
          <w:szCs w:val="20"/>
          <w:lang w:val="en-US"/>
        </w:rPr>
        <w:t>to another EU Member States or another eligible country, benefiting from Erasmus+ (i.e. outgoing learning mobility).</w:t>
      </w:r>
    </w:p>
    <w:p w:rsidR="00620F75" w:rsidRDefault="001F403D">
      <w:pPr>
        <w:rPr>
          <w:rFonts w:cstheme="minorHAnsi"/>
          <w:b/>
          <w:iCs/>
          <w:noProof/>
          <w:szCs w:val="24"/>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470451</wp:posOffset>
            </wp:positionV>
            <wp:extent cx="5760720" cy="3712845"/>
            <wp:effectExtent l="0" t="0" r="0" b="1905"/>
            <wp:wrapSquare wrapText="bothSides"/>
            <wp:docPr id="29" name="Diagramm 29">
              <a:extLst xmlns:a="http://schemas.openxmlformats.org/drawingml/2006/main">
                <a:ext uri="{FF2B5EF4-FFF2-40B4-BE49-F238E27FC236}">
                  <a16:creationId xmlns:a16="http://schemas.microsoft.com/office/drawing/2014/main" id="{22C00E6D-F244-4483-9B6E-FB43D168A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Pr>
          <w:rFonts w:cstheme="minorHAnsi"/>
          <w:b/>
          <w:iCs/>
          <w:noProof/>
          <w:szCs w:val="24"/>
        </w:rPr>
        <w:t>Figure 13: the share of mobile VET learners out of a cohort of graduates from VET in a corresponding year, by country</w:t>
      </w:r>
    </w:p>
    <w:p w:rsidR="00620F75" w:rsidRDefault="001F403D">
      <w:pPr>
        <w:rPr>
          <w:noProof/>
          <w:sz w:val="20"/>
          <w:szCs w:val="20"/>
          <w:lang w:val="en-US"/>
        </w:rPr>
      </w:pPr>
      <w:r>
        <w:rPr>
          <w:noProof/>
          <w:sz w:val="20"/>
          <w:szCs w:val="20"/>
          <w:lang w:val="en-US"/>
        </w:rPr>
        <w:lastRenderedPageBreak/>
        <w:t>Sources: for estimat</w:t>
      </w:r>
      <w:r>
        <w:rPr>
          <w:noProof/>
          <w:sz w:val="20"/>
          <w:szCs w:val="20"/>
          <w:lang w:val="en-US"/>
        </w:rPr>
        <w:t>ing the population of mobile VET learners – total number of contracted Erasmus+ VET KA1 mobile learners in the reference year for years 2014-2019; for estimating the reference population – the number of VET graduates in the reference year, compiled by Euro</w:t>
      </w:r>
      <w:r>
        <w:rPr>
          <w:noProof/>
          <w:sz w:val="20"/>
          <w:szCs w:val="20"/>
          <w:lang w:val="en-US"/>
        </w:rPr>
        <w:t>stat through the UOE data collection for years 2014-2017, online data table [</w:t>
      </w:r>
      <w:hyperlink r:id="rId58" w:history="1">
        <w:r>
          <w:rPr>
            <w:rStyle w:val="Hyperlink"/>
            <w:noProof/>
            <w:sz w:val="20"/>
            <w:szCs w:val="20"/>
            <w:lang w:val="en-US"/>
          </w:rPr>
          <w:t>educ_uoe_grad01</w:t>
        </w:r>
      </w:hyperlink>
      <w:r>
        <w:rPr>
          <w:noProof/>
          <w:sz w:val="20"/>
          <w:szCs w:val="20"/>
          <w:lang w:val="en-US"/>
        </w:rPr>
        <w:t xml:space="preserve">]. For estimating the reference population in years 2018 and 2019, </w:t>
      </w:r>
      <w:r>
        <w:rPr>
          <w:noProof/>
          <w:sz w:val="20"/>
          <w:szCs w:val="20"/>
          <w:lang w:val="en-US"/>
        </w:rPr>
        <w:t>the data from year 2017 (latest available) was used.</w:t>
      </w:r>
    </w:p>
    <w:p w:rsidR="00620F75" w:rsidRDefault="001F403D">
      <w:pPr>
        <w:rPr>
          <w:noProof/>
          <w:szCs w:val="24"/>
          <w:lang w:val="en-US"/>
        </w:rPr>
      </w:pPr>
      <w:r>
        <w:rPr>
          <w:noProof/>
          <w:szCs w:val="24"/>
          <w:lang w:val="en-US"/>
        </w:rPr>
        <w:t>There are benefits as well as shortcomings of using such data for monitoring learning mobility in VET. The benefits are the readily and regularly available data that would allow to provide indications on</w:t>
      </w:r>
      <w:r>
        <w:rPr>
          <w:noProof/>
          <w:szCs w:val="24"/>
          <w:lang w:val="en-US"/>
        </w:rPr>
        <w:t xml:space="preserve"> the availability of learning mobility opportunities across countries for VET learners. It could help inform both national and EU level policy, monitor trends and allow estimating the potential impact of reforms and initiatives undertaken to stimulate mobi</w:t>
      </w:r>
      <w:r>
        <w:rPr>
          <w:noProof/>
          <w:szCs w:val="24"/>
          <w:lang w:val="en-US"/>
        </w:rPr>
        <w:t xml:space="preserve">lity opportunities. In the current situation, such data seems to be under-utilized both at European and national levels. </w:t>
      </w:r>
    </w:p>
    <w:p w:rsidR="00620F75" w:rsidRDefault="001F403D">
      <w:pPr>
        <w:rPr>
          <w:noProof/>
          <w:szCs w:val="24"/>
          <w:lang w:val="en-US"/>
        </w:rPr>
      </w:pPr>
      <w:r>
        <w:rPr>
          <w:noProof/>
          <w:szCs w:val="24"/>
          <w:lang w:val="en-US"/>
        </w:rPr>
        <w:t>At the same time, as with almost any indicator, there are also some shortcomings that need to be taken into account when analyzing and interpreting the data. Most notably, the proposed formulation of the indicator would not allow including data on mobility</w:t>
      </w:r>
      <w:r>
        <w:rPr>
          <w:noProof/>
          <w:szCs w:val="24"/>
          <w:lang w:val="en-US"/>
        </w:rPr>
        <w:t xml:space="preserve"> which is not co-financed by Erasmus+. In a few countries there are significant alternative programs to provide financial support and stimulate learning mobility, thus under-estimating the prevalence of the phenomenon. At the same time, it is also recogniz</w:t>
      </w:r>
      <w:r>
        <w:rPr>
          <w:noProof/>
          <w:szCs w:val="24"/>
          <w:lang w:val="en-US"/>
        </w:rPr>
        <w:t>ed that at least in some cases alternative financing programs are used to co-finance learning mobility to many of the same mobile learners who receive co-financing via Erasmus+. This would somewhat reduce the likely level of under-estimation. Also, existin</w:t>
      </w:r>
      <w:r>
        <w:rPr>
          <w:noProof/>
          <w:szCs w:val="24"/>
          <w:lang w:val="en-US"/>
        </w:rPr>
        <w:t xml:space="preserve">g data would not provide any information on privately financed learning mobility, however again it is expected that, particularly at upper-secondary level, the number of self-financed learning mobilities are likely to be limited in most countries. </w:t>
      </w:r>
    </w:p>
    <w:p w:rsidR="00620F75" w:rsidRDefault="001F403D">
      <w:pPr>
        <w:pStyle w:val="Heading5"/>
        <w:rPr>
          <w:noProof/>
          <w:lang w:val="en-US"/>
        </w:rPr>
      </w:pPr>
      <w:r>
        <w:rPr>
          <w:noProof/>
          <w:lang w:val="en-US"/>
        </w:rPr>
        <w:t>Indicat</w:t>
      </w:r>
      <w:r>
        <w:rPr>
          <w:noProof/>
          <w:lang w:val="en-US"/>
        </w:rPr>
        <w:t xml:space="preserve">or on employment rate of recent graduates from medium-level VET </w:t>
      </w:r>
    </w:p>
    <w:p w:rsidR="00620F75" w:rsidRDefault="001F403D">
      <w:pPr>
        <w:rPr>
          <w:noProof/>
          <w:u w:color="000000"/>
          <w:bdr w:val="nil"/>
        </w:rPr>
      </w:pPr>
      <w:r>
        <w:rPr>
          <w:noProof/>
          <w:szCs w:val="24"/>
          <w:lang w:val="en-US"/>
        </w:rPr>
        <w:t>The employment rate of recent graduates is a well-established indicator, underpinned by the regular data collected via the EU Labour Force Survey. It is also an Education and Training</w:t>
      </w:r>
      <w:r>
        <w:rPr>
          <w:noProof/>
          <w:szCs w:val="24"/>
        </w:rPr>
        <w:t xml:space="preserve"> benchma</w:t>
      </w:r>
      <w:r>
        <w:rPr>
          <w:noProof/>
          <w:szCs w:val="24"/>
        </w:rPr>
        <w:t xml:space="preserve">rk: </w:t>
      </w:r>
      <w:r>
        <w:rPr>
          <w:rFonts w:eastAsia="Calibri"/>
          <w:i/>
          <w:noProof/>
          <w:u w:color="000000"/>
          <w:bdr w:val="nil"/>
        </w:rPr>
        <w:t xml:space="preserve">'By 2020, the share of employed graduates (20-34 year olds) having left education and training no more than three years before the reference year should be at least 82% (as compared to 76.5 % in 2010).' </w:t>
      </w:r>
    </w:p>
    <w:p w:rsidR="00620F75" w:rsidRDefault="001F403D">
      <w:pPr>
        <w:rPr>
          <w:rFonts w:eastAsia="Calibri"/>
          <w:noProof/>
          <w:u w:color="000000"/>
          <w:bdr w:val="nil"/>
        </w:rPr>
      </w:pPr>
      <w:r>
        <w:rPr>
          <w:noProof/>
          <w:szCs w:val="24"/>
          <w:lang w:val="en-US"/>
        </w:rPr>
        <w:t>An integral part of this benchmark, is the indic</w:t>
      </w:r>
      <w:r>
        <w:rPr>
          <w:noProof/>
          <w:szCs w:val="24"/>
          <w:lang w:val="en-US"/>
        </w:rPr>
        <w:t xml:space="preserve">ator on the employability of recent graduates from medium-level VET, measured as the share of employed graduates from VET at upper-secondary and post-secondary non-tertiary levels </w:t>
      </w:r>
      <w:r>
        <w:rPr>
          <w:rFonts w:eastAsia="Calibri"/>
          <w:noProof/>
          <w:u w:color="000000"/>
          <w:bdr w:val="nil"/>
        </w:rPr>
        <w:t>having left education and training no more than three years before the refer</w:t>
      </w:r>
      <w:r>
        <w:rPr>
          <w:rFonts w:eastAsia="Calibri"/>
          <w:noProof/>
          <w:u w:color="000000"/>
          <w:bdr w:val="nil"/>
        </w:rPr>
        <w:t>ence year. This indicator is well-established for the monitoring of employment rates of recent VET gradutes and regularly reported by the Commission in the Joint Employment Report, European Semester Country Reports as well as Education and Training Monitor</w:t>
      </w:r>
      <w:r>
        <w:rPr>
          <w:rFonts w:eastAsia="Calibri"/>
          <w:noProof/>
          <w:u w:color="000000"/>
          <w:bdr w:val="nil"/>
        </w:rPr>
        <w:t xml:space="preserve">. </w:t>
      </w:r>
    </w:p>
    <w:p w:rsidR="00620F75" w:rsidRDefault="001F403D">
      <w:pPr>
        <w:rPr>
          <w:rFonts w:eastAsia="Calibri"/>
          <w:noProof/>
          <w:u w:color="000000"/>
          <w:bdr w:val="nil"/>
        </w:rPr>
      </w:pPr>
      <w:r>
        <w:rPr>
          <w:rFonts w:eastAsia="Calibri"/>
          <w:noProof/>
          <w:u w:color="000000"/>
          <w:bdr w:val="nil"/>
        </w:rPr>
        <w:t>The proposed target, at 82%, builds upon the target set in ET2020 at 82% and which covers graduates from tertiary, upper-secondary/post-secondary non-tertiary vocational and upper-secondary/post-secondary non-tertiary general education. The current empl</w:t>
      </w:r>
      <w:r>
        <w:rPr>
          <w:rFonts w:eastAsia="Calibri"/>
          <w:noProof/>
          <w:u w:color="000000"/>
          <w:bdr w:val="nil"/>
        </w:rPr>
        <w:t xml:space="preserve">oyment rates of recent graduates from medium-level VET stands at 79% for EU27, up from 72.4% in 2014 (no data is available prior to 2014). Given the expected rise in unemployment, it is proposed to keep the same lavel of amibtion to be achieved by 2025. </w:t>
      </w:r>
    </w:p>
    <w:p w:rsidR="00620F75" w:rsidRDefault="001F403D">
      <w:pPr>
        <w:keepNext/>
        <w:spacing w:after="60"/>
        <w:rPr>
          <w:rFonts w:cstheme="minorHAnsi"/>
          <w:b/>
          <w:iCs/>
          <w:noProof/>
          <w:szCs w:val="24"/>
        </w:rPr>
      </w:pPr>
      <w:r>
        <w:rPr>
          <w:rFonts w:cstheme="minorHAnsi"/>
          <w:b/>
          <w:noProof/>
          <w:szCs w:val="24"/>
        </w:rPr>
        <w:lastRenderedPageBreak/>
        <w:t>F</w:t>
      </w:r>
      <w:r>
        <w:rPr>
          <w:rFonts w:cstheme="minorHAnsi"/>
          <w:b/>
          <w:noProof/>
          <w:szCs w:val="24"/>
        </w:rPr>
        <w:t>igure 14</w:t>
      </w:r>
      <w:r>
        <w:rPr>
          <w:rFonts w:cstheme="minorHAnsi"/>
          <w:b/>
          <w:iCs/>
          <w:noProof/>
          <w:szCs w:val="24"/>
        </w:rPr>
        <w:t>: Employment rate of recent graduates from medium-level VET (2018)</w:t>
      </w:r>
    </w:p>
    <w:p w:rsidR="00620F75" w:rsidRDefault="001F403D">
      <w:pPr>
        <w:rPr>
          <w:noProof/>
          <w:szCs w:val="24"/>
          <w:lang w:val="en-US"/>
        </w:rPr>
      </w:pPr>
      <w:r>
        <w:rPr>
          <w:noProof/>
          <w:lang w:eastAsia="en-GB"/>
        </w:rPr>
        <w:drawing>
          <wp:inline distT="0" distB="0" distL="0" distR="0">
            <wp:extent cx="5181600" cy="32289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620F75" w:rsidRDefault="001F403D">
      <w:pPr>
        <w:contextualSpacing/>
        <w:rPr>
          <w:rFonts w:cs="Times New Roman"/>
          <w:noProof/>
          <w:sz w:val="20"/>
          <w:szCs w:val="20"/>
        </w:rPr>
      </w:pPr>
      <w:r>
        <w:rPr>
          <w:rFonts w:cs="Times New Roman"/>
          <w:noProof/>
          <w:sz w:val="20"/>
          <w:szCs w:val="20"/>
          <w:lang w:val="fr-BE"/>
        </w:rPr>
        <w:t xml:space="preserve">Source: Eurostat (EU-LFS, 2018, </w:t>
      </w:r>
      <w:r>
        <w:rPr>
          <w:rFonts w:eastAsia="Calibri" w:cs="Times New Roman"/>
          <w:noProof/>
          <w:sz w:val="20"/>
          <w:szCs w:val="20"/>
          <w:lang w:val="fr-BE"/>
        </w:rPr>
        <w:t>online data code [</w:t>
      </w:r>
      <w:hyperlink r:id="rId60" w:history="1">
        <w:r>
          <w:rPr>
            <w:rStyle w:val="Hyperlink"/>
            <w:rFonts w:cs="Times New Roman"/>
            <w:noProof/>
            <w:sz w:val="20"/>
            <w:szCs w:val="20"/>
            <w:lang w:val="fr-BE"/>
          </w:rPr>
          <w:t>edat_lfse_24</w:t>
        </w:r>
      </w:hyperlink>
      <w:r>
        <w:rPr>
          <w:rStyle w:val="leaf"/>
          <w:rFonts w:cs="Times New Roman"/>
          <w:noProof/>
          <w:sz w:val="20"/>
          <w:szCs w:val="20"/>
          <w:lang w:val="fr-BE"/>
        </w:rPr>
        <w:t>]</w:t>
      </w:r>
      <w:r>
        <w:rPr>
          <w:rFonts w:cs="Times New Roman"/>
          <w:noProof/>
          <w:sz w:val="20"/>
          <w:szCs w:val="20"/>
          <w:lang w:val="fr-BE"/>
        </w:rPr>
        <w:t xml:space="preserve">). </w:t>
      </w:r>
      <w:r>
        <w:rPr>
          <w:rFonts w:cs="Times New Roman"/>
          <w:noProof/>
          <w:sz w:val="20"/>
          <w:szCs w:val="20"/>
        </w:rPr>
        <w:t xml:space="preserve">Data only individuals, aged 20-34, who have graduated 1-3 years before the survey from upper-secondary or post-secondary non-tertiary vocational education and training. </w:t>
      </w:r>
      <w:r>
        <w:rPr>
          <w:rFonts w:eastAsia="Calibri" w:cs="Times New Roman"/>
          <w:noProof/>
          <w:sz w:val="20"/>
          <w:szCs w:val="20"/>
        </w:rPr>
        <w:t>The data exclude those still enrolled in education or training.</w:t>
      </w:r>
    </w:p>
    <w:p w:rsidR="00620F75" w:rsidRDefault="001F403D">
      <w:pPr>
        <w:pStyle w:val="Heading1"/>
        <w:rPr>
          <w:noProof/>
          <w:lang w:val="en-US"/>
        </w:rPr>
      </w:pPr>
      <w:bookmarkStart w:id="186" w:name="_Toc34039164"/>
      <w:bookmarkStart w:id="187" w:name="_Toc34040464"/>
      <w:bookmarkStart w:id="188" w:name="_Toc34041721"/>
      <w:bookmarkStart w:id="189" w:name="_Toc34042223"/>
      <w:bookmarkStart w:id="190" w:name="_Toc43376123"/>
      <w:r>
        <w:rPr>
          <w:noProof/>
          <w:lang w:val="en-US"/>
        </w:rPr>
        <w:t>Conclusions</w:t>
      </w:r>
      <w:bookmarkEnd w:id="186"/>
      <w:bookmarkEnd w:id="187"/>
      <w:bookmarkEnd w:id="188"/>
      <w:bookmarkEnd w:id="189"/>
      <w:bookmarkEnd w:id="190"/>
    </w:p>
    <w:p w:rsidR="00620F75" w:rsidRDefault="001F403D">
      <w:pPr>
        <w:rPr>
          <w:noProof/>
          <w:szCs w:val="24"/>
          <w:lang w:val="en-US"/>
        </w:rPr>
      </w:pPr>
      <w:r>
        <w:rPr>
          <w:noProof/>
          <w:szCs w:val="24"/>
          <w:lang w:val="en-US"/>
        </w:rPr>
        <w:t>The analysi</w:t>
      </w:r>
      <w:r>
        <w:rPr>
          <w:noProof/>
          <w:szCs w:val="24"/>
          <w:lang w:val="en-US"/>
        </w:rPr>
        <w:t>s and evidence developed in this Staff Working Document underlines in detail the need to further develop the European policy framework regarding VET in light of the societal, economic, technological and environmental developments and the current OCIVD-19 c</w:t>
      </w:r>
      <w:r>
        <w:rPr>
          <w:noProof/>
          <w:szCs w:val="24"/>
          <w:lang w:val="en-US"/>
        </w:rPr>
        <w:t>risis. The proposal e aims to cater for the skills needs of both young and adult population, facilitate swift responses to changing labour market needs and equip people with the skills for the recovery, green and digital transitions and active participatio</w:t>
      </w:r>
      <w:r>
        <w:rPr>
          <w:noProof/>
          <w:szCs w:val="24"/>
          <w:lang w:val="en-US"/>
        </w:rPr>
        <w:t xml:space="preserve">n in society. It also places a strong focus on the need to integrate VET into economic, industrial and innovation strategies and embed social and environmental sustainability into VET programmes. </w:t>
      </w:r>
    </w:p>
    <w:p w:rsidR="00620F75" w:rsidRDefault="001F403D">
      <w:pPr>
        <w:rPr>
          <w:noProof/>
          <w:szCs w:val="24"/>
          <w:lang w:val="en-US"/>
        </w:rPr>
      </w:pPr>
      <w:r>
        <w:rPr>
          <w:noProof/>
          <w:szCs w:val="24"/>
          <w:lang w:val="en-US"/>
        </w:rPr>
        <w:t>The economic recovery from the COVID-19 outbreak is an oppo</w:t>
      </w:r>
      <w:r>
        <w:rPr>
          <w:noProof/>
          <w:szCs w:val="24"/>
          <w:lang w:val="en-US"/>
        </w:rPr>
        <w:t>rtunity to accelerate reforms in VET and strengthen its resilience, notably by digitalising learning tools and agile adaptation to changing labour market needs. Future-proofing VET systems means making them adaptable to any foreseen and unforeseen challeng</w:t>
      </w:r>
      <w:r>
        <w:rPr>
          <w:noProof/>
          <w:szCs w:val="24"/>
          <w:lang w:val="en-US"/>
        </w:rPr>
        <w:t>es. It means strengthening their capacity to adapt quickly throughout economic cycles, but also in light of an ever-changing world of work and skills. Once the new VET policy agenda will be adopted by the Council, it will be important to work together with</w:t>
      </w:r>
      <w:r>
        <w:rPr>
          <w:noProof/>
          <w:szCs w:val="24"/>
          <w:lang w:val="en-US"/>
        </w:rPr>
        <w:t xml:space="preserve"> all stakeholders, including social partners, at national and regional level and in particular also with VET providers and teachers to develop and put in practice measures to implement it.</w:t>
      </w:r>
    </w:p>
    <w:p w:rsidR="00620F75" w:rsidRDefault="00620F75">
      <w:pPr>
        <w:rPr>
          <w:noProof/>
          <w:szCs w:val="24"/>
          <w:lang w:val="en-US"/>
        </w:rPr>
      </w:pPr>
    </w:p>
    <w:sectPr w:rsidR="00620F75">
      <w:headerReference w:type="even" r:id="rId61"/>
      <w:headerReference w:type="default" r:id="rId62"/>
      <w:footerReference w:type="even" r:id="rId63"/>
      <w:footerReference w:type="default" r:id="rId64"/>
      <w:headerReference w:type="first" r:id="rId65"/>
      <w:footerReference w:type="first" r:id="rId66"/>
      <w:pgSz w:w="11906" w:h="16838"/>
      <w:pgMar w:top="1417" w:right="1417" w:bottom="1417" w:left="1417" w:header="708" w:footer="7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21D0" w16cex:dateUtc="2020-05-12T11:23:00Z"/>
  <w16cex:commentExtensible w16cex:durableId="2265223D" w16cex:dateUtc="2020-05-12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8BDE0" w16cid:durableId="226521D0"/>
  <w16cid:commentId w16cid:paraId="224B4F4D" w16cid:durableId="226522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75" w:rsidRDefault="001F403D">
      <w:r>
        <w:separator/>
      </w:r>
    </w:p>
  </w:endnote>
  <w:endnote w:type="continuationSeparator" w:id="0">
    <w:p w:rsidR="00620F75" w:rsidRDefault="001F403D">
      <w:r>
        <w:continuationSeparator/>
      </w:r>
    </w:p>
  </w:endnote>
  <w:endnote w:type="continuationNotice" w:id="1">
    <w:p w:rsidR="00620F75" w:rsidRDefault="00620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_GOPA TheSerif Light">
    <w:altName w:val="Times New Roman"/>
    <w:charset w:val="00"/>
    <w:family w:val="roman"/>
    <w:pitch w:val="variable"/>
    <w:sig w:usb0="8000006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FooterCoverPage"/>
      <w:rPr>
        <w:rFonts w:ascii="Arial" w:hAnsi="Arial" w:cs="Arial"/>
        <w:b/>
        <w:sz w:val="48"/>
      </w:rPr>
    </w:pPr>
    <w:r w:rsidRPr="001F403D">
      <w:rPr>
        <w:rFonts w:ascii="Arial" w:hAnsi="Arial" w:cs="Arial"/>
        <w:b/>
        <w:sz w:val="48"/>
      </w:rPr>
      <w:t>EN</w:t>
    </w:r>
    <w:r w:rsidRPr="001F403D">
      <w:rPr>
        <w:rFonts w:ascii="Arial" w:hAnsi="Arial" w:cs="Arial"/>
        <w:b/>
        <w:sz w:val="48"/>
      </w:rPr>
      <w:tab/>
    </w:r>
    <w:r w:rsidRPr="001F403D">
      <w:rPr>
        <w:rFonts w:ascii="Arial" w:hAnsi="Arial" w:cs="Arial"/>
        <w:b/>
        <w:sz w:val="48"/>
      </w:rPr>
      <w:tab/>
    </w:r>
    <w:r w:rsidRPr="001F403D">
      <w:tab/>
    </w:r>
    <w:r w:rsidRPr="001F403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75" w:rsidRDefault="00620F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77734981"/>
      <w:docPartObj>
        <w:docPartGallery w:val="Page Numbers (Bottom of Page)"/>
        <w:docPartUnique/>
      </w:docPartObj>
    </w:sdtPr>
    <w:sdtEndPr>
      <w:rPr>
        <w:noProof/>
      </w:rPr>
    </w:sdtEndPr>
    <w:sdtContent>
      <w:p w:rsidR="00620F75" w:rsidRDefault="001F403D">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52</w:t>
        </w:r>
        <w:r>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75" w:rsidRDefault="00620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75" w:rsidRDefault="001F403D">
      <w:r>
        <w:separator/>
      </w:r>
    </w:p>
  </w:footnote>
  <w:footnote w:type="continuationSeparator" w:id="0">
    <w:p w:rsidR="00620F75" w:rsidRDefault="001F403D">
      <w:r>
        <w:continuationSeparator/>
      </w:r>
    </w:p>
  </w:footnote>
  <w:footnote w:type="continuationNotice" w:id="1">
    <w:p w:rsidR="00620F75" w:rsidRDefault="00620F75"/>
  </w:footnote>
  <w:footnote w:id="2">
    <w:p w:rsidR="00620F75" w:rsidRDefault="001F403D">
      <w:pPr>
        <w:pStyle w:val="FootnoteText"/>
        <w:spacing w:before="0"/>
        <w:contextualSpacing/>
        <w:rPr>
          <w:lang w:val="en-US"/>
        </w:rPr>
      </w:pPr>
      <w:r>
        <w:rPr>
          <w:rStyle w:val="FootnoteReference"/>
        </w:rPr>
        <w:footnoteRef/>
      </w:r>
      <w:r>
        <w:t xml:space="preserve"> Cedefop (2018) Skills forecast. Trends and challenges up to 2030. These forecasts assume no changes in skills requirements within occupations (high skills for ISCO1-3, medium skills for ISCO4-8, low skills for ISCO9). The forecasts were produced before th</w:t>
      </w:r>
      <w:r>
        <w:t>e COVID-19-outbreak.</w:t>
      </w:r>
    </w:p>
  </w:footnote>
  <w:footnote w:id="3">
    <w:p w:rsidR="00620F75" w:rsidRDefault="001F403D">
      <w:pPr>
        <w:pStyle w:val="FootnoteText"/>
        <w:spacing w:before="0"/>
        <w:contextualSpacing/>
      </w:pPr>
      <w:r>
        <w:rPr>
          <w:rStyle w:val="FootnoteReference"/>
        </w:rPr>
        <w:footnoteRef/>
      </w:r>
      <w:hyperlink r:id="rId1" w:history="1">
        <w:r>
          <w:rPr>
            <w:rStyle w:val="Hyperlink"/>
            <w:lang w:val="en-US"/>
          </w:rPr>
          <w:t>https://www.cedefop.europa.eu/files/cedefop_community_apprenticeship_experts_synthesis_how_are_european_countries_managing_apprenticeships_to_respond_to_the_coronavirus_crisis.pdf</w:t>
        </w:r>
      </w:hyperlink>
    </w:p>
  </w:footnote>
  <w:footnote w:id="4">
    <w:p w:rsidR="00620F75" w:rsidRDefault="001F403D">
      <w:pPr>
        <w:pStyle w:val="FootnoteText"/>
        <w:spacing w:before="0"/>
        <w:contextualSpacing/>
      </w:pPr>
      <w:r>
        <w:rPr>
          <w:rStyle w:val="FootnoteReference"/>
        </w:rPr>
        <w:footnoteRef/>
      </w:r>
      <w:r>
        <w:t xml:space="preserve"> European Economic Forecast, Spring 2020. Institutional paper 125, May 2020</w:t>
      </w:r>
      <w:r>
        <w:t>. European Commission.</w:t>
      </w:r>
    </w:p>
  </w:footnote>
  <w:footnote w:id="5">
    <w:p w:rsidR="00620F75" w:rsidRDefault="001F403D">
      <w:pPr>
        <w:pStyle w:val="FootnoteText"/>
        <w:spacing w:before="0"/>
        <w:contextualSpacing/>
      </w:pPr>
      <w:r>
        <w:rPr>
          <w:rStyle w:val="FootnoteReference"/>
        </w:rPr>
        <w:footnoteRef/>
      </w:r>
      <w:r>
        <w:rPr>
          <w:rStyle w:val="FootnoteReference"/>
          <w:vertAlign w:val="baseline"/>
        </w:rPr>
        <w:t xml:space="preserve"> Employment rates of graduates from vocational education and training was gradually increasing from 73% in 2013 to 79,5% in 2018 </w:t>
      </w:r>
    </w:p>
  </w:footnote>
  <w:footnote w:id="6">
    <w:p w:rsidR="00620F75" w:rsidRDefault="001F403D">
      <w:pPr>
        <w:pStyle w:val="FootnoteText"/>
        <w:spacing w:before="0"/>
        <w:contextualSpacing/>
      </w:pPr>
      <w:r>
        <w:rPr>
          <w:rStyle w:val="FootnoteReference"/>
        </w:rPr>
        <w:footnoteRef/>
      </w:r>
      <w:r>
        <w:t xml:space="preserve"> </w:t>
      </w:r>
      <w:r>
        <w:tab/>
        <w:t>Communication from the Commission A Strong Social Europe for Just Transitions, COM(2020) 14 final.</w:t>
      </w:r>
    </w:p>
  </w:footnote>
  <w:footnote w:id="7">
    <w:p w:rsidR="00620F75" w:rsidRDefault="001F403D">
      <w:pPr>
        <w:pStyle w:val="FootnoteText"/>
        <w:rPr>
          <w:lang w:val="en-IE"/>
        </w:rPr>
      </w:pPr>
      <w:r>
        <w:rPr>
          <w:rStyle w:val="FootnoteReference"/>
        </w:rPr>
        <w:footnoteRef/>
      </w:r>
      <w:r>
        <w:t xml:space="preserve"> </w:t>
      </w:r>
      <w:r>
        <w:rPr>
          <w:lang w:val="en-IE"/>
        </w:rPr>
        <w:tab/>
        <w:t>COM(2020)274 final</w:t>
      </w:r>
    </w:p>
  </w:footnote>
  <w:footnote w:id="8">
    <w:p w:rsidR="00620F75" w:rsidRDefault="001F403D">
      <w:pPr>
        <w:pStyle w:val="FootnoteText"/>
        <w:rPr>
          <w:lang w:val="en-IE"/>
        </w:rPr>
      </w:pPr>
      <w:r>
        <w:rPr>
          <w:rStyle w:val="FootnoteReference"/>
        </w:rPr>
        <w:footnoteRef/>
      </w:r>
      <w:r>
        <w:t xml:space="preserve"> </w:t>
      </w:r>
      <w:r>
        <w:rPr>
          <w:lang w:val="en-IE"/>
        </w:rPr>
        <w:tab/>
        <w:t>COM(2020)276 final</w:t>
      </w:r>
    </w:p>
  </w:footnote>
  <w:footnote w:id="9">
    <w:p w:rsidR="00620F75" w:rsidRDefault="001F403D">
      <w:pPr>
        <w:pStyle w:val="FootnoteText"/>
        <w:spacing w:before="0"/>
        <w:contextualSpacing/>
      </w:pPr>
      <w:r>
        <w:rPr>
          <w:rStyle w:val="FootnoteReference"/>
        </w:rPr>
        <w:footnoteRef/>
      </w:r>
      <w:r>
        <w:t xml:space="preserve"> SELFIE (Self-reflection on Effective Learning by Fostering the use of Innovative Educational Technologies) is a free, easy-to-use, customisable tool to help schools assess where they stand with learning in the </w:t>
      </w:r>
      <w:r>
        <w:t>digital age. It has been designed by JRC with the aim to help schools embed digital technologies into teaching, learning and student assessment. It can highlight what’s working well, where improvement is needed and what the priorities should be. The tool i</w:t>
      </w:r>
      <w:r>
        <w:t>s currently available in the 24 official languages of the European Union with more languages to be added over time. SELFIE gathers – anonymously – the views of students, teachers and school leaders on how technology is used in their school. This is done us</w:t>
      </w:r>
      <w:r>
        <w:t>ing short statements and questions and a simple 1-5 agreement scale. The statements cover areas such as leadership, infrastructure, teacher training and students’ digital competence. The results of the self-assessment can be used strategically at system or</w:t>
      </w:r>
      <w:r>
        <w:t xml:space="preserve"> institutional level to deploy follow-up capacity building and infrastructure investments, in line with the gaps identified.</w:t>
      </w:r>
    </w:p>
  </w:footnote>
  <w:footnote w:id="10">
    <w:p w:rsidR="00620F75" w:rsidRDefault="001F403D">
      <w:pPr>
        <w:pStyle w:val="FootnoteText"/>
        <w:rPr>
          <w:lang w:val="en-IE"/>
        </w:rPr>
      </w:pPr>
      <w:r>
        <w:rPr>
          <w:rStyle w:val="FootnoteReference"/>
        </w:rPr>
        <w:footnoteRef/>
      </w:r>
      <w:r>
        <w:t xml:space="preserve"> COM(2020) 456 final</w:t>
      </w:r>
    </w:p>
  </w:footnote>
  <w:footnote w:id="11">
    <w:p w:rsidR="00620F75" w:rsidRDefault="001F403D">
      <w:pPr>
        <w:pStyle w:val="FootnoteText"/>
        <w:spacing w:before="0"/>
        <w:contextualSpacing/>
        <w:rPr>
          <w:rStyle w:val="FootnoteReference"/>
          <w:vertAlign w:val="baseline"/>
        </w:rPr>
      </w:pPr>
      <w:r>
        <w:rPr>
          <w:rStyle w:val="FootnoteReference"/>
        </w:rPr>
        <w:footnoteRef/>
      </w:r>
      <w:r>
        <w:rPr>
          <w:rStyle w:val="FootnoteReference"/>
          <w:vertAlign w:val="baseline"/>
        </w:rPr>
        <w:t xml:space="preserve"> COM(2020) 408 final</w:t>
      </w:r>
    </w:p>
  </w:footnote>
  <w:footnote w:id="12">
    <w:p w:rsidR="00620F75" w:rsidRDefault="001F403D">
      <w:pPr>
        <w:pStyle w:val="FootnoteText"/>
        <w:spacing w:before="0"/>
        <w:contextualSpacing/>
        <w:rPr>
          <w:rStyle w:val="FootnoteReference"/>
          <w:vertAlign w:val="baseline"/>
        </w:rPr>
      </w:pPr>
      <w:r>
        <w:rPr>
          <w:rStyle w:val="FootnoteReference"/>
        </w:rPr>
        <w:footnoteRef/>
      </w:r>
      <w:r>
        <w:rPr>
          <w:rStyle w:val="FootnoteReference"/>
          <w:vertAlign w:val="baseline"/>
        </w:rPr>
        <w:t xml:space="preserve"> COM (2020) 451 final</w:t>
      </w:r>
    </w:p>
  </w:footnote>
  <w:footnote w:id="13">
    <w:p w:rsidR="00620F75" w:rsidRDefault="001F403D">
      <w:pPr>
        <w:pStyle w:val="FootnoteText"/>
        <w:spacing w:before="0"/>
        <w:contextualSpacing/>
      </w:pPr>
      <w:r>
        <w:rPr>
          <w:rStyle w:val="FootnoteReference"/>
        </w:rPr>
        <w:footnoteRef/>
      </w:r>
      <w:r>
        <w:rPr>
          <w:rStyle w:val="FootnoteReference"/>
        </w:rPr>
        <w:t xml:space="preserve"> </w:t>
      </w:r>
      <w:r>
        <w:rPr>
          <w:rStyle w:val="FootnoteReference"/>
          <w:vertAlign w:val="baseline"/>
        </w:rPr>
        <w:t>COM (2020) 442 final</w:t>
      </w:r>
    </w:p>
  </w:footnote>
  <w:footnote w:id="14">
    <w:p w:rsidR="00620F75" w:rsidRDefault="001F403D">
      <w:pPr>
        <w:pStyle w:val="FootnoteText"/>
        <w:spacing w:before="0"/>
        <w:contextualSpacing/>
      </w:pPr>
      <w:r>
        <w:rPr>
          <w:rStyle w:val="FootnoteReference"/>
        </w:rPr>
        <w:footnoteRef/>
      </w:r>
      <w:r>
        <w:t xml:space="preserve"> COM(2020) 456 final</w:t>
      </w:r>
    </w:p>
  </w:footnote>
  <w:footnote w:id="15">
    <w:p w:rsidR="00620F75" w:rsidRDefault="001F403D">
      <w:pPr>
        <w:pStyle w:val="FootnoteText"/>
        <w:spacing w:before="0"/>
        <w:contextualSpacing/>
      </w:pPr>
      <w:r>
        <w:rPr>
          <w:rStyle w:val="FootnoteReference"/>
        </w:rPr>
        <w:footnoteRef/>
      </w:r>
      <w:r>
        <w:t xml:space="preserve"> </w:t>
      </w:r>
      <w:r>
        <w:rPr>
          <w:lang w:val="pt-PT"/>
        </w:rPr>
        <w:t>COM(2020) 102 fin</w:t>
      </w:r>
      <w:r>
        <w:rPr>
          <w:lang w:val="pt-PT"/>
        </w:rPr>
        <w:t>al</w:t>
      </w:r>
    </w:p>
  </w:footnote>
  <w:footnote w:id="16">
    <w:p w:rsidR="00620F75" w:rsidRDefault="001F403D">
      <w:pPr>
        <w:spacing w:before="0"/>
        <w:contextualSpacing/>
        <w:rPr>
          <w:sz w:val="20"/>
          <w:szCs w:val="20"/>
        </w:rPr>
      </w:pPr>
      <w:r>
        <w:rPr>
          <w:rStyle w:val="FootnoteReference"/>
          <w:sz w:val="20"/>
          <w:szCs w:val="20"/>
        </w:rPr>
        <w:footnoteRef/>
      </w:r>
      <w:r>
        <w:rPr>
          <w:rStyle w:val="FootnoteReference"/>
          <w:sz w:val="20"/>
          <w:szCs w:val="20"/>
        </w:rPr>
        <w:t xml:space="preserve"> </w:t>
      </w:r>
      <w:r>
        <w:rPr>
          <w:sz w:val="20"/>
          <w:szCs w:val="20"/>
        </w:rPr>
        <w:t>COM(2020) 103 final</w:t>
      </w:r>
    </w:p>
  </w:footnote>
  <w:footnote w:id="17">
    <w:p w:rsidR="00620F75" w:rsidRDefault="001F403D">
      <w:pPr>
        <w:pStyle w:val="FootnoteText"/>
        <w:spacing w:before="0"/>
        <w:contextualSpacing/>
      </w:pPr>
      <w:r>
        <w:rPr>
          <w:rStyle w:val="FootnoteReference"/>
        </w:rPr>
        <w:footnoteRef/>
      </w:r>
      <w:r>
        <w:t xml:space="preserve"> COM(2020) 14 final</w:t>
      </w:r>
    </w:p>
  </w:footnote>
  <w:footnote w:id="18">
    <w:p w:rsidR="00620F75" w:rsidRDefault="001F403D">
      <w:pPr>
        <w:pStyle w:val="FootnoteText"/>
        <w:spacing w:before="0"/>
        <w:contextualSpacing/>
        <w:rPr>
          <w:rFonts w:cs="Times New Roman"/>
          <w:lang w:val="hu-HU"/>
        </w:rPr>
      </w:pPr>
      <w:r>
        <w:rPr>
          <w:rStyle w:val="FootnoteReference"/>
        </w:rPr>
        <w:footnoteRef/>
      </w:r>
      <w:r>
        <w:rPr>
          <w:lang w:val="pl-PL"/>
        </w:rPr>
        <w:t xml:space="preserve"> </w:t>
      </w:r>
      <w:r>
        <w:rPr>
          <w:rFonts w:cs="Times New Roman"/>
          <w:lang w:val="hu-HU"/>
        </w:rPr>
        <w:t>OJ C 326, 26.10.2012</w:t>
      </w:r>
    </w:p>
  </w:footnote>
  <w:footnote w:id="19">
    <w:p w:rsidR="00620F75" w:rsidRDefault="001F403D">
      <w:pPr>
        <w:pStyle w:val="FootnoteText"/>
        <w:spacing w:before="0"/>
        <w:contextualSpacing/>
        <w:rPr>
          <w:rFonts w:cs="Times New Roman"/>
          <w:lang w:val="hu-HU"/>
        </w:rPr>
      </w:pPr>
      <w:r>
        <w:rPr>
          <w:rStyle w:val="FootnoteReference"/>
        </w:rPr>
        <w:footnoteRef/>
      </w:r>
      <w:r>
        <w:rPr>
          <w:lang w:val="pl-PL"/>
        </w:rPr>
        <w:t xml:space="preserve"> </w:t>
      </w:r>
      <w:r>
        <w:rPr>
          <w:rFonts w:cs="Times New Roman"/>
          <w:lang w:val="hu-HU"/>
        </w:rPr>
        <w:t>OJ C 326, 26.10.2012,</w:t>
      </w:r>
    </w:p>
  </w:footnote>
  <w:footnote w:id="20">
    <w:p w:rsidR="00620F75" w:rsidRDefault="001F403D">
      <w:pPr>
        <w:pStyle w:val="FootnoteText"/>
        <w:spacing w:before="0"/>
        <w:ind w:left="284" w:hanging="284"/>
        <w:contextualSpacing/>
        <w:rPr>
          <w:lang w:val="pl-PL"/>
        </w:rPr>
      </w:pPr>
      <w:r>
        <w:rPr>
          <w:rStyle w:val="FootnoteReference"/>
        </w:rPr>
        <w:footnoteRef/>
      </w:r>
      <w:r>
        <w:rPr>
          <w:lang w:val="pl-PL"/>
        </w:rPr>
        <w:t xml:space="preserve"> </w:t>
      </w:r>
      <w:r>
        <w:rPr>
          <w:color w:val="000000"/>
          <w:lang w:val="pl-PL"/>
        </w:rPr>
        <w:t>OJ C 13, 18.1.2003</w:t>
      </w:r>
    </w:p>
  </w:footnote>
  <w:footnote w:id="21">
    <w:p w:rsidR="00620F75" w:rsidRDefault="001F403D">
      <w:pPr>
        <w:pStyle w:val="FootnoteText"/>
        <w:spacing w:before="0"/>
        <w:contextualSpacing/>
        <w:rPr>
          <w:lang w:val="hu-HU"/>
        </w:rPr>
      </w:pPr>
      <w:r>
        <w:rPr>
          <w:rStyle w:val="FootnoteReference"/>
        </w:rPr>
        <w:footnoteRef/>
      </w:r>
      <w:r>
        <w:rPr>
          <w:lang w:val="pl-PL"/>
        </w:rPr>
        <w:t xml:space="preserve"> OJ L 112, 2.5.2018</w:t>
      </w:r>
    </w:p>
  </w:footnote>
  <w:footnote w:id="22">
    <w:p w:rsidR="00620F75" w:rsidRDefault="001F403D">
      <w:pPr>
        <w:pStyle w:val="FootnoteText"/>
        <w:spacing w:before="0"/>
        <w:contextualSpacing/>
        <w:rPr>
          <w:rFonts w:cs="Times New Roman"/>
          <w:lang w:val="hu-HU"/>
        </w:rPr>
      </w:pPr>
      <w:r>
        <w:rPr>
          <w:rStyle w:val="FootnoteReference"/>
        </w:rPr>
        <w:footnoteRef/>
      </w:r>
      <w:r>
        <w:rPr>
          <w:rFonts w:cs="Times New Roman"/>
          <w:lang w:val="pl-PL"/>
        </w:rPr>
        <w:t xml:space="preserve"> OJ C 111, 6.5.2008, p.1.</w:t>
      </w:r>
    </w:p>
  </w:footnote>
  <w:footnote w:id="23">
    <w:p w:rsidR="00620F75" w:rsidRDefault="001F403D">
      <w:pPr>
        <w:pStyle w:val="FootnoteText"/>
        <w:spacing w:before="0"/>
        <w:contextualSpacing/>
        <w:rPr>
          <w:rFonts w:cs="Times New Roman"/>
          <w:lang w:val="pl-PL"/>
        </w:rPr>
      </w:pPr>
      <w:r>
        <w:rPr>
          <w:rStyle w:val="FootnoteReference"/>
        </w:rPr>
        <w:footnoteRef/>
      </w:r>
      <w:r>
        <w:rPr>
          <w:rFonts w:cs="Times New Roman"/>
          <w:lang w:val="pl-PL"/>
        </w:rPr>
        <w:t xml:space="preserve"> </w:t>
      </w:r>
      <w:r>
        <w:rPr>
          <w:rFonts w:cs="Times New Roman"/>
          <w:lang w:val="hu-HU"/>
        </w:rPr>
        <w:t>OJ C 155, 8.7.2009</w:t>
      </w:r>
    </w:p>
  </w:footnote>
  <w:footnote w:id="24">
    <w:p w:rsidR="00620F75" w:rsidRDefault="001F403D">
      <w:pPr>
        <w:spacing w:before="0"/>
        <w:contextualSpacing/>
        <w:rPr>
          <w:rFonts w:cs="Times New Roman"/>
          <w:sz w:val="20"/>
          <w:szCs w:val="20"/>
          <w:lang w:val="pl-PL"/>
        </w:rPr>
      </w:pPr>
      <w:r>
        <w:rPr>
          <w:rStyle w:val="FootnoteReference"/>
          <w:sz w:val="20"/>
          <w:szCs w:val="20"/>
        </w:rPr>
        <w:footnoteRef/>
      </w:r>
      <w:r>
        <w:rPr>
          <w:rFonts w:cs="Times New Roman"/>
          <w:sz w:val="20"/>
          <w:szCs w:val="20"/>
          <w:lang w:val="pl-PL"/>
        </w:rPr>
        <w:t xml:space="preserve"> </w:t>
      </w:r>
      <w:r>
        <w:rPr>
          <w:rFonts w:eastAsia="Calibri" w:cs="Times New Roman"/>
          <w:sz w:val="20"/>
          <w:szCs w:val="20"/>
          <w:lang w:val="pl-PL"/>
        </w:rPr>
        <w:t>OJ C 155, 8.7.2009</w:t>
      </w:r>
    </w:p>
  </w:footnote>
  <w:footnote w:id="25">
    <w:p w:rsidR="00620F75" w:rsidRDefault="001F403D">
      <w:pPr>
        <w:pStyle w:val="FootnoteText"/>
        <w:spacing w:before="0"/>
        <w:contextualSpacing/>
        <w:rPr>
          <w:lang w:val="pl-PL"/>
        </w:rPr>
      </w:pPr>
      <w:r>
        <w:rPr>
          <w:rStyle w:val="FootnoteReference"/>
        </w:rPr>
        <w:footnoteRef/>
      </w:r>
      <w:r>
        <w:rPr>
          <w:lang w:val="pl-PL"/>
        </w:rPr>
        <w:t xml:space="preserve"> </w:t>
      </w:r>
      <w:r>
        <w:rPr>
          <w:rFonts w:cs="Times New Roman"/>
          <w:iCs/>
          <w:color w:val="444444"/>
          <w:lang w:val="pl-PL"/>
        </w:rPr>
        <w:t>OJ C 119, 28.5.2009</w:t>
      </w:r>
    </w:p>
  </w:footnote>
  <w:footnote w:id="26">
    <w:p w:rsidR="00620F75" w:rsidRDefault="001F403D">
      <w:pPr>
        <w:pStyle w:val="FootnoteText"/>
        <w:spacing w:before="0"/>
        <w:contextualSpacing/>
        <w:rPr>
          <w:rFonts w:cs="Times New Roman"/>
          <w:lang w:val="hu-HU"/>
        </w:rPr>
      </w:pPr>
      <w:r>
        <w:rPr>
          <w:rStyle w:val="FootnoteReference"/>
        </w:rPr>
        <w:footnoteRef/>
      </w:r>
      <w:r>
        <w:rPr>
          <w:rFonts w:cs="Times New Roman"/>
          <w:lang w:val="hu-HU"/>
        </w:rPr>
        <w:t xml:space="preserve"> </w:t>
      </w:r>
      <w:hyperlink r:id="rId2" w:history="1">
        <w:r>
          <w:rPr>
            <w:rStyle w:val="Hyperlink"/>
            <w:lang w:val="pl-PL"/>
          </w:rPr>
          <w:t>https://www.cedefop.europa.eu/en/content/bruges-communique</w:t>
        </w:r>
      </w:hyperlink>
    </w:p>
  </w:footnote>
  <w:footnote w:id="27">
    <w:p w:rsidR="00620F75" w:rsidRDefault="001F403D">
      <w:pPr>
        <w:pStyle w:val="FootnoteText"/>
        <w:spacing w:before="0"/>
        <w:contextualSpacing/>
        <w:rPr>
          <w:rFonts w:cs="Times New Roman"/>
          <w:lang w:val="pl-PL"/>
        </w:rPr>
      </w:pPr>
      <w:r>
        <w:rPr>
          <w:rStyle w:val="FootnoteReference"/>
        </w:rPr>
        <w:footnoteRef/>
      </w:r>
      <w:r>
        <w:rPr>
          <w:rFonts w:cs="Times New Roman"/>
          <w:lang w:val="pl-PL"/>
        </w:rPr>
        <w:t xml:space="preserve"> OJ C 398, 22.12.2012, p. 1.</w:t>
      </w:r>
    </w:p>
  </w:footnote>
  <w:footnote w:id="28">
    <w:p w:rsidR="00620F75" w:rsidRDefault="001F403D">
      <w:pPr>
        <w:pStyle w:val="FootnoteText"/>
        <w:spacing w:before="0"/>
        <w:contextualSpacing/>
        <w:rPr>
          <w:rFonts w:cs="Times New Roman"/>
          <w:lang w:val="pl-PL"/>
        </w:rPr>
      </w:pPr>
      <w:r>
        <w:rPr>
          <w:rStyle w:val="FootnoteReference"/>
        </w:rPr>
        <w:footnoteRef/>
      </w:r>
      <w:r>
        <w:rPr>
          <w:rFonts w:cs="Times New Roman"/>
          <w:lang w:val="pl-PL"/>
        </w:rPr>
        <w:t xml:space="preserve"> </w:t>
      </w:r>
      <w:hyperlink r:id="rId3" w:history="1">
        <w:r>
          <w:rPr>
            <w:rStyle w:val="Hyperlink"/>
            <w:lang w:val="pl-PL"/>
          </w:rPr>
          <w:t>https://www.izm.gov.l</w:t>
        </w:r>
        <w:r>
          <w:rPr>
            <w:rStyle w:val="Hyperlink"/>
            <w:lang w:val="pl-PL"/>
          </w:rPr>
          <w:t>v/images/RigaConclusions_2015.pdf</w:t>
        </w:r>
      </w:hyperlink>
    </w:p>
  </w:footnote>
  <w:footnote w:id="29">
    <w:p w:rsidR="00620F75" w:rsidRDefault="001F403D">
      <w:pPr>
        <w:pStyle w:val="FootnoteText"/>
        <w:spacing w:before="0"/>
        <w:contextualSpacing/>
        <w:rPr>
          <w:rFonts w:cstheme="minorHAnsi"/>
        </w:rPr>
      </w:pPr>
      <w:r>
        <w:rPr>
          <w:rStyle w:val="FootnoteReference"/>
          <w:rFonts w:cstheme="minorHAnsi"/>
        </w:rPr>
        <w:footnoteRef/>
      </w:r>
      <w:r>
        <w:rPr>
          <w:rFonts w:cstheme="minorHAnsi"/>
        </w:rPr>
        <w:t xml:space="preserve"> </w:t>
      </w:r>
      <w:r>
        <w:rPr>
          <w:rFonts w:cstheme="minorHAnsi"/>
          <w:color w:val="000000"/>
        </w:rPr>
        <w:t xml:space="preserve">COM(2016) 381 final </w:t>
      </w:r>
    </w:p>
  </w:footnote>
  <w:footnote w:id="30">
    <w:p w:rsidR="00620F75" w:rsidRDefault="001F403D">
      <w:pPr>
        <w:spacing w:before="0"/>
        <w:contextualSpacing/>
        <w:rPr>
          <w:rFonts w:cstheme="minorHAnsi"/>
          <w:sz w:val="20"/>
          <w:szCs w:val="20"/>
        </w:rPr>
      </w:pPr>
      <w:r>
        <w:rPr>
          <w:rStyle w:val="FootnoteReference"/>
          <w:rFonts w:cstheme="minorHAnsi"/>
          <w:sz w:val="20"/>
          <w:szCs w:val="20"/>
        </w:rPr>
        <w:footnoteRef/>
      </w:r>
      <w:r>
        <w:rPr>
          <w:rFonts w:cstheme="minorHAnsi"/>
          <w:sz w:val="20"/>
          <w:szCs w:val="20"/>
        </w:rPr>
        <w:t xml:space="preserve"> Council Recommendation on a European Framework for Quality and Effective Apprenticeships, OJ C 153, 2.5.2018 </w:t>
      </w:r>
      <w:hyperlink r:id="rId4" w:history="1">
        <w:r>
          <w:rPr>
            <w:rStyle w:val="Hyperlink"/>
            <w:rFonts w:cstheme="minorHAnsi"/>
            <w:sz w:val="20"/>
            <w:szCs w:val="20"/>
          </w:rPr>
          <w:t>https://eur-lex.europa.eu/legal-content/EN/TXT/?uri=CELEX%3A32018H0502%2801%29</w:t>
        </w:r>
      </w:hyperlink>
      <w:r>
        <w:rPr>
          <w:rFonts w:cstheme="minorHAnsi"/>
          <w:sz w:val="20"/>
          <w:szCs w:val="20"/>
        </w:rPr>
        <w:t xml:space="preserve"> </w:t>
      </w:r>
    </w:p>
  </w:footnote>
  <w:footnote w:id="31">
    <w:p w:rsidR="00620F75" w:rsidRDefault="001F403D">
      <w:pPr>
        <w:spacing w:before="0"/>
        <w:contextualSpacing/>
        <w:rPr>
          <w:rFonts w:cstheme="minorHAnsi"/>
          <w:sz w:val="20"/>
          <w:szCs w:val="20"/>
        </w:rPr>
      </w:pPr>
      <w:r>
        <w:rPr>
          <w:rStyle w:val="FootnoteReference"/>
          <w:rFonts w:cstheme="minorHAnsi"/>
          <w:sz w:val="20"/>
          <w:szCs w:val="20"/>
        </w:rPr>
        <w:footnoteRef/>
      </w:r>
      <w:r>
        <w:rPr>
          <w:rFonts w:cstheme="minorHAnsi"/>
          <w:sz w:val="20"/>
          <w:szCs w:val="20"/>
        </w:rPr>
        <w:t xml:space="preserve"> OJ C 423, 9.12.2017 </w:t>
      </w:r>
    </w:p>
  </w:footnote>
  <w:footnote w:id="32">
    <w:p w:rsidR="00620F75" w:rsidRDefault="001F403D">
      <w:pPr>
        <w:spacing w:before="0"/>
        <w:contextualSpacing/>
        <w:rPr>
          <w:rFonts w:cstheme="minorHAnsi"/>
          <w:sz w:val="20"/>
          <w:szCs w:val="20"/>
        </w:rPr>
      </w:pPr>
      <w:r>
        <w:rPr>
          <w:rStyle w:val="FootnoteReference"/>
          <w:rFonts w:cstheme="minorHAnsi"/>
          <w:sz w:val="20"/>
          <w:szCs w:val="20"/>
        </w:rPr>
        <w:footnoteRef/>
      </w:r>
      <w:r>
        <w:rPr>
          <w:rFonts w:cstheme="minorHAnsi"/>
          <w:sz w:val="20"/>
          <w:szCs w:val="20"/>
        </w:rPr>
        <w:t xml:space="preserve"> OJ L112, 2.5.2018 </w:t>
      </w:r>
    </w:p>
  </w:footnote>
  <w:footnote w:id="33">
    <w:p w:rsidR="00620F75" w:rsidRDefault="001F403D">
      <w:pPr>
        <w:pStyle w:val="FootnoteText"/>
        <w:spacing w:before="0"/>
        <w:contextualSpacing/>
      </w:pPr>
      <w:r>
        <w:rPr>
          <w:rStyle w:val="FootnoteReference"/>
        </w:rPr>
        <w:footnoteRef/>
      </w:r>
      <w:r>
        <w:rPr>
          <w:rFonts w:cs="Times New Roman"/>
        </w:rPr>
        <w:t xml:space="preserve"> </w:t>
      </w:r>
      <w:r>
        <w:rPr>
          <w:rFonts w:cs="Times New Roman"/>
          <w:iCs/>
        </w:rPr>
        <w:t>OJ C 189, 15.6.2017</w:t>
      </w:r>
      <w:hyperlink r:id="rId5" w:history="1"/>
      <w:r>
        <w:rPr>
          <w:rFonts w:cs="Times New Roman"/>
          <w:iCs/>
        </w:rPr>
        <w:t xml:space="preserve"> </w:t>
      </w:r>
    </w:p>
  </w:footnote>
  <w:footnote w:id="34">
    <w:p w:rsidR="00620F75" w:rsidRDefault="001F403D">
      <w:pPr>
        <w:pStyle w:val="FootnoteText"/>
        <w:spacing w:before="0"/>
        <w:contextualSpacing/>
        <w:rPr>
          <w:lang w:val="en-US"/>
        </w:rPr>
      </w:pPr>
      <w:r>
        <w:rPr>
          <w:rStyle w:val="FootnoteReference"/>
        </w:rPr>
        <w:footnoteRef/>
      </w:r>
      <w:r>
        <w:t xml:space="preserve"> </w:t>
      </w:r>
      <w:r>
        <w:rPr>
          <w:i/>
        </w:rPr>
        <w:t>“Everyone has the right to quality and inclusive education, training and life-long learning in order to maintain and acquire skills that enable them to participate fully in so</w:t>
      </w:r>
      <w:r>
        <w:rPr>
          <w:i/>
        </w:rPr>
        <w:t>ciety and manage successfully transitions in the labour market.”</w:t>
      </w:r>
    </w:p>
  </w:footnote>
  <w:footnote w:id="35">
    <w:p w:rsidR="00620F75" w:rsidRDefault="001F403D">
      <w:pPr>
        <w:pStyle w:val="FootnoteText"/>
        <w:spacing w:before="0"/>
        <w:contextualSpacing/>
        <w:rPr>
          <w:lang w:val="pl-PL"/>
        </w:rPr>
      </w:pPr>
      <w:r>
        <w:rPr>
          <w:rStyle w:val="FootnoteReference"/>
        </w:rPr>
        <w:footnoteRef/>
      </w:r>
      <w:r>
        <w:rPr>
          <w:lang w:val="pl-PL"/>
        </w:rPr>
        <w:t xml:space="preserve"> </w:t>
      </w:r>
      <w:r>
        <w:rPr>
          <w:rFonts w:cs="Times New Roman"/>
          <w:lang w:val="pl-PL"/>
        </w:rPr>
        <w:t>OJ C 444, 10.12.2018</w:t>
      </w:r>
    </w:p>
  </w:footnote>
  <w:footnote w:id="36">
    <w:p w:rsidR="00620F75" w:rsidRDefault="001F403D">
      <w:pPr>
        <w:pStyle w:val="FootnoteText"/>
        <w:spacing w:before="0"/>
        <w:contextualSpacing/>
        <w:rPr>
          <w:lang w:val="hu-HU"/>
        </w:rPr>
      </w:pPr>
      <w:r>
        <w:rPr>
          <w:rStyle w:val="FootnoteReference"/>
        </w:rPr>
        <w:footnoteRef/>
      </w:r>
      <w:r>
        <w:rPr>
          <w:lang w:val="hu-HU"/>
        </w:rPr>
        <w:t xml:space="preserve"> </w:t>
      </w:r>
      <w:hyperlink r:id="rId6" w:history="1">
        <w:r>
          <w:rPr>
            <w:rStyle w:val="Hyperlink"/>
            <w:lang w:val="hu-HU"/>
          </w:rPr>
          <w:t>https://ec.europa.eu/esco/portal/home</w:t>
        </w:r>
      </w:hyperlink>
      <w:r>
        <w:rPr>
          <w:lang w:val="hu-HU"/>
        </w:rPr>
        <w:t xml:space="preserve"> </w:t>
      </w:r>
    </w:p>
  </w:footnote>
  <w:footnote w:id="37">
    <w:p w:rsidR="00620F75" w:rsidRDefault="001F403D">
      <w:pPr>
        <w:pStyle w:val="FootnoteText"/>
        <w:spacing w:before="0"/>
        <w:contextualSpacing/>
        <w:rPr>
          <w:lang w:val="en-US"/>
        </w:rPr>
      </w:pPr>
      <w:r>
        <w:rPr>
          <w:rStyle w:val="FootnoteReference"/>
        </w:rPr>
        <w:footnoteRef/>
      </w:r>
      <w:r>
        <w:t xml:space="preserve"> Cedefop (2018) Skills forecast. Trends and challenges up to 2030.</w:t>
      </w:r>
    </w:p>
  </w:footnote>
  <w:footnote w:id="38">
    <w:p w:rsidR="00620F75" w:rsidRDefault="001F403D">
      <w:pPr>
        <w:pStyle w:val="FootnoteText"/>
        <w:spacing w:before="0"/>
        <w:contextualSpacing/>
        <w:jc w:val="left"/>
        <w:rPr>
          <w:lang w:val="hu-HU"/>
        </w:rPr>
      </w:pPr>
      <w:r>
        <w:rPr>
          <w:rStyle w:val="FootnoteReference"/>
        </w:rPr>
        <w:footnoteRef/>
      </w:r>
      <w:r>
        <w:rPr>
          <w:lang w:val="hu-HU"/>
        </w:rPr>
        <w:t xml:space="preserve"> htt</w:t>
      </w:r>
      <w:r>
        <w:rPr>
          <w:lang w:val="hu-HU"/>
        </w:rPr>
        <w:t>ps://ec.europa.eu/eurostat/statistics-explained/index.php/International_Standard_Classification_of_Education_(ISCED)</w:t>
      </w:r>
    </w:p>
  </w:footnote>
  <w:footnote w:id="39">
    <w:p w:rsidR="00620F75" w:rsidRDefault="001F403D">
      <w:pPr>
        <w:pStyle w:val="FootnoteText"/>
        <w:spacing w:before="0"/>
        <w:contextualSpacing/>
      </w:pPr>
      <w:r>
        <w:rPr>
          <w:rStyle w:val="FootnoteReference"/>
        </w:rPr>
        <w:footnoteRef/>
      </w:r>
      <w:r>
        <w:t xml:space="preserve"> Cedefop (2016). DGVT survey on priorities among the Riga deliverables [unpublished].</w:t>
      </w:r>
    </w:p>
    <w:p w:rsidR="00620F75" w:rsidRDefault="00620F75">
      <w:pPr>
        <w:pStyle w:val="FootnoteText"/>
        <w:spacing w:before="0"/>
        <w:contextualSpacing/>
      </w:pPr>
    </w:p>
  </w:footnote>
  <w:footnote w:id="40">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Cedefop (2020, forthcoming). Developments in voca</w:t>
      </w:r>
      <w:r>
        <w:rPr>
          <w:rFonts w:cs="Arial"/>
          <w:sz w:val="20"/>
          <w:szCs w:val="20"/>
        </w:rPr>
        <w:t xml:space="preserve">tional education and </w:t>
      </w:r>
    </w:p>
    <w:p w:rsidR="00620F75" w:rsidRDefault="001F403D">
      <w:pPr>
        <w:spacing w:before="0"/>
        <w:contextualSpacing/>
        <w:rPr>
          <w:sz w:val="20"/>
          <w:szCs w:val="20"/>
        </w:rPr>
      </w:pPr>
      <w:r>
        <w:rPr>
          <w:rFonts w:cs="Arial"/>
          <w:sz w:val="20"/>
          <w:szCs w:val="20"/>
        </w:rPr>
        <w:t xml:space="preserve">training policy in 2015-19: Spain. Cedefop monitoring and analysis of VET policies. </w:t>
      </w:r>
      <w:hyperlink r:id="rId7"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41">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sz w:val="20"/>
          <w:szCs w:val="20"/>
        </w:rPr>
      </w:pPr>
      <w:r>
        <w:rPr>
          <w:rFonts w:cs="Arial"/>
          <w:sz w:val="20"/>
          <w:szCs w:val="20"/>
        </w:rPr>
        <w:t>training policy in 2015-19: Latvia. Cedefop monitoring and analysis of VET policie</w:t>
      </w:r>
      <w:r>
        <w:rPr>
          <w:rFonts w:cs="Arial"/>
          <w:sz w:val="20"/>
          <w:szCs w:val="20"/>
        </w:rPr>
        <w:t xml:space="preserve">s. </w:t>
      </w:r>
      <w:hyperlink r:id="rId8"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42">
    <w:p w:rsidR="00620F75" w:rsidRDefault="001F403D">
      <w:pPr>
        <w:pStyle w:val="FootnoteText"/>
        <w:spacing w:before="0"/>
        <w:contextualSpacing/>
      </w:pPr>
      <w:r>
        <w:rPr>
          <w:rStyle w:val="FootnoteReference"/>
        </w:rPr>
        <w:footnoteRef/>
      </w:r>
      <w:r>
        <w:t xml:space="preserve"> </w:t>
      </w:r>
      <w:hyperlink r:id="rId9" w:anchor="1" w:history="1">
        <w:r>
          <w:rPr>
            <w:rStyle w:val="Hyperlink"/>
          </w:rPr>
          <w:t>https://www.cedefop.europa.eu/en/events-and-projects/projects/apprenticeships-work-based-learning#1</w:t>
        </w:r>
      </w:hyperlink>
      <w:r>
        <w:t xml:space="preserve">  </w:t>
      </w:r>
    </w:p>
  </w:footnote>
  <w:footnote w:id="43">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Cedefop (2020, forthcoming). Developments in vocational educatio</w:t>
      </w:r>
      <w:r>
        <w:rPr>
          <w:rFonts w:cs="Arial"/>
          <w:sz w:val="20"/>
          <w:szCs w:val="20"/>
        </w:rPr>
        <w:t xml:space="preserve">n and </w:t>
      </w:r>
    </w:p>
    <w:p w:rsidR="00620F75" w:rsidRDefault="001F403D">
      <w:pPr>
        <w:spacing w:before="0"/>
        <w:contextualSpacing/>
        <w:rPr>
          <w:sz w:val="20"/>
          <w:szCs w:val="20"/>
        </w:rPr>
      </w:pPr>
      <w:r>
        <w:rPr>
          <w:rFonts w:cs="Arial"/>
          <w:sz w:val="20"/>
          <w:szCs w:val="20"/>
        </w:rPr>
        <w:t xml:space="preserve">training policy in 2015-19: Estonia. Cedefop monitoring and analysis of VET policies. </w:t>
      </w:r>
      <w:hyperlink r:id="rId10" w:history="1">
        <w:r>
          <w:rPr>
            <w:rStyle w:val="Hyperlink"/>
            <w:rFonts w:cs="Arial"/>
            <w:sz w:val="20"/>
            <w:szCs w:val="20"/>
          </w:rPr>
          <w:t>https://www.cedefop.europa.eu/en/publications-a</w:t>
        </w:r>
        <w:r>
          <w:rPr>
            <w:rStyle w:val="Hyperlink"/>
            <w:rFonts w:cs="Arial"/>
            <w:sz w:val="20"/>
            <w:szCs w:val="20"/>
          </w:rPr>
          <w:t>nd-resources/country-reports/vet-policy-developments</w:t>
        </w:r>
      </w:hyperlink>
      <w:r>
        <w:rPr>
          <w:rFonts w:cs="Arial"/>
          <w:color w:val="616264"/>
          <w:sz w:val="20"/>
          <w:szCs w:val="20"/>
        </w:rPr>
        <w:t xml:space="preserve"> </w:t>
      </w:r>
    </w:p>
  </w:footnote>
  <w:footnote w:id="44">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sz w:val="20"/>
          <w:szCs w:val="20"/>
        </w:rPr>
      </w:pPr>
      <w:r>
        <w:rPr>
          <w:rFonts w:cs="Arial"/>
          <w:sz w:val="20"/>
          <w:szCs w:val="20"/>
        </w:rPr>
        <w:t xml:space="preserve">training policy in 2015-19: French-speaking Belgium. Cedefop monitoring and analysis of VET policies. </w:t>
      </w:r>
      <w:hyperlink r:id="rId11"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45">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Cedefop (2020, forthcoming). Developments in vocational educatio</w:t>
      </w:r>
      <w:r>
        <w:rPr>
          <w:rFonts w:cs="Arial"/>
          <w:sz w:val="20"/>
          <w:szCs w:val="20"/>
        </w:rPr>
        <w:t xml:space="preserve">n and </w:t>
      </w:r>
    </w:p>
    <w:p w:rsidR="00620F75" w:rsidRDefault="001F403D">
      <w:pPr>
        <w:spacing w:before="0"/>
        <w:contextualSpacing/>
        <w:rPr>
          <w:rFonts w:cs="Arial"/>
          <w:color w:val="616264"/>
          <w:sz w:val="20"/>
          <w:szCs w:val="20"/>
        </w:rPr>
      </w:pPr>
      <w:r>
        <w:rPr>
          <w:rFonts w:cs="Arial"/>
          <w:sz w:val="20"/>
          <w:szCs w:val="20"/>
        </w:rPr>
        <w:t xml:space="preserve">training policy in 2015-19: [country]. Cedefop monitoring and analysis of VET policies. </w:t>
      </w:r>
      <w:hyperlink r:id="rId12" w:history="1">
        <w:r>
          <w:rPr>
            <w:rStyle w:val="Hyperlink"/>
            <w:rFonts w:cs="Arial"/>
            <w:sz w:val="20"/>
            <w:szCs w:val="20"/>
          </w:rPr>
          <w:t>https://www.cedefop.europa.eu/en/publications</w:t>
        </w:r>
        <w:r>
          <w:rPr>
            <w:rStyle w:val="Hyperlink"/>
            <w:rFonts w:cs="Arial"/>
            <w:sz w:val="20"/>
            <w:szCs w:val="20"/>
          </w:rPr>
          <w:t>-and-resources/country-reports/vet-policy-developments</w:t>
        </w:r>
      </w:hyperlink>
      <w:r>
        <w:rPr>
          <w:rFonts w:cs="Arial"/>
          <w:color w:val="616264"/>
          <w:sz w:val="20"/>
          <w:szCs w:val="20"/>
        </w:rPr>
        <w:t xml:space="preserve"> </w:t>
      </w:r>
    </w:p>
    <w:p w:rsidR="00620F75" w:rsidRDefault="00620F75">
      <w:pPr>
        <w:spacing w:before="0"/>
        <w:contextualSpacing/>
        <w:rPr>
          <w:rFonts w:eastAsia="Times New Roman" w:cs="Arial"/>
          <w:color w:val="000000"/>
          <w:sz w:val="20"/>
          <w:szCs w:val="20"/>
          <w:lang w:eastAsia="en-GB"/>
        </w:rPr>
      </w:pPr>
    </w:p>
    <w:p w:rsidR="00620F75" w:rsidRDefault="001F403D">
      <w:pPr>
        <w:pStyle w:val="FootnoteText"/>
        <w:spacing w:before="0"/>
        <w:contextualSpacing/>
      </w:pPr>
      <w:r>
        <w:t xml:space="preserve"> </w:t>
      </w:r>
    </w:p>
  </w:footnote>
  <w:footnote w:id="46">
    <w:p w:rsidR="00620F75" w:rsidRDefault="001F403D">
      <w:pPr>
        <w:pStyle w:val="FootnoteText"/>
        <w:spacing w:before="0"/>
        <w:contextualSpacing/>
      </w:pPr>
      <w:r>
        <w:rPr>
          <w:rStyle w:val="FootnoteReference"/>
        </w:rPr>
        <w:footnoteRef/>
      </w:r>
      <w:r>
        <w:t xml:space="preserve"> </w:t>
      </w:r>
      <w:hyperlink r:id="rId13" w:history="1">
        <w:r>
          <w:rPr>
            <w:rStyle w:val="Hyperlink"/>
          </w:rPr>
          <w:t>https://www.cedefop.europa.eu/en/events-and-projects/projects/assisting-eu-countries-skills-matching</w:t>
        </w:r>
      </w:hyperlink>
      <w:r>
        <w:t xml:space="preserve"> </w:t>
      </w:r>
    </w:p>
  </w:footnote>
  <w:footnote w:id="47">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rFonts w:cs="Arial"/>
          <w:color w:val="616264"/>
          <w:sz w:val="20"/>
          <w:szCs w:val="20"/>
        </w:rPr>
      </w:pPr>
      <w:r>
        <w:rPr>
          <w:rFonts w:cs="Arial"/>
          <w:sz w:val="20"/>
          <w:szCs w:val="20"/>
        </w:rPr>
        <w:t>training policy in 2015-19: Ireland. Cedefop monitoring and analysis of VET polic</w:t>
      </w:r>
      <w:r>
        <w:rPr>
          <w:rFonts w:cs="Arial"/>
          <w:sz w:val="20"/>
          <w:szCs w:val="20"/>
        </w:rPr>
        <w:t xml:space="preserve">ies. </w:t>
      </w:r>
      <w:hyperlink r:id="rId14"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48">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Cedefop (2020, forthcoming). Dev</w:t>
      </w:r>
      <w:r>
        <w:rPr>
          <w:rFonts w:cs="Arial"/>
          <w:sz w:val="20"/>
          <w:szCs w:val="20"/>
        </w:rPr>
        <w:t xml:space="preserve">elopments in vocational education and </w:t>
      </w:r>
    </w:p>
    <w:p w:rsidR="00620F75" w:rsidRDefault="001F403D">
      <w:pPr>
        <w:spacing w:before="0"/>
        <w:contextualSpacing/>
        <w:rPr>
          <w:rFonts w:cs="Arial"/>
          <w:color w:val="616264"/>
          <w:sz w:val="20"/>
          <w:szCs w:val="20"/>
        </w:rPr>
      </w:pPr>
      <w:r>
        <w:rPr>
          <w:rFonts w:cs="Arial"/>
          <w:sz w:val="20"/>
          <w:szCs w:val="20"/>
        </w:rPr>
        <w:t xml:space="preserve">training policy in 2015-19: Dutch-speaking Belgium. Cedefop monitoring and analysis of VET policies. </w:t>
      </w:r>
      <w:hyperlink r:id="rId15"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49">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sz w:val="20"/>
          <w:szCs w:val="20"/>
        </w:rPr>
      </w:pPr>
      <w:r>
        <w:rPr>
          <w:rFonts w:cs="Arial"/>
          <w:sz w:val="20"/>
          <w:szCs w:val="20"/>
        </w:rPr>
        <w:t>training policy in 2015-19: Poland. Cedefop monitoring and analysis of VET policie</w:t>
      </w:r>
      <w:r>
        <w:rPr>
          <w:rFonts w:cs="Arial"/>
          <w:sz w:val="20"/>
          <w:szCs w:val="20"/>
        </w:rPr>
        <w:t xml:space="preserve">s. </w:t>
      </w:r>
      <w:hyperlink r:id="rId16"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50">
    <w:p w:rsidR="00620F75" w:rsidRDefault="001F403D">
      <w:pPr>
        <w:pStyle w:val="FootnoteText"/>
        <w:spacing w:before="0"/>
        <w:contextualSpacing/>
      </w:pPr>
      <w:r>
        <w:rPr>
          <w:rStyle w:val="FootnoteReference"/>
        </w:rPr>
        <w:footnoteRef/>
      </w:r>
      <w:r>
        <w:t xml:space="preserve"> Skills assessment; provision of a </w:t>
      </w:r>
      <w:r>
        <w:t>tailored, flexible and quality learning offer meeting the needs identified in the skills assessment; followed by validation and recognition of the skills acquired.</w:t>
      </w:r>
    </w:p>
  </w:footnote>
  <w:footnote w:id="51">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rFonts w:cs="Arial"/>
          <w:color w:val="616264"/>
          <w:sz w:val="20"/>
          <w:szCs w:val="20"/>
        </w:rPr>
      </w:pPr>
      <w:r>
        <w:rPr>
          <w:rFonts w:cs="Arial"/>
          <w:sz w:val="20"/>
          <w:szCs w:val="20"/>
        </w:rPr>
        <w:t xml:space="preserve">training policy in </w:t>
      </w:r>
      <w:r>
        <w:rPr>
          <w:rFonts w:cs="Arial"/>
          <w:sz w:val="20"/>
          <w:szCs w:val="20"/>
        </w:rPr>
        <w:t xml:space="preserve">2015-19: Germany. Cedefop monitoring and analysis of VET policies. </w:t>
      </w:r>
      <w:hyperlink r:id="rId17" w:history="1">
        <w:r>
          <w:rPr>
            <w:rStyle w:val="Hyperlink"/>
            <w:rFonts w:cs="Arial"/>
            <w:sz w:val="20"/>
            <w:szCs w:val="20"/>
          </w:rPr>
          <w:t>https://www.cedefop.europa.eu/en/publications-and-resources/country-repor</w:t>
        </w:r>
        <w:r>
          <w:rPr>
            <w:rStyle w:val="Hyperlink"/>
            <w:rFonts w:cs="Arial"/>
            <w:sz w:val="20"/>
            <w:szCs w:val="20"/>
          </w:rPr>
          <w:t>ts/vet-policy-developments</w:t>
        </w:r>
      </w:hyperlink>
      <w:r>
        <w:rPr>
          <w:rFonts w:cs="Arial"/>
          <w:color w:val="616264"/>
          <w:sz w:val="20"/>
          <w:szCs w:val="20"/>
        </w:rPr>
        <w:t xml:space="preserve"> </w:t>
      </w:r>
    </w:p>
  </w:footnote>
  <w:footnote w:id="52">
    <w:p w:rsidR="00620F75" w:rsidRDefault="001F403D">
      <w:pPr>
        <w:pStyle w:val="FootnoteText"/>
        <w:spacing w:before="0"/>
        <w:contextualSpacing/>
      </w:pPr>
      <w:r>
        <w:rPr>
          <w:rStyle w:val="FootnoteReference"/>
        </w:rPr>
        <w:footnoteRef/>
      </w:r>
      <w:r>
        <w:t xml:space="preserve"> </w:t>
      </w:r>
      <w:hyperlink r:id="rId18" w:history="1">
        <w:r>
          <w:rPr>
            <w:rStyle w:val="Hyperlink"/>
          </w:rPr>
          <w:t>https://www.cedefop.europa.eu/en/events-and-projects/projects/national-qualifications-framework-nqf</w:t>
        </w:r>
      </w:hyperlink>
      <w:r>
        <w:t xml:space="preserve"> </w:t>
      </w:r>
    </w:p>
  </w:footnote>
  <w:footnote w:id="53">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spacing w:before="0"/>
        <w:contextualSpacing/>
        <w:rPr>
          <w:sz w:val="20"/>
          <w:szCs w:val="20"/>
        </w:rPr>
      </w:pPr>
      <w:r>
        <w:rPr>
          <w:rFonts w:cs="Arial"/>
          <w:sz w:val="20"/>
          <w:szCs w:val="20"/>
        </w:rPr>
        <w:t xml:space="preserve">training policy in 2015-19: Sweden. Cedefop monitoring and analysis of VET policies. </w:t>
      </w:r>
      <w:hyperlink r:id="rId19" w:history="1">
        <w:r>
          <w:rPr>
            <w:rStyle w:val="Hyperlink"/>
            <w:rFonts w:cs="Arial"/>
            <w:sz w:val="20"/>
            <w:szCs w:val="20"/>
          </w:rPr>
          <w:t>https://www.cedefop.europa.eu/en/publications-and-resources/country-reports/vet-policy-developments</w:t>
        </w:r>
      </w:hyperlink>
      <w:r>
        <w:rPr>
          <w:rFonts w:cs="Arial"/>
          <w:color w:val="616264"/>
          <w:sz w:val="20"/>
          <w:szCs w:val="20"/>
        </w:rPr>
        <w:t xml:space="preserve"> </w:t>
      </w:r>
    </w:p>
  </w:footnote>
  <w:footnote w:id="54">
    <w:p w:rsidR="00620F75" w:rsidRDefault="001F403D">
      <w:pPr>
        <w:pStyle w:val="FootnoteText"/>
        <w:spacing w:before="0"/>
        <w:contextualSpacing/>
      </w:pPr>
      <w:r>
        <w:rPr>
          <w:rStyle w:val="FootnoteReference"/>
        </w:rPr>
        <w:footnoteRef/>
      </w:r>
      <w:r>
        <w:t xml:space="preserve"> The 2018 EU inventory (European Commission, Cedefop, ICF), forthcoming on Cedefop’s website at: </w:t>
      </w:r>
      <w:hyperlink r:id="rId20" w:history="1">
        <w:r>
          <w:rPr>
            <w:rStyle w:val="Hyperlink"/>
          </w:rPr>
          <w:t>https://www.cedefop.europa.eu/en/events-and-projects/projects/validation-non-formal-and-informal-learning/european-inventory</w:t>
        </w:r>
      </w:hyperlink>
      <w:r>
        <w:t xml:space="preserve"> </w:t>
      </w:r>
    </w:p>
  </w:footnote>
  <w:footnote w:id="55">
    <w:p w:rsidR="00620F75" w:rsidRDefault="001F403D">
      <w:pPr>
        <w:pStyle w:val="FootnoteText"/>
        <w:spacing w:before="0"/>
        <w:contextualSpacing/>
      </w:pPr>
      <w:r>
        <w:rPr>
          <w:rStyle w:val="FootnoteReference"/>
        </w:rPr>
        <w:footnoteRef/>
      </w:r>
      <w:r>
        <w:t xml:space="preserve"> Cedefop (2020, forthcoming).</w:t>
      </w:r>
      <w:r>
        <w:t xml:space="preserve"> Key competences in initial VET: digital, literacy and multilingual. </w:t>
      </w:r>
    </w:p>
  </w:footnote>
  <w:footnote w:id="56">
    <w:p w:rsidR="00620F75" w:rsidRDefault="001F403D">
      <w:pPr>
        <w:pStyle w:val="Bibliographytext"/>
        <w:spacing w:after="0" w:line="240" w:lineRule="auto"/>
        <w:contextualSpacing/>
        <w:rPr>
          <w:rFonts w:ascii="EC Square Sans Pro" w:hAnsi="EC Square Sans Pro"/>
          <w:sz w:val="20"/>
          <w:szCs w:val="20"/>
        </w:rPr>
      </w:pPr>
      <w:r>
        <w:rPr>
          <w:rStyle w:val="FootnoteReference"/>
          <w:rFonts w:eastAsiaTheme="minorHAnsi" w:cstheme="minorBidi"/>
          <w:sz w:val="20"/>
          <w:szCs w:val="20"/>
        </w:rPr>
        <w:footnoteRef/>
      </w:r>
      <w:r>
        <w:rPr>
          <w:rStyle w:val="FootnoteReference"/>
          <w:rFonts w:eastAsiaTheme="minorHAnsi" w:cstheme="minorBidi"/>
          <w:sz w:val="20"/>
          <w:szCs w:val="20"/>
        </w:rPr>
        <w:t xml:space="preserve"> </w:t>
      </w:r>
      <w:r>
        <w:rPr>
          <w:rFonts w:ascii="EC Square Sans Pro" w:eastAsiaTheme="minorHAnsi" w:hAnsi="EC Square Sans Pro"/>
          <w:sz w:val="20"/>
          <w:szCs w:val="20"/>
        </w:rPr>
        <w:t>Cedefop (2017). Cedefop opinion survey on vocational education and training in Europe. Luxembourg: Publications Office. Cedefop research paper; No 62.</w:t>
      </w:r>
      <w:r>
        <w:rPr>
          <w:rFonts w:ascii="EC Square Sans Pro" w:eastAsiaTheme="minorHAnsi" w:hAnsi="EC Square Sans Pro" w:cs="Arial"/>
          <w:color w:val="616264"/>
          <w:sz w:val="20"/>
          <w:szCs w:val="20"/>
          <w:lang w:eastAsia="en-US"/>
        </w:rPr>
        <w:t xml:space="preserve"> </w:t>
      </w:r>
      <w:r>
        <w:rPr>
          <w:rFonts w:ascii="EC Square Sans Pro" w:hAnsi="EC Square Sans Pro"/>
          <w:sz w:val="20"/>
          <w:szCs w:val="20"/>
        </w:rPr>
        <w:t xml:space="preserve"> </w:t>
      </w:r>
      <w:hyperlink r:id="rId21" w:history="1">
        <w:r>
          <w:rPr>
            <w:rStyle w:val="Hyperlink"/>
            <w:rFonts w:ascii="EC Square Sans Pro" w:eastAsiaTheme="minorHAnsi" w:hAnsi="EC Square Sans Pro" w:cs="Arial"/>
            <w:sz w:val="20"/>
            <w:szCs w:val="20"/>
            <w:lang w:eastAsia="en-US"/>
          </w:rPr>
          <w:t>http://www.cedefop.europa.eu/en/publications-and-resources/publications/5562</w:t>
        </w:r>
      </w:hyperlink>
    </w:p>
  </w:footnote>
  <w:footnote w:id="57">
    <w:p w:rsidR="00620F75" w:rsidRDefault="001F403D">
      <w:pPr>
        <w:pStyle w:val="FootnoteText"/>
        <w:spacing w:before="0"/>
        <w:contextualSpacing/>
      </w:pPr>
      <w:r>
        <w:rPr>
          <w:rStyle w:val="FootnoteReference"/>
        </w:rPr>
        <w:footnoteRef/>
      </w:r>
      <w:r>
        <w:t xml:space="preserve"> These results should be interpreted with caution, as they reflect personal beliefs and, in some cases, the meaning of terms may not have been fully clear to the respondents.</w:t>
      </w:r>
    </w:p>
  </w:footnote>
  <w:footnote w:id="58">
    <w:p w:rsidR="00620F75" w:rsidRDefault="001F403D">
      <w:pPr>
        <w:spacing w:before="0"/>
        <w:contextualSpacing/>
        <w:rPr>
          <w:rFonts w:cs="Arial"/>
          <w:sz w:val="20"/>
          <w:szCs w:val="20"/>
        </w:rPr>
      </w:pPr>
      <w:r>
        <w:rPr>
          <w:rStyle w:val="FootnoteReference"/>
          <w:sz w:val="20"/>
          <w:szCs w:val="20"/>
        </w:rPr>
        <w:footnoteRef/>
      </w:r>
      <w:r>
        <w:rPr>
          <w:sz w:val="20"/>
          <w:szCs w:val="20"/>
        </w:rPr>
        <w:t xml:space="preserve"> </w:t>
      </w:r>
      <w:r>
        <w:rPr>
          <w:rFonts w:cs="Arial"/>
          <w:sz w:val="20"/>
          <w:szCs w:val="20"/>
        </w:rPr>
        <w:t xml:space="preserve">Cedefop (2020, forthcoming). Developments in vocational education and </w:t>
      </w:r>
    </w:p>
    <w:p w:rsidR="00620F75" w:rsidRDefault="001F403D">
      <w:pPr>
        <w:pStyle w:val="FootnoteText"/>
        <w:spacing w:before="0"/>
        <w:contextualSpacing/>
      </w:pPr>
      <w:r>
        <w:t>training</w:t>
      </w:r>
      <w:r>
        <w:t xml:space="preserve"> policy in 2015-19: Spain. Cedefop monitoring and analysis of VET policies. </w:t>
      </w:r>
      <w:hyperlink r:id="rId22" w:history="1">
        <w:r>
          <w:rPr>
            <w:rStyle w:val="Hyperlink"/>
          </w:rPr>
          <w:t>https://www.cedefop.europa.eu/en/publications-and-resources/coun</w:t>
        </w:r>
        <w:r>
          <w:rPr>
            <w:rStyle w:val="Hyperlink"/>
          </w:rPr>
          <w:t>try-reports/vet-policy-developments</w:t>
        </w:r>
      </w:hyperlink>
    </w:p>
  </w:footnote>
  <w:footnote w:id="59">
    <w:p w:rsidR="00620F75" w:rsidRDefault="001F403D">
      <w:pPr>
        <w:pStyle w:val="FootnoteText"/>
        <w:spacing w:before="0"/>
        <w:contextualSpacing/>
      </w:pPr>
      <w:r>
        <w:rPr>
          <w:rStyle w:val="FootnoteReference"/>
        </w:rPr>
        <w:footnoteRef/>
      </w:r>
      <w:r>
        <w:t xml:space="preserve"> </w:t>
      </w:r>
      <w:hyperlink r:id="rId23" w:history="1">
        <w:r>
          <w:rPr>
            <w:rStyle w:val="Hyperlink"/>
          </w:rPr>
          <w:t>https://www.cedefop.europa.eu/fr/news-and-press/news/how-european-countries-</w:t>
        </w:r>
        <w:r>
          <w:rPr>
            <w:rStyle w:val="Hyperlink"/>
          </w:rPr>
          <w:t>manage-apprenticeships-respond-coronavirus-crisis</w:t>
        </w:r>
      </w:hyperlink>
      <w:r>
        <w:t xml:space="preserve"> </w:t>
      </w:r>
    </w:p>
  </w:footnote>
  <w:footnote w:id="60">
    <w:p w:rsidR="00620F75" w:rsidRDefault="001F403D">
      <w:pPr>
        <w:pStyle w:val="FootnoteText"/>
        <w:spacing w:before="0"/>
        <w:ind w:left="284" w:hanging="284"/>
        <w:contextualSpacing/>
        <w:rPr>
          <w:lang w:val="hu-HU"/>
        </w:rPr>
      </w:pPr>
      <w:r>
        <w:rPr>
          <w:rStyle w:val="FootnoteReference"/>
        </w:rPr>
        <w:footnoteRef/>
      </w:r>
      <w:r>
        <w:rPr>
          <w:lang w:val="hu-HU"/>
        </w:rPr>
        <w:t xml:space="preserve"> </w:t>
      </w:r>
      <w:r>
        <w:rPr>
          <w:lang w:val="hu-HU"/>
        </w:rPr>
        <w:tab/>
      </w:r>
      <w:hyperlink r:id="rId24" w:history="1">
        <w:r>
          <w:rPr>
            <w:rStyle w:val="Hyperlink1"/>
            <w:lang w:val="hu-HU"/>
          </w:rPr>
          <w:t>http://www.cedefop.europa.eu/en/events-and-projects/pro</w:t>
        </w:r>
        <w:r>
          <w:rPr>
            <w:rStyle w:val="Hyperlink1"/>
            <w:lang w:val="hu-HU"/>
          </w:rPr>
          <w:t>jects/changing-nature-and-role-vocational-education-and-training-vet-europe</w:t>
        </w:r>
      </w:hyperlink>
      <w:r>
        <w:rPr>
          <w:lang w:val="hu-HU"/>
        </w:rPr>
        <w:t xml:space="preserve"> </w:t>
      </w:r>
    </w:p>
  </w:footnote>
  <w:footnote w:id="61">
    <w:p w:rsidR="00620F75" w:rsidRDefault="001F403D">
      <w:pPr>
        <w:pStyle w:val="FootnoteText"/>
        <w:spacing w:before="0"/>
        <w:contextualSpacing/>
        <w:rPr>
          <w:lang w:val="hu-HU"/>
        </w:rPr>
      </w:pPr>
      <w:r>
        <w:rPr>
          <w:rStyle w:val="FootnoteReference"/>
        </w:rPr>
        <w:footnoteRef/>
      </w:r>
      <w:r>
        <w:rPr>
          <w:lang w:val="hu-HU"/>
        </w:rPr>
        <w:t xml:space="preserve"> </w:t>
      </w:r>
      <w:hyperlink r:id="rId25" w:history="1">
        <w:r>
          <w:rPr>
            <w:color w:val="0000FF"/>
            <w:u w:val="single"/>
            <w:lang w:val="hu-HU"/>
          </w:rPr>
          <w:t>https://www.cedefop.europa.eu</w:t>
        </w:r>
        <w:r>
          <w:rPr>
            <w:color w:val="0000FF"/>
            <w:u w:val="single"/>
            <w:lang w:val="hu-HU"/>
          </w:rPr>
          <w:t>/en/events-and-projects/projects/changing-nature-and-role-vocational-education-and-training-vet-europe</w:t>
        </w:r>
      </w:hyperlink>
    </w:p>
  </w:footnote>
  <w:footnote w:id="62">
    <w:p w:rsidR="00620F75" w:rsidRDefault="001F403D">
      <w:pPr>
        <w:pStyle w:val="FootnoteText"/>
        <w:spacing w:before="0"/>
        <w:contextualSpacing/>
      </w:pPr>
      <w:r>
        <w:rPr>
          <w:rStyle w:val="FootnoteReference"/>
        </w:rPr>
        <w:footnoteRef/>
      </w:r>
      <w:r>
        <w:t xml:space="preserve"> </w:t>
      </w:r>
      <w:r>
        <w:tab/>
        <w:t xml:space="preserve">This will cover the </w:t>
      </w:r>
      <w:r>
        <w:rPr>
          <w:bCs/>
        </w:rPr>
        <w:t>age group 20-34 with at least upper secondary education attainment and having left education and training 1-3 years ago.</w:t>
      </w:r>
    </w:p>
  </w:footnote>
  <w:footnote w:id="63">
    <w:p w:rsidR="00620F75" w:rsidRDefault="001F403D">
      <w:pPr>
        <w:pStyle w:val="FootnoteText"/>
        <w:spacing w:before="0"/>
        <w:contextualSpacing/>
      </w:pPr>
      <w:r>
        <w:rPr>
          <w:rStyle w:val="FootnoteReference"/>
        </w:rPr>
        <w:footnoteRef/>
      </w:r>
      <w:r>
        <w:t xml:space="preserve"> </w:t>
      </w:r>
      <w:r>
        <w:tab/>
        <w:t>This w</w:t>
      </w:r>
      <w:r>
        <w:t>ill cover the age group 15-34, having left education and training 1-3 years ago. The indicator will be based on data that will be collected as of 2021 as part of the EU LFS.</w:t>
      </w:r>
    </w:p>
  </w:footnote>
  <w:footnote w:id="64">
    <w:p w:rsidR="00620F75" w:rsidRDefault="001F403D">
      <w:pPr>
        <w:pStyle w:val="FootnoteText"/>
        <w:spacing w:before="0"/>
        <w:contextualSpacing/>
      </w:pPr>
      <w:r>
        <w:rPr>
          <w:rStyle w:val="FootnoteReference"/>
        </w:rPr>
        <w:footnoteRef/>
      </w:r>
      <w:r>
        <w:t xml:space="preserve"> </w:t>
      </w:r>
      <w:r>
        <w:tab/>
        <w:t xml:space="preserve">This will be measured as the share of mobile learners in a calendar year, as a </w:t>
      </w:r>
      <w:r>
        <w:t>proportion of a cohort of VET graduates in the same year. The indicator will be based on the mobility data sourced from Erasmus+ data and VET graduate data sourced from the UOE. In addition, where appropriate, data from national authorities mobility progra</w:t>
      </w:r>
      <w:r>
        <w:t>mmes could also be used to complement the data from Erasmus+.</w:t>
      </w:r>
    </w:p>
  </w:footnote>
  <w:footnote w:id="65">
    <w:p w:rsidR="00620F75" w:rsidRDefault="001F403D">
      <w:pPr>
        <w:pStyle w:val="FootnoteText"/>
        <w:spacing w:before="0"/>
        <w:contextualSpacing/>
      </w:pPr>
      <w:r>
        <w:rPr>
          <w:rStyle w:val="FootnoteReference"/>
        </w:rPr>
        <w:footnoteRef/>
      </w:r>
      <w:r>
        <w:tab/>
        <w:t xml:space="preserve">Skills competitions raise the profile and recognition of skilled people, and show how important skills are in achieving economic growth and personal success. They establish high standards for </w:t>
      </w:r>
      <w:r>
        <w:t>skills excellence in various professions, and measure the attainment of those standards through the competitions. They inspire young competitors to reach new heights, helping them turn their passion into a profession</w:t>
      </w:r>
    </w:p>
  </w:footnote>
  <w:footnote w:id="66">
    <w:p w:rsidR="00620F75" w:rsidRDefault="001F403D">
      <w:pPr>
        <w:pStyle w:val="FootnoteText"/>
        <w:spacing w:before="0"/>
        <w:contextualSpacing/>
      </w:pPr>
      <w:r>
        <w:rPr>
          <w:rStyle w:val="FootnoteReference"/>
        </w:rPr>
        <w:footnoteRef/>
      </w:r>
      <w:r>
        <w:t xml:space="preserve"> External evaluation of the implementa</w:t>
      </w:r>
      <w:r>
        <w:t>tion of EQAVET, p. 69, 2013</w:t>
      </w:r>
    </w:p>
  </w:footnote>
  <w:footnote w:id="67">
    <w:p w:rsidR="00620F75" w:rsidRDefault="001F403D">
      <w:pPr>
        <w:pStyle w:val="FootnoteText"/>
        <w:spacing w:before="0"/>
        <w:ind w:left="284" w:hanging="284"/>
        <w:contextualSpacing/>
      </w:pPr>
      <w:r>
        <w:rPr>
          <w:rStyle w:val="FootnoteReference"/>
        </w:rPr>
        <w:footnoteRef/>
      </w:r>
      <w:r>
        <w:t xml:space="preserve"> </w:t>
      </w:r>
      <w:r>
        <w:tab/>
      </w:r>
      <w:hyperlink r:id="rId26" w:history="1">
        <w:r>
          <w:rPr>
            <w:rStyle w:val="Hyperlink"/>
          </w:rPr>
          <w:t>https://ec.europa.eu/social/main.jsp?catId=738&amp;langId=en&amp;pubId=8250&amp;furtherPubs=yes</w:t>
        </w:r>
      </w:hyperlink>
      <w:r>
        <w:t xml:space="preserve"> </w:t>
      </w:r>
    </w:p>
  </w:footnote>
  <w:footnote w:id="68">
    <w:p w:rsidR="00620F75" w:rsidRDefault="001F403D">
      <w:pPr>
        <w:pStyle w:val="FootnoteText"/>
        <w:tabs>
          <w:tab w:val="left" w:pos="284"/>
        </w:tabs>
        <w:spacing w:before="0"/>
        <w:ind w:left="284" w:hanging="284"/>
        <w:contextualSpacing/>
      </w:pPr>
      <w:r>
        <w:rPr>
          <w:rStyle w:val="FootnoteReference"/>
        </w:rPr>
        <w:footnoteRef/>
      </w:r>
      <w:r>
        <w:t xml:space="preserve"> </w:t>
      </w:r>
      <w:r>
        <w:tab/>
      </w:r>
      <w:r>
        <w:rPr>
          <w:b/>
        </w:rPr>
        <w:t>Regional Development Policy</w:t>
      </w:r>
      <w:r>
        <w:t xml:space="preserve"> - Regional development is a broad term but can be seen as a general effort to reduce regional disparities by supporting (employment and wealth-generating) economic activities in regions. See </w:t>
      </w:r>
      <w:hyperlink r:id="rId27" w:history="1">
        <w:r>
          <w:rPr>
            <w:rStyle w:val="Hyperlink"/>
          </w:rPr>
          <w:t>http://www.oecd.org/cfe/regional-policy/regionaldevelopment.htm</w:t>
        </w:r>
      </w:hyperlink>
      <w:r>
        <w:t xml:space="preserve"> </w:t>
      </w:r>
    </w:p>
  </w:footnote>
  <w:footnote w:id="69">
    <w:p w:rsidR="00620F75" w:rsidRDefault="001F403D">
      <w:pPr>
        <w:pStyle w:val="FootnoteText"/>
        <w:tabs>
          <w:tab w:val="left" w:pos="284"/>
        </w:tabs>
        <w:spacing w:before="0"/>
        <w:ind w:left="284" w:hanging="284"/>
        <w:contextualSpacing/>
      </w:pPr>
      <w:r>
        <w:rPr>
          <w:rStyle w:val="FootnoteReference"/>
        </w:rPr>
        <w:footnoteRef/>
      </w:r>
      <w:r>
        <w:t xml:space="preserve"> </w:t>
      </w:r>
      <w:r>
        <w:tab/>
        <w:t xml:space="preserve">An </w:t>
      </w:r>
      <w:r>
        <w:rPr>
          <w:b/>
        </w:rPr>
        <w:t>innovation</w:t>
      </w:r>
      <w:r>
        <w:t xml:space="preserve"> is the implementation of a new or significantly improved product (good or service), or process, a new marketing method, or a new organisational method in busi</w:t>
      </w:r>
      <w:r>
        <w:t xml:space="preserve">ness practices, workplace organisation or external relations. See </w:t>
      </w:r>
      <w:hyperlink r:id="rId28" w:history="1">
        <w:r>
          <w:rPr>
            <w:rStyle w:val="Hyperlink"/>
          </w:rPr>
          <w:t>https://stats.oecd.org/glossary/detail.asp?ID=6865</w:t>
        </w:r>
      </w:hyperlink>
      <w:r>
        <w:t xml:space="preserve"> </w:t>
      </w:r>
    </w:p>
  </w:footnote>
  <w:footnote w:id="70">
    <w:p w:rsidR="00620F75" w:rsidRDefault="001F403D">
      <w:pPr>
        <w:pStyle w:val="FootnoteText"/>
        <w:tabs>
          <w:tab w:val="left" w:pos="284"/>
        </w:tabs>
        <w:spacing w:before="0"/>
        <w:ind w:left="284" w:hanging="284"/>
        <w:contextualSpacing/>
      </w:pPr>
      <w:r>
        <w:rPr>
          <w:rStyle w:val="FootnoteReference"/>
        </w:rPr>
        <w:footnoteRef/>
      </w:r>
      <w:r>
        <w:t xml:space="preserve"> </w:t>
      </w:r>
      <w:r>
        <w:tab/>
      </w:r>
      <w:r>
        <w:rPr>
          <w:b/>
        </w:rPr>
        <w:t>Smart Specialisation</w:t>
      </w:r>
      <w:r>
        <w:t xml:space="preserve"> is a place-based approach characterised by the </w:t>
      </w:r>
      <w:r>
        <w:t>identification of strategic areas for intervention based both on the analysis of the strengths and potential of the economy and on an Entrepreneurial Discovery Process with wide stakeholder involvement. It is outward-looking and embraces a broad view of in</w:t>
      </w:r>
      <w:r>
        <w:t xml:space="preserve">novation including but certainly not limited to technology-driven approaches, supported by effective monitoring mechanisms. See </w:t>
      </w:r>
      <w:hyperlink r:id="rId29" w:history="1">
        <w:r>
          <w:rPr>
            <w:rStyle w:val="Hyperlink"/>
          </w:rPr>
          <w:t>http://s3platform.jrc.ec.europa.eu/what-is-smar</w:t>
        </w:r>
        <w:r>
          <w:rPr>
            <w:rStyle w:val="Hyperlink"/>
          </w:rPr>
          <w:t>t-specialisation-</w:t>
        </w:r>
      </w:hyperlink>
      <w:r>
        <w:t xml:space="preserve"> </w:t>
      </w:r>
    </w:p>
  </w:footnote>
  <w:footnote w:id="71">
    <w:p w:rsidR="00620F75" w:rsidRDefault="001F403D">
      <w:pPr>
        <w:pStyle w:val="FootnoteText"/>
        <w:tabs>
          <w:tab w:val="left" w:pos="284"/>
        </w:tabs>
        <w:spacing w:before="0"/>
        <w:ind w:left="284" w:hanging="284"/>
        <w:contextualSpacing/>
      </w:pPr>
      <w:r>
        <w:rPr>
          <w:rStyle w:val="FootnoteReference"/>
        </w:rPr>
        <w:footnoteRef/>
      </w:r>
      <w:r>
        <w:t xml:space="preserve"> </w:t>
      </w:r>
      <w:r>
        <w:tab/>
        <w:t xml:space="preserve">As defined in the Council Recommendation of 22 May 2018 on </w:t>
      </w:r>
      <w:r>
        <w:rPr>
          <w:b/>
        </w:rPr>
        <w:t>key competences</w:t>
      </w:r>
      <w:r>
        <w:t xml:space="preserve"> for lifelong learning. See </w:t>
      </w:r>
      <w:hyperlink r:id="rId30" w:history="1">
        <w:r>
          <w:rPr>
            <w:rStyle w:val="Hyperlink"/>
          </w:rPr>
          <w:t>https://eur-lex.europa.eu/legal</w:t>
        </w:r>
        <w:r>
          <w:rPr>
            <w:rStyle w:val="Hyperlink"/>
          </w:rPr>
          <w:t>-content/EN/TXT/PDF/?uri=CELEX:32018H0604(01)&amp;from=EN</w:t>
        </w:r>
      </w:hyperlink>
      <w:r>
        <w:t xml:space="preserve"> </w:t>
      </w:r>
    </w:p>
  </w:footnote>
  <w:footnote w:id="72">
    <w:p w:rsidR="00620F75" w:rsidRDefault="001F403D">
      <w:pPr>
        <w:pStyle w:val="FootnoteText"/>
        <w:spacing w:before="0"/>
        <w:ind w:left="284" w:hanging="284"/>
        <w:contextualSpacing/>
      </w:pPr>
      <w:r>
        <w:rPr>
          <w:rStyle w:val="FootnoteReference"/>
        </w:rPr>
        <w:footnoteRef/>
      </w:r>
      <w:r>
        <w:t xml:space="preserve"> </w:t>
      </w:r>
      <w:r>
        <w:tab/>
        <w:t xml:space="preserve">In particular of </w:t>
      </w:r>
      <w:hyperlink r:id="rId31" w:history="1">
        <w:r>
          <w:rPr>
            <w:rStyle w:val="Hyperlink"/>
            <w:b/>
          </w:rPr>
          <w:t>Practice-based innovation</w:t>
        </w:r>
      </w:hyperlink>
      <w:r>
        <w:t xml:space="preserve"> (Doing, using, interactin</w:t>
      </w:r>
      <w:r>
        <w:t xml:space="preserve">g -DUI) as described by </w:t>
      </w:r>
      <w:hyperlink r:id="rId32" w:history="1">
        <w:r>
          <w:rPr>
            <w:rStyle w:val="Hyperlink"/>
          </w:rPr>
          <w:t>Vesa Harmaakorpi</w:t>
        </w:r>
      </w:hyperlink>
      <w:r>
        <w:t xml:space="preserve"> (see Ch 41).</w:t>
      </w:r>
    </w:p>
  </w:footnote>
  <w:footnote w:id="73">
    <w:p w:rsidR="00620F75" w:rsidRDefault="001F403D">
      <w:pPr>
        <w:pStyle w:val="FootnoteText"/>
        <w:spacing w:before="0"/>
        <w:contextualSpacing/>
      </w:pPr>
      <w:r>
        <w:rPr>
          <w:rStyle w:val="FootnoteReference"/>
        </w:rPr>
        <w:footnoteRef/>
      </w:r>
      <w:r>
        <w:t xml:space="preserve"> See for example Katapult in the Netherlands </w:t>
      </w:r>
      <w:hyperlink r:id="rId33" w:history="1">
        <w:r>
          <w:rPr>
            <w:rStyle w:val="Hyperlink"/>
          </w:rPr>
          <w:t>https://www.wijzijnkatapul</w:t>
        </w:r>
        <w:r>
          <w:rPr>
            <w:rStyle w:val="Hyperlink"/>
          </w:rPr>
          <w:t>t.nl/english/</w:t>
        </w:r>
      </w:hyperlink>
      <w:r>
        <w:t xml:space="preserve">, and Tknika in Spain </w:t>
      </w:r>
      <w:hyperlink r:id="rId34" w:history="1">
        <w:r>
          <w:rPr>
            <w:rStyle w:val="Hyperlink"/>
          </w:rPr>
          <w:t>https://tknika.eus/en/</w:t>
        </w:r>
      </w:hyperlink>
      <w:r>
        <w:t xml:space="preserve"> </w:t>
      </w:r>
    </w:p>
  </w:footnote>
  <w:footnote w:id="74">
    <w:p w:rsidR="00620F75" w:rsidRDefault="001F403D">
      <w:pPr>
        <w:pStyle w:val="FootnoteText"/>
        <w:spacing w:before="0"/>
        <w:ind w:left="284" w:hanging="284"/>
        <w:contextualSpacing/>
        <w:rPr>
          <w:rFonts w:cstheme="minorHAnsi"/>
        </w:rPr>
      </w:pPr>
      <w:r>
        <w:rPr>
          <w:rStyle w:val="FootnoteReference"/>
          <w:rFonts w:cstheme="minorHAnsi"/>
        </w:rPr>
        <w:footnoteRef/>
      </w:r>
      <w:r>
        <w:rPr>
          <w:rFonts w:cstheme="minorHAnsi"/>
        </w:rPr>
        <w:t xml:space="preserve"> </w:t>
      </w:r>
      <w:r>
        <w:rPr>
          <w:rFonts w:cstheme="minorHAnsi"/>
        </w:rPr>
        <w:tab/>
        <w:t>For example those identified as being part of the “key strategic value chains”, within the discussion of the Strategic Forum for Important projects of comm</w:t>
      </w:r>
      <w:r>
        <w:rPr>
          <w:rFonts w:cstheme="minorHAnsi"/>
        </w:rPr>
        <w:t>on European interest (IPCEI)</w:t>
      </w:r>
    </w:p>
  </w:footnote>
  <w:footnote w:id="75">
    <w:p w:rsidR="00620F75" w:rsidRDefault="001F403D">
      <w:pPr>
        <w:pStyle w:val="FootnoteText"/>
        <w:spacing w:before="0"/>
        <w:ind w:left="284" w:hanging="284"/>
        <w:contextualSpacing/>
        <w:rPr>
          <w:rFonts w:cstheme="minorHAnsi"/>
        </w:rPr>
      </w:pPr>
      <w:r>
        <w:rPr>
          <w:rStyle w:val="FootnoteReference"/>
          <w:rFonts w:cstheme="minorHAnsi"/>
        </w:rPr>
        <w:footnoteRef/>
      </w:r>
      <w:r>
        <w:rPr>
          <w:rFonts w:cstheme="minorHAnsi"/>
        </w:rPr>
        <w:t xml:space="preserve"> </w:t>
      </w:r>
      <w:r>
        <w:rPr>
          <w:rFonts w:cstheme="minorHAnsi"/>
        </w:rPr>
        <w:tab/>
        <w:t xml:space="preserve">The smart specialisation platforms (S3) also have thematic Platforms for Industrial Modernisation, in sectors such as Agri-food, Energy and Blue Growth, which include transnational partnerships in specific priorities within </w:t>
      </w:r>
      <w:r>
        <w:rPr>
          <w:rFonts w:cstheme="minorHAnsi"/>
        </w:rPr>
        <w:t xml:space="preserve">these areas that are shared by regions (see </w:t>
      </w:r>
      <w:hyperlink r:id="rId35" w:history="1">
        <w:r>
          <w:rPr>
            <w:rStyle w:val="Hyperlink"/>
            <w:rFonts w:cstheme="minorHAnsi"/>
          </w:rPr>
          <w:t>http://s3platform.jrc.ec.europa.eu/s3-thematic-platforms</w:t>
        </w:r>
      </w:hyperlink>
      <w:r>
        <w:rPr>
          <w:rFonts w:cstheme="minorHAnsi"/>
        </w:rPr>
        <w:t xml:space="preserve">) </w:t>
      </w:r>
    </w:p>
  </w:footnote>
  <w:footnote w:id="76">
    <w:p w:rsidR="00620F75" w:rsidRDefault="001F403D">
      <w:pPr>
        <w:pStyle w:val="FootnoteText"/>
        <w:spacing w:before="0"/>
        <w:ind w:left="284" w:hanging="284"/>
        <w:contextualSpacing/>
      </w:pPr>
      <w:r>
        <w:rPr>
          <w:rStyle w:val="FootnoteReference"/>
        </w:rPr>
        <w:footnoteRef/>
      </w:r>
      <w:r>
        <w:t xml:space="preserve"> </w:t>
      </w:r>
      <w:r>
        <w:tab/>
        <w:t xml:space="preserve">As defined in the Council Recommendation of 22 May 2018 on </w:t>
      </w:r>
      <w:r>
        <w:rPr>
          <w:b/>
        </w:rPr>
        <w:t>key competences</w:t>
      </w:r>
      <w:r>
        <w:t xml:space="preserve"> fo</w:t>
      </w:r>
      <w:r>
        <w:t>r lifelong learning.</w:t>
      </w:r>
    </w:p>
  </w:footnote>
  <w:footnote w:id="77">
    <w:p w:rsidR="00620F75" w:rsidRDefault="001F403D">
      <w:pPr>
        <w:pStyle w:val="FootnoteText"/>
        <w:spacing w:before="0"/>
        <w:ind w:left="284" w:hanging="284"/>
        <w:contextualSpacing/>
      </w:pPr>
      <w:r>
        <w:rPr>
          <w:rStyle w:val="FootnoteReference"/>
        </w:rPr>
        <w:footnoteRef/>
      </w:r>
      <w:r>
        <w:t xml:space="preserve"> </w:t>
      </w:r>
      <w:r>
        <w:tab/>
        <w:t>Makerspaces are collaborative workspaces for making, learning, exploring and sharing (see JRC report)</w:t>
      </w:r>
    </w:p>
  </w:footnote>
  <w:footnote w:id="78">
    <w:p w:rsidR="00620F75" w:rsidRDefault="001F403D">
      <w:pPr>
        <w:pStyle w:val="FootnoteText"/>
        <w:spacing w:before="0"/>
        <w:ind w:left="284" w:hanging="284"/>
        <w:contextualSpacing/>
      </w:pPr>
      <w:r>
        <w:rPr>
          <w:rStyle w:val="FootnoteReference"/>
        </w:rPr>
        <w:footnoteRef/>
      </w:r>
      <w:r>
        <w:t xml:space="preserve"> </w:t>
      </w:r>
      <w:r>
        <w:tab/>
        <w:t xml:space="preserve">See example of the Dutch MBO Excellence initiative </w:t>
      </w:r>
      <w:hyperlink r:id="rId36" w:history="1">
        <w:r>
          <w:rPr>
            <w:rStyle w:val="Hyperlink"/>
            <w:rFonts w:ascii="Calibri" w:hAnsi="Calibri" w:cs="Calibri"/>
          </w:rPr>
          <w:t>www.rocmn.nl/up</w:t>
        </w:r>
      </w:hyperlink>
    </w:p>
  </w:footnote>
  <w:footnote w:id="79">
    <w:p w:rsidR="00620F75" w:rsidRDefault="001F403D">
      <w:pPr>
        <w:pStyle w:val="FootnoteText"/>
        <w:spacing w:before="0"/>
        <w:ind w:left="284" w:hanging="284"/>
        <w:contextualSpacing/>
      </w:pPr>
      <w:r>
        <w:rPr>
          <w:rStyle w:val="FootnoteReference"/>
        </w:rPr>
        <w:footnoteRef/>
      </w:r>
      <w:r>
        <w:t xml:space="preserve"> </w:t>
      </w:r>
      <w:r>
        <w:tab/>
      </w:r>
      <w:r>
        <w:t xml:space="preserve">See Canadian Colleges and institutes example that make use of applied research to strengthen their capacity to innovate and leverage their strong industry and community connections </w:t>
      </w:r>
      <w:hyperlink r:id="rId37" w:history="1">
        <w:r>
          <w:rPr>
            <w:rStyle w:val="Hyperlink"/>
          </w:rPr>
          <w:t>https://www.collegesinstitutes.ca/policyfocus/applied-research/</w:t>
        </w:r>
      </w:hyperlink>
      <w:r>
        <w:t xml:space="preserve">, and </w:t>
      </w:r>
      <w:r>
        <w:br/>
        <w:t xml:space="preserve">Doing Applied Research in Victorian TAFE Institutes: An introductory guide. </w:t>
      </w:r>
      <w:hyperlink r:id="rId38" w:history="1">
        <w:r>
          <w:rPr>
            <w:rStyle w:val="Hyperlink"/>
          </w:rPr>
          <w:t>https://www.vta.vic.edu.au/docman-sortable-list/952-doing-applied-research-in-tafes-an-introductory-guide-2/file</w:t>
        </w:r>
      </w:hyperlink>
    </w:p>
  </w:footnote>
  <w:footnote w:id="80">
    <w:p w:rsidR="00620F75" w:rsidRDefault="001F403D">
      <w:pPr>
        <w:pStyle w:val="FootnoteText"/>
        <w:spacing w:before="0"/>
        <w:contextualSpacing/>
      </w:pPr>
      <w:r>
        <w:rPr>
          <w:rStyle w:val="FootnoteReference"/>
        </w:rPr>
        <w:footnoteRef/>
      </w:r>
      <w:r>
        <w:t xml:space="preserve"> As the key follow-up action to the Council Recommendation on a European Framework for Quality and Effective Apprentic</w:t>
      </w:r>
      <w:r>
        <w:t>eships the Commission launched an Apprenticeship Support Services in November 2018. The aim is to support members of the European Alliance for Apprenticeships to work towards more and better apprenticeships through a knowledge and a networking hub. It also</w:t>
      </w:r>
      <w:r>
        <w:t xml:space="preserve"> includes bench-learning, a methodology combining benchmarking with peer learning, and which provides a structured process to mutual learning among Member States on improving their apprenticeship systems.</w:t>
      </w:r>
    </w:p>
  </w:footnote>
  <w:footnote w:id="81">
    <w:p w:rsidR="00620F75" w:rsidRDefault="001F403D">
      <w:pPr>
        <w:pStyle w:val="FootnoteText"/>
        <w:spacing w:before="0"/>
        <w:contextualSpacing/>
      </w:pPr>
      <w:r>
        <w:rPr>
          <w:rStyle w:val="FootnoteReference"/>
        </w:rPr>
        <w:footnoteRef/>
      </w:r>
      <w:r>
        <w:t xml:space="preserve"> https://ec.europa.eu/education/schools-go-digital</w:t>
      </w:r>
    </w:p>
  </w:footnote>
  <w:footnote w:id="82">
    <w:p w:rsidR="00620F75" w:rsidRDefault="001F403D">
      <w:pPr>
        <w:pStyle w:val="FootnoteText"/>
        <w:spacing w:before="0"/>
        <w:contextualSpacing/>
      </w:pPr>
      <w:r>
        <w:rPr>
          <w:rStyle w:val="FootnoteReference"/>
        </w:rPr>
        <w:footnoteRef/>
      </w:r>
      <w:r>
        <w:t xml:space="preserve"> https://schools-go-digital.jrc.ec.europa.eu</w:t>
      </w:r>
    </w:p>
  </w:footnote>
  <w:footnote w:id="83">
    <w:p w:rsidR="00620F75" w:rsidRDefault="001F403D">
      <w:pPr>
        <w:pStyle w:val="FootnoteText"/>
        <w:spacing w:before="0"/>
        <w:contextualSpacing/>
      </w:pPr>
      <w:r>
        <w:rPr>
          <w:rStyle w:val="FootnoteReference"/>
        </w:rPr>
        <w:footnoteRef/>
      </w:r>
      <w:r>
        <w:t>https://ec.europa.eu/jrc/en/publication/eur-scientific-and-technical-research-reports/promoting-effective-digital-age-learning-european-framework-digitally-competent-educational</w:t>
      </w:r>
    </w:p>
  </w:footnote>
  <w:footnote w:id="84">
    <w:p w:rsidR="00620F75" w:rsidRDefault="001F403D">
      <w:pPr>
        <w:pStyle w:val="FootnoteText"/>
        <w:spacing w:before="0"/>
        <w:contextualSpacing/>
      </w:pPr>
      <w:r>
        <w:rPr>
          <w:rStyle w:val="FootnoteReference"/>
        </w:rPr>
        <w:footnoteRef/>
      </w:r>
      <w:r>
        <w:t xml:space="preserve"> https://ec.europa.eu/jrc/en/</w:t>
      </w:r>
      <w:r>
        <w:t>publication/selfie-forum-teaching-and-learning-digital-age</w:t>
      </w:r>
    </w:p>
  </w:footnote>
  <w:footnote w:id="85">
    <w:p w:rsidR="00620F75" w:rsidRDefault="001F403D">
      <w:pPr>
        <w:pStyle w:val="FootnoteText"/>
        <w:spacing w:before="0"/>
        <w:contextualSpacing/>
      </w:pPr>
      <w:r>
        <w:rPr>
          <w:rStyle w:val="FootnoteReference"/>
        </w:rPr>
        <w:footnoteRef/>
      </w:r>
      <w:r>
        <w:rPr>
          <w:lang w:val="nl-BE"/>
        </w:rPr>
        <w:t xml:space="preserve"> Broek, S., &amp; Buiskool, B.-J. (2020). </w:t>
      </w:r>
      <w:r>
        <w:t>Adapting the SELFIE tool for work-based learning systems in Vocational Education and Training. A feasibility study. Hippe, R., &amp; Kampylis, P. (eds.). EUR 3007</w:t>
      </w:r>
      <w:r>
        <w:t xml:space="preserve">9 EN, Publications Office of the European Union, Luxembourg, ISBN 978-92-76-10623-4, doi:10.2760/934724, JRC11970. </w:t>
      </w:r>
    </w:p>
  </w:footnote>
  <w:footnote w:id="86">
    <w:p w:rsidR="00620F75" w:rsidRDefault="001F403D">
      <w:pPr>
        <w:pStyle w:val="FootnoteText"/>
        <w:spacing w:before="0"/>
        <w:contextualSpacing/>
      </w:pPr>
      <w:r>
        <w:rPr>
          <w:rStyle w:val="FootnoteReference"/>
        </w:rPr>
        <w:footnoteRef/>
      </w:r>
      <w:r>
        <w:t xml:space="preserve"> Understood as upper secondary and post-secondary non tertiary VET, according to ISCED11 classification.</w:t>
      </w:r>
    </w:p>
  </w:footnote>
  <w:footnote w:id="87">
    <w:p w:rsidR="00620F75" w:rsidRDefault="001F403D">
      <w:pPr>
        <w:pStyle w:val="FootnoteText"/>
        <w:spacing w:before="0"/>
        <w:contextualSpacing/>
        <w:rPr>
          <w:color w:val="FF0000"/>
          <w:lang w:val="pt-PT"/>
        </w:rPr>
      </w:pPr>
      <w:r>
        <w:rPr>
          <w:rStyle w:val="FootnoteReference"/>
        </w:rPr>
        <w:footnoteRef/>
      </w:r>
      <w:r>
        <w:rPr>
          <w:lang w:val="pt-PT"/>
        </w:rPr>
        <w:t xml:space="preserve"> COM/2016/0381 final</w:t>
      </w:r>
    </w:p>
  </w:footnote>
  <w:footnote w:id="88">
    <w:p w:rsidR="00620F75" w:rsidRDefault="001F403D">
      <w:pPr>
        <w:pStyle w:val="FootnoteText"/>
        <w:spacing w:before="0"/>
        <w:contextualSpacing/>
        <w:rPr>
          <w:color w:val="FF0000"/>
          <w:lang w:val="pt-PT"/>
        </w:rPr>
      </w:pPr>
      <w:r>
        <w:rPr>
          <w:rStyle w:val="FootnoteReference"/>
        </w:rPr>
        <w:footnoteRef/>
      </w:r>
      <w:r>
        <w:rPr>
          <w:lang w:val="pt-PT"/>
        </w:rPr>
        <w:t xml:space="preserve"> 2018/C 153</w:t>
      </w:r>
      <w:r>
        <w:rPr>
          <w:lang w:val="pt-PT"/>
        </w:rPr>
        <w:t>/01</w:t>
      </w:r>
    </w:p>
  </w:footnote>
  <w:footnote w:id="89">
    <w:p w:rsidR="00620F75" w:rsidRDefault="001F403D">
      <w:pPr>
        <w:pStyle w:val="FootnoteText"/>
        <w:spacing w:before="0"/>
        <w:contextualSpacing/>
      </w:pPr>
      <w:r>
        <w:rPr>
          <w:rStyle w:val="FootnoteReference"/>
        </w:rPr>
        <w:footnoteRef/>
      </w:r>
      <w:r>
        <w:rPr>
          <w:lang w:val="pt-PT"/>
        </w:rPr>
        <w:t xml:space="preserve"> </w:t>
      </w:r>
      <w:r>
        <w:rPr>
          <w:lang w:val="pt-PT" w:eastAsia="en-GB"/>
        </w:rPr>
        <w:t xml:space="preserve">Sweet, R. 2011. </w:t>
      </w:r>
      <w:r>
        <w:rPr>
          <w:lang w:eastAsia="en-GB"/>
        </w:rPr>
        <w:t>“Work-based learning: Why? How?”, in Revisiting global trends in TVET: Reflections on theory and practice (Bonn, UNESCO-UNEVOC).</w:t>
      </w:r>
    </w:p>
  </w:footnote>
  <w:footnote w:id="90">
    <w:p w:rsidR="00620F75" w:rsidRDefault="001F403D">
      <w:pPr>
        <w:pStyle w:val="FootnoteText"/>
        <w:spacing w:before="0"/>
        <w:contextualSpacing/>
      </w:pPr>
      <w:r>
        <w:rPr>
          <w:rStyle w:val="FootnoteReference"/>
        </w:rPr>
        <w:footnoteRef/>
      </w:r>
      <w:r>
        <w:t xml:space="preserve"> </w:t>
      </w:r>
      <w:r>
        <w:rPr>
          <w:lang w:eastAsia="en-GB"/>
        </w:rPr>
        <w:t>ILO, 2017. ILO toolkit for quality apprenticeships, Vol. 1: Guide for policy-makers (Geneva).</w:t>
      </w:r>
    </w:p>
  </w:footnote>
  <w:footnote w:id="91">
    <w:p w:rsidR="00620F75" w:rsidRDefault="001F403D">
      <w:pPr>
        <w:pStyle w:val="CommentText"/>
        <w:spacing w:before="0"/>
        <w:contextualSpacing/>
      </w:pPr>
      <w:r>
        <w:rPr>
          <w:rStyle w:val="FootnoteReference"/>
        </w:rPr>
        <w:footnoteRef/>
      </w:r>
      <w:r>
        <w:t xml:space="preserve"> The Regulation (EU) 2019/1700 of the European Parliament and of the Council of 10 October 2019 establishing a common framework for European statistics relating to persons and households, based on data at individual level collected from samples, amending R</w:t>
      </w:r>
      <w:r>
        <w:t>egulations (EC) No 808/2004, (EC) No 452/2008 and (EC) No 1338/2008 of the European Parliament and of the Council, and repealing Regulation (EC) No 1177/2003 of the European Parliament and of the Council and Council Regulation (EC) No 577/98 (Text with EEA</w:t>
      </w:r>
      <w:r>
        <w:t xml:space="preserve"> relevance) - </w:t>
      </w:r>
      <w:hyperlink r:id="rId39" w:history="1">
        <w:r>
          <w:rPr>
            <w:rStyle w:val="Hyperlink"/>
          </w:rPr>
          <w:t>https://eur-lex.europa.eu/legal-content/EN/TXT/?uri=uriserv:OJ.LI.2019.261.01.0001.01.ENG</w:t>
        </w:r>
      </w:hyperlink>
      <w:r>
        <w:t xml:space="preserve"> </w:t>
      </w:r>
    </w:p>
  </w:footnote>
  <w:footnote w:id="92">
    <w:p w:rsidR="00620F75" w:rsidRDefault="001F403D">
      <w:pPr>
        <w:pStyle w:val="FootnoteText"/>
        <w:spacing w:before="0"/>
        <w:contextualSpacing/>
        <w:rPr>
          <w:rFonts w:ascii="_GOPA TheSerif Light" w:eastAsia="Calibri" w:hAnsi="_GOPA TheSerif Light"/>
          <w:color w:val="000000"/>
        </w:rPr>
      </w:pPr>
      <w:r>
        <w:rPr>
          <w:rStyle w:val="FootnoteReference"/>
        </w:rPr>
        <w:footnoteRef/>
      </w:r>
      <w:r>
        <w:t xml:space="preserve"> </w:t>
      </w:r>
      <w:hyperlink r:id="rId40" w:history="1">
        <w:r>
          <w:rPr>
            <w:rStyle w:val="Hyperlink"/>
          </w:rPr>
          <w:t>https://www.consilium.europa.eu/uedocs/cms_data/docs/pressdata/en/educ/126380.pdf</w:t>
        </w:r>
      </w:hyperlink>
    </w:p>
  </w:footnote>
  <w:footnote w:id="93">
    <w:p w:rsidR="00620F75" w:rsidRDefault="001F403D">
      <w:pPr>
        <w:pStyle w:val="FootnoteText"/>
        <w:spacing w:before="0"/>
        <w:contextualSpacing/>
      </w:pPr>
      <w:r>
        <w:rPr>
          <w:rStyle w:val="FootnoteReference"/>
        </w:rPr>
        <w:footnoteRef/>
      </w:r>
      <w:r>
        <w:t xml:space="preserve"> COM(2017) 148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03D" w:rsidRPr="001F403D" w:rsidRDefault="001F403D" w:rsidP="001F403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75" w:rsidRDefault="00620F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75" w:rsidRDefault="00620F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75" w:rsidRDefault="00620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3A5"/>
    <w:multiLevelType w:val="hybridMultilevel"/>
    <w:tmpl w:val="9078D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714E1B"/>
    <w:multiLevelType w:val="hybridMultilevel"/>
    <w:tmpl w:val="8A1E15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836F67"/>
    <w:multiLevelType w:val="hybridMultilevel"/>
    <w:tmpl w:val="28661DD4"/>
    <w:lvl w:ilvl="0" w:tplc="AE125E5C">
      <w:start w:val="1"/>
      <w:numFmt w:val="decimal"/>
      <w:lvlText w:val="%1."/>
      <w:lvlJc w:val="left"/>
      <w:pPr>
        <w:ind w:left="720" w:hanging="360"/>
      </w:pPr>
      <w:rPr>
        <w:b/>
        <w:color w:val="0B61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D1FAC"/>
    <w:multiLevelType w:val="hybridMultilevel"/>
    <w:tmpl w:val="7826DD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0626DA"/>
    <w:multiLevelType w:val="hybridMultilevel"/>
    <w:tmpl w:val="82CAEBDC"/>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E417E"/>
    <w:multiLevelType w:val="hybridMultilevel"/>
    <w:tmpl w:val="69184C04"/>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0DFD5C4F"/>
    <w:multiLevelType w:val="hybridMultilevel"/>
    <w:tmpl w:val="22384542"/>
    <w:lvl w:ilvl="0" w:tplc="8A14A664">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DA03B1"/>
    <w:multiLevelType w:val="hybridMultilevel"/>
    <w:tmpl w:val="8564EF58"/>
    <w:lvl w:ilvl="0" w:tplc="E1F4DDC8">
      <w:start w:val="1"/>
      <w:numFmt w:val="bullet"/>
      <w:lvlText w:val=""/>
      <w:lvlJc w:val="left"/>
      <w:pPr>
        <w:ind w:left="720" w:hanging="360"/>
      </w:pPr>
      <w:rPr>
        <w:rFonts w:ascii="Symbol" w:hAnsi="Symbol" w:hint="default"/>
        <w:b/>
        <w:i w:val="0"/>
        <w:color w:val="0B61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0330E2A"/>
    <w:multiLevelType w:val="hybridMultilevel"/>
    <w:tmpl w:val="07A245B2"/>
    <w:lvl w:ilvl="0" w:tplc="0809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466E79"/>
    <w:multiLevelType w:val="hybridMultilevel"/>
    <w:tmpl w:val="D488233E"/>
    <w:lvl w:ilvl="0" w:tplc="E1F4DDC8">
      <w:start w:val="1"/>
      <w:numFmt w:val="bullet"/>
      <w:lvlText w:val=""/>
      <w:lvlJc w:val="left"/>
      <w:pPr>
        <w:ind w:left="720" w:hanging="360"/>
      </w:pPr>
      <w:rPr>
        <w:rFonts w:ascii="Symbol" w:hAnsi="Symbol" w:hint="default"/>
        <w:b/>
        <w:i w:val="0"/>
        <w:color w:val="0B619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61E7E"/>
    <w:multiLevelType w:val="hybridMultilevel"/>
    <w:tmpl w:val="DDA80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A378D"/>
    <w:multiLevelType w:val="hybridMultilevel"/>
    <w:tmpl w:val="AEB613B4"/>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34A92"/>
    <w:multiLevelType w:val="hybridMultilevel"/>
    <w:tmpl w:val="1AEE9EE0"/>
    <w:lvl w:ilvl="0" w:tplc="E1F4DDC8">
      <w:start w:val="1"/>
      <w:numFmt w:val="bullet"/>
      <w:lvlText w:val=""/>
      <w:lvlJc w:val="left"/>
      <w:pPr>
        <w:ind w:left="720" w:hanging="360"/>
      </w:pPr>
      <w:rPr>
        <w:rFonts w:ascii="Symbol" w:hAnsi="Symbol" w:hint="default"/>
        <w:b/>
        <w:i w:val="0"/>
        <w:color w:val="0B61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1733B0"/>
    <w:multiLevelType w:val="hybridMultilevel"/>
    <w:tmpl w:val="407681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2BF17E65"/>
    <w:multiLevelType w:val="hybridMultilevel"/>
    <w:tmpl w:val="93048276"/>
    <w:lvl w:ilvl="0" w:tplc="E1F4DDC8">
      <w:start w:val="1"/>
      <w:numFmt w:val="bullet"/>
      <w:lvlText w:val=""/>
      <w:lvlJc w:val="left"/>
      <w:pPr>
        <w:ind w:left="720" w:hanging="360"/>
      </w:pPr>
      <w:rPr>
        <w:rFonts w:ascii="Symbol" w:hAnsi="Symbol" w:hint="default"/>
        <w:b/>
        <w:i w:val="0"/>
        <w:color w:val="0B61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CC837D3"/>
    <w:multiLevelType w:val="hybridMultilevel"/>
    <w:tmpl w:val="CA803FF2"/>
    <w:lvl w:ilvl="0" w:tplc="E1F4DDC8">
      <w:start w:val="1"/>
      <w:numFmt w:val="bullet"/>
      <w:lvlText w:val=""/>
      <w:lvlJc w:val="left"/>
      <w:pPr>
        <w:ind w:left="720" w:hanging="360"/>
      </w:pPr>
      <w:rPr>
        <w:rFonts w:ascii="Symbol" w:hAnsi="Symbol" w:hint="default"/>
        <w:b/>
        <w:i w:val="0"/>
        <w:color w:val="0B61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85711"/>
    <w:multiLevelType w:val="multilevel"/>
    <w:tmpl w:val="E0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C1645"/>
    <w:multiLevelType w:val="hybridMultilevel"/>
    <w:tmpl w:val="0CC2ED04"/>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32DAB"/>
    <w:multiLevelType w:val="hybridMultilevel"/>
    <w:tmpl w:val="8208F4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14A1C17"/>
    <w:multiLevelType w:val="hybridMultilevel"/>
    <w:tmpl w:val="953E1568"/>
    <w:lvl w:ilvl="0" w:tplc="E1F4DDC8">
      <w:start w:val="1"/>
      <w:numFmt w:val="bullet"/>
      <w:lvlText w:val=""/>
      <w:lvlJc w:val="left"/>
      <w:pPr>
        <w:ind w:left="720" w:hanging="360"/>
      </w:pPr>
      <w:rPr>
        <w:rFonts w:ascii="Symbol" w:hAnsi="Symbol" w:hint="default"/>
        <w:b/>
        <w:i w:val="0"/>
        <w:color w:val="0B619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1A54A0C"/>
    <w:multiLevelType w:val="hybridMultilevel"/>
    <w:tmpl w:val="CEAC4860"/>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423009"/>
    <w:multiLevelType w:val="hybridMultilevel"/>
    <w:tmpl w:val="F93C3BE2"/>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C2511"/>
    <w:multiLevelType w:val="hybridMultilevel"/>
    <w:tmpl w:val="8EB4322E"/>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1E5A8C"/>
    <w:multiLevelType w:val="hybridMultilevel"/>
    <w:tmpl w:val="0FF2F3EC"/>
    <w:lvl w:ilvl="0" w:tplc="E1F4DDC8">
      <w:start w:val="1"/>
      <w:numFmt w:val="bullet"/>
      <w:lvlText w:val=""/>
      <w:lvlJc w:val="left"/>
      <w:pPr>
        <w:ind w:left="720" w:hanging="360"/>
      </w:pPr>
      <w:rPr>
        <w:rFonts w:ascii="Symbol" w:hAnsi="Symbol" w:hint="default"/>
        <w:b/>
        <w:i w:val="0"/>
        <w:color w:val="0B619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42727C"/>
    <w:multiLevelType w:val="hybridMultilevel"/>
    <w:tmpl w:val="A86CAEB4"/>
    <w:lvl w:ilvl="0" w:tplc="7158C782">
      <w:start w:val="19"/>
      <w:numFmt w:val="bullet"/>
      <w:lvlText w:val="-"/>
      <w:lvlJc w:val="left"/>
      <w:pPr>
        <w:ind w:left="720" w:hanging="360"/>
      </w:pPr>
      <w:rPr>
        <w:rFonts w:ascii="Calibri" w:eastAsia="Times New Roman"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927475E"/>
    <w:multiLevelType w:val="hybridMultilevel"/>
    <w:tmpl w:val="196A67D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3B1970FF"/>
    <w:multiLevelType w:val="hybridMultilevel"/>
    <w:tmpl w:val="7244FDC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3EEC2CFD"/>
    <w:multiLevelType w:val="hybridMultilevel"/>
    <w:tmpl w:val="2034D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2B61125"/>
    <w:multiLevelType w:val="hybridMultilevel"/>
    <w:tmpl w:val="B366C202"/>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5562ED8"/>
    <w:multiLevelType w:val="hybridMultilevel"/>
    <w:tmpl w:val="9E6624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A432656"/>
    <w:multiLevelType w:val="multilevel"/>
    <w:tmpl w:val="39D88C5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pStyle w:val="Heading3"/>
      <w:lvlText w:val="%1.%2.%3."/>
      <w:lvlJc w:val="left"/>
      <w:pPr>
        <w:tabs>
          <w:tab w:val="num" w:pos="2258"/>
        </w:tabs>
        <w:ind w:left="2258"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006747"/>
    <w:multiLevelType w:val="hybridMultilevel"/>
    <w:tmpl w:val="8012AADA"/>
    <w:lvl w:ilvl="0" w:tplc="0B6EB614">
      <w:start w:val="1"/>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2539FE"/>
    <w:multiLevelType w:val="hybridMultilevel"/>
    <w:tmpl w:val="2E8CF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04477CE"/>
    <w:multiLevelType w:val="hybridMultilevel"/>
    <w:tmpl w:val="C51C543E"/>
    <w:lvl w:ilvl="0" w:tplc="E1F4DDC8">
      <w:start w:val="1"/>
      <w:numFmt w:val="bullet"/>
      <w:lvlText w:val=""/>
      <w:lvlJc w:val="left"/>
      <w:pPr>
        <w:ind w:left="360" w:hanging="360"/>
      </w:pPr>
      <w:rPr>
        <w:rFonts w:ascii="Symbol" w:hAnsi="Symbol" w:hint="default"/>
        <w:b/>
        <w:i w:val="0"/>
        <w:color w:val="0B619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705BFC"/>
    <w:multiLevelType w:val="hybridMultilevel"/>
    <w:tmpl w:val="31501BB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B395AAA"/>
    <w:multiLevelType w:val="singleLevel"/>
    <w:tmpl w:val="96D02E8A"/>
    <w:name w:val="Bullet 1"/>
    <w:lvl w:ilvl="0">
      <w:start w:val="1"/>
      <w:numFmt w:val="bullet"/>
      <w:lvlText w:val=""/>
      <w:lvlJc w:val="left"/>
      <w:pPr>
        <w:tabs>
          <w:tab w:val="num" w:pos="1417"/>
        </w:tabs>
        <w:ind w:left="1417" w:hanging="567"/>
      </w:pPr>
      <w:rPr>
        <w:rFonts w:ascii="Symbol" w:hAnsi="Symbol"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E54159C"/>
    <w:multiLevelType w:val="hybridMultilevel"/>
    <w:tmpl w:val="B5EE05B4"/>
    <w:lvl w:ilvl="0" w:tplc="73CCC46A">
      <w:numFmt w:val="bullet"/>
      <w:lvlText w:val="-"/>
      <w:lvlJc w:val="left"/>
      <w:pPr>
        <w:ind w:left="720" w:hanging="360"/>
      </w:pPr>
      <w:rPr>
        <w:rFonts w:ascii="EC Square Sans Pro" w:eastAsiaTheme="minorHAnsi" w:hAnsi="EC Square Sans Pr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1C34513"/>
    <w:multiLevelType w:val="hybridMultilevel"/>
    <w:tmpl w:val="61F8D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DC79FD"/>
    <w:multiLevelType w:val="hybridMultilevel"/>
    <w:tmpl w:val="8AE031A4"/>
    <w:lvl w:ilvl="0" w:tplc="1A7E926E">
      <w:start w:val="1"/>
      <w:numFmt w:val="lowerLetter"/>
      <w:pStyle w:val="Heading4"/>
      <w:lvlText w:val="%1)"/>
      <w:lvlJc w:val="left"/>
      <w:pPr>
        <w:ind w:left="720" w:hanging="360"/>
      </w:pPr>
      <w:rPr>
        <w:rFonts w:hint="default"/>
        <w:color w:val="0B61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1B676C"/>
    <w:multiLevelType w:val="hybridMultilevel"/>
    <w:tmpl w:val="ABF461BA"/>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E638A4"/>
    <w:multiLevelType w:val="hybridMultilevel"/>
    <w:tmpl w:val="5C38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280430"/>
    <w:multiLevelType w:val="hybridMultilevel"/>
    <w:tmpl w:val="C8502A68"/>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B21A3"/>
    <w:multiLevelType w:val="hybridMultilevel"/>
    <w:tmpl w:val="353A767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711A3051"/>
    <w:multiLevelType w:val="hybridMultilevel"/>
    <w:tmpl w:val="B4B04FBE"/>
    <w:lvl w:ilvl="0" w:tplc="5EE26CB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4D138F2"/>
    <w:multiLevelType w:val="hybridMultilevel"/>
    <w:tmpl w:val="D5B07ECC"/>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D241E8"/>
    <w:multiLevelType w:val="hybridMultilevel"/>
    <w:tmpl w:val="2FEAAB12"/>
    <w:lvl w:ilvl="0" w:tplc="41EA359E">
      <w:start w:val="1"/>
      <w:numFmt w:val="decimal"/>
      <w:lvlText w:val="%1."/>
      <w:lvlJc w:val="left"/>
      <w:pPr>
        <w:ind w:left="360" w:hanging="360"/>
      </w:pPr>
      <w:rPr>
        <w:color w:val="1F497D" w:themeColor="text2"/>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0" w15:restartNumberingAfterBreak="0">
    <w:nsid w:val="78A5364B"/>
    <w:multiLevelType w:val="hybridMultilevel"/>
    <w:tmpl w:val="489E6114"/>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CD28E7"/>
    <w:multiLevelType w:val="hybridMultilevel"/>
    <w:tmpl w:val="B3740D50"/>
    <w:lvl w:ilvl="0" w:tplc="E1F4DDC8">
      <w:start w:val="1"/>
      <w:numFmt w:val="bullet"/>
      <w:lvlText w:val=""/>
      <w:lvlJc w:val="left"/>
      <w:pPr>
        <w:ind w:left="360" w:hanging="360"/>
      </w:pPr>
      <w:rPr>
        <w:rFonts w:ascii="Symbol" w:hAnsi="Symbol" w:hint="default"/>
        <w:b/>
        <w:i w:val="0"/>
        <w:color w:val="0B619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766D64"/>
    <w:multiLevelType w:val="hybridMultilevel"/>
    <w:tmpl w:val="B30A10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7CDC5188"/>
    <w:multiLevelType w:val="hybridMultilevel"/>
    <w:tmpl w:val="222656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EEE3D95"/>
    <w:multiLevelType w:val="hybridMultilevel"/>
    <w:tmpl w:val="8E7A6F8E"/>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3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2"/>
  </w:num>
  <w:num w:numId="5">
    <w:abstractNumId w:val="30"/>
  </w:num>
  <w:num w:numId="6">
    <w:abstractNumId w:val="4"/>
  </w:num>
  <w:num w:numId="7">
    <w:abstractNumId w:val="45"/>
  </w:num>
  <w:num w:numId="8">
    <w:abstractNumId w:val="42"/>
    <w:lvlOverride w:ilvl="0">
      <w:startOverride w:val="1"/>
    </w:lvlOverride>
  </w:num>
  <w:num w:numId="9">
    <w:abstractNumId w:val="23"/>
  </w:num>
  <w:num w:numId="10">
    <w:abstractNumId w:val="48"/>
  </w:num>
  <w:num w:numId="11">
    <w:abstractNumId w:val="2"/>
  </w:num>
  <w:num w:numId="12">
    <w:abstractNumId w:val="19"/>
  </w:num>
  <w:num w:numId="13">
    <w:abstractNumId w:val="50"/>
  </w:num>
  <w:num w:numId="14">
    <w:abstractNumId w:val="43"/>
  </w:num>
  <w:num w:numId="15">
    <w:abstractNumId w:val="24"/>
  </w:num>
  <w:num w:numId="16">
    <w:abstractNumId w:val="22"/>
  </w:num>
  <w:num w:numId="17">
    <w:abstractNumId w:val="13"/>
  </w:num>
  <w:num w:numId="18">
    <w:abstractNumId w:val="21"/>
  </w:num>
  <w:num w:numId="19">
    <w:abstractNumId w:val="16"/>
  </w:num>
  <w:num w:numId="20">
    <w:abstractNumId w:val="17"/>
  </w:num>
  <w:num w:numId="21">
    <w:abstractNumId w:val="11"/>
  </w:num>
  <w:num w:numId="22">
    <w:abstractNumId w:val="26"/>
  </w:num>
  <w:num w:numId="23">
    <w:abstractNumId w:val="47"/>
  </w:num>
  <w:num w:numId="24">
    <w:abstractNumId w:val="53"/>
  </w:num>
  <w:num w:numId="25">
    <w:abstractNumId w:val="12"/>
  </w:num>
  <w:num w:numId="26">
    <w:abstractNumId w:val="32"/>
  </w:num>
  <w:num w:numId="27">
    <w:abstractNumId w:val="51"/>
  </w:num>
  <w:num w:numId="28">
    <w:abstractNumId w:val="52"/>
  </w:num>
  <w:num w:numId="29">
    <w:abstractNumId w:val="36"/>
  </w:num>
  <w:num w:numId="30">
    <w:abstractNumId w:val="0"/>
  </w:num>
  <w:num w:numId="31">
    <w:abstractNumId w:val="49"/>
  </w:num>
  <w:num w:numId="32">
    <w:abstractNumId w:val="46"/>
  </w:num>
  <w:num w:numId="33">
    <w:abstractNumId w:val="14"/>
  </w:num>
  <w:num w:numId="34">
    <w:abstractNumId w:val="27"/>
  </w:num>
  <w:num w:numId="35">
    <w:abstractNumId w:val="7"/>
  </w:num>
  <w:num w:numId="36">
    <w:abstractNumId w:val="5"/>
  </w:num>
  <w:num w:numId="37">
    <w:abstractNumId w:val="1"/>
  </w:num>
  <w:num w:numId="38">
    <w:abstractNumId w:val="41"/>
  </w:num>
  <w:num w:numId="39">
    <w:abstractNumId w:val="9"/>
  </w:num>
  <w:num w:numId="40">
    <w:abstractNumId w:val="25"/>
  </w:num>
  <w:num w:numId="41">
    <w:abstractNumId w:val="34"/>
  </w:num>
  <w:num w:numId="42">
    <w:abstractNumId w:val="44"/>
  </w:num>
  <w:num w:numId="43">
    <w:abstractNumId w:val="54"/>
  </w:num>
  <w:num w:numId="44">
    <w:abstractNumId w:val="38"/>
  </w:num>
  <w:num w:numId="45">
    <w:abstractNumId w:val="38"/>
  </w:num>
  <w:num w:numId="46">
    <w:abstractNumId w:val="40"/>
  </w:num>
  <w:num w:numId="47">
    <w:abstractNumId w:val="10"/>
  </w:num>
  <w:num w:numId="48">
    <w:abstractNumId w:val="28"/>
  </w:num>
  <w:num w:numId="49">
    <w:abstractNumId w:val="31"/>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num>
  <w:num w:numId="53">
    <w:abstractNumId w:val="8"/>
  </w:num>
  <w:num w:numId="54">
    <w:abstractNumId w:val="37"/>
  </w:num>
  <w:num w:numId="55">
    <w:abstractNumId w:val="18"/>
  </w:num>
  <w:num w:numId="56">
    <w:abstractNumId w:val="35"/>
  </w:num>
  <w:num w:numId="57">
    <w:abstractNumId w:val="39"/>
    <w:lvlOverride w:ilvl="0">
      <w:startOverride w:val="1"/>
    </w:lvlOverride>
  </w:num>
  <w:num w:numId="58">
    <w:abstractNumId w:val="39"/>
  </w:num>
  <w:num w:numId="59">
    <w:abstractNumId w:val="10"/>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15"/>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it-IT" w:vendorID="64" w:dllVersion="6" w:nlCheck="1" w:checkStyle="0"/>
  <w:activeWritingStyle w:appName="MSWord" w:lang="pt-PT"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it-IT"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revisionView w:markup="0"/>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3NTUzNrY0NDY3MrFU0lEKTi0uzszPAykwrAUAZys8PCwAAAA="/>
    <w:docVar w:name="DocStatus" w:val="Green"/>
    <w:docVar w:name="LW_ACCOMPAGNANT.CP" w:val="Accompanying the Commission Proposal for a "/>
    <w:docVar w:name="LW_CORRIGENDUM" w:val="&lt;UNUSED&gt;"/>
    <w:docVar w:name="LW_COVERPAGE_EXISTS" w:val="True"/>
    <w:docVar w:name="LW_COVERPAGE_GUID" w:val="8A0A2666-D4CA-4C2E-AE91-6A5EF58CF4C2"/>
    <w:docVar w:name="LW_COVERPAGE_TYPE" w:val="1"/>
    <w:docVar w:name="LW_CROSSREFERENCE" w:val="{COM(2020) 275 final}"/>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vocational education and training (VET) for sustainable competitiveness, social fairness and resilience_x000d__x000d__x000d__x000d__x000d__x000d__x000d__x000b__x000d__x000d__x000d__x000d__x000d__x000d__x000d__x000b_"/>
    <w:docVar w:name="LW_PART_NBR" w:val="1"/>
    <w:docVar w:name="LW_PART_NBR_TOTAL" w:val="1"/>
    <w:docVar w:name="LW_REF.INST.NEW" w:val="SWD"/>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COMMISSION STAFF WORKING DOCUMENT"/>
    <w:docVar w:name="LW_TYPEACTEPRINCIPAL.CP" w:val="Council Recommendation"/>
  </w:docVars>
  <w:rsids>
    <w:rsidRoot w:val="00620F75"/>
    <w:rsid w:val="001F403D"/>
    <w:rsid w:val="00620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40" w:lineRule="auto"/>
      <w:jc w:val="both"/>
    </w:pPr>
    <w:rPr>
      <w:rFonts w:ascii="EC Square Sans Pro" w:hAnsi="EC Square Sans Pro"/>
      <w:sz w:val="24"/>
    </w:rPr>
  </w:style>
  <w:style w:type="paragraph" w:styleId="Heading1">
    <w:name w:val="heading 1"/>
    <w:basedOn w:val="Normal"/>
    <w:next w:val="Normal"/>
    <w:link w:val="Heading1Char"/>
    <w:autoRedefine/>
    <w:uiPriority w:val="9"/>
    <w:qFormat/>
    <w:pPr>
      <w:keepNext/>
      <w:numPr>
        <w:numId w:val="1"/>
      </w:numPr>
      <w:spacing w:before="360" w:after="360"/>
      <w:outlineLvl w:val="0"/>
    </w:pPr>
    <w:rPr>
      <w:rFonts w:eastAsia="Times New Roman" w:cs="Times New Roman"/>
      <w:b/>
      <w:smallCaps/>
      <w:color w:val="0B6192"/>
      <w:sz w:val="32"/>
      <w:szCs w:val="20"/>
    </w:rPr>
  </w:style>
  <w:style w:type="paragraph" w:styleId="Heading2">
    <w:name w:val="heading 2"/>
    <w:basedOn w:val="Normal"/>
    <w:next w:val="Normal"/>
    <w:link w:val="Heading2Char"/>
    <w:autoRedefine/>
    <w:qFormat/>
    <w:pPr>
      <w:keepNext/>
      <w:numPr>
        <w:ilvl w:val="1"/>
        <w:numId w:val="1"/>
      </w:numPr>
      <w:spacing w:before="240" w:after="240"/>
      <w:outlineLvl w:val="1"/>
    </w:pPr>
    <w:rPr>
      <w:rFonts w:eastAsia="Times New Roman" w:cs="Times New Roman"/>
      <w:b/>
      <w:color w:val="0B6192"/>
      <w:sz w:val="28"/>
      <w:szCs w:val="20"/>
    </w:rPr>
  </w:style>
  <w:style w:type="paragraph" w:styleId="Heading3">
    <w:name w:val="heading 3"/>
    <w:basedOn w:val="Normal"/>
    <w:next w:val="Normal"/>
    <w:link w:val="Heading3Char"/>
    <w:autoRedefine/>
    <w:qFormat/>
    <w:pPr>
      <w:keepNext/>
      <w:numPr>
        <w:ilvl w:val="2"/>
        <w:numId w:val="1"/>
      </w:numPr>
      <w:spacing w:before="240" w:after="240"/>
      <w:jc w:val="left"/>
      <w:outlineLvl w:val="2"/>
    </w:pPr>
    <w:rPr>
      <w:rFonts w:cs="Times New Roman"/>
      <w:b/>
      <w:color w:val="0B6192"/>
      <w:szCs w:val="20"/>
    </w:rPr>
  </w:style>
  <w:style w:type="paragraph" w:styleId="Heading4">
    <w:name w:val="heading 4"/>
    <w:basedOn w:val="Normal"/>
    <w:next w:val="Normal"/>
    <w:link w:val="Heading4Char"/>
    <w:autoRedefine/>
    <w:qFormat/>
    <w:pPr>
      <w:keepNext/>
      <w:numPr>
        <w:numId w:val="4"/>
      </w:numPr>
      <w:spacing w:after="240"/>
      <w:jc w:val="left"/>
      <w:outlineLvl w:val="3"/>
    </w:pPr>
    <w:rPr>
      <w:rFonts w:eastAsia="Times New Roman" w:cs="Times New Roman"/>
      <w:b/>
      <w:color w:val="0B6192"/>
      <w:szCs w:val="20"/>
      <w:lang w:val="en-US"/>
    </w:rPr>
  </w:style>
  <w:style w:type="paragraph" w:styleId="Heading5">
    <w:name w:val="heading 5"/>
    <w:basedOn w:val="Normal"/>
    <w:next w:val="Normal"/>
    <w:link w:val="Heading5Char"/>
    <w:uiPriority w:val="9"/>
    <w:unhideWhenUsed/>
    <w:qFormat/>
    <w:pPr>
      <w:keepNext/>
      <w:keepLines/>
      <w:jc w:val="left"/>
      <w:outlineLvl w:val="4"/>
    </w:pPr>
    <w:rPr>
      <w:rFonts w:eastAsiaTheme="majorEastAsia" w:cstheme="majorBidi"/>
      <w:b/>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Table of contents numbered,F5 List Paragraph,Normal bullet 2,Bullet list,Numbered List,1st level - Bullet List Paragraph,Lettre d'introduction,Paragrafo elenco,Paragraph,Bullet EY,List Paragraph11,Bullet 1,Dot pt"/>
    <w:basedOn w:val="Normal"/>
    <w:link w:val="ListParagraphChar"/>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EC Square Sans Pro" w:eastAsia="Times New Roman" w:hAnsi="EC Square Sans Pro" w:cs="Times New Roman"/>
      <w:b/>
      <w:smallCaps/>
      <w:color w:val="0B6192"/>
      <w:sz w:val="32"/>
      <w:szCs w:val="20"/>
    </w:rPr>
  </w:style>
  <w:style w:type="character" w:customStyle="1" w:styleId="Heading2Char">
    <w:name w:val="Heading 2 Char"/>
    <w:basedOn w:val="DefaultParagraphFont"/>
    <w:link w:val="Heading2"/>
    <w:rPr>
      <w:rFonts w:ascii="EC Square Sans Pro" w:eastAsia="Times New Roman" w:hAnsi="EC Square Sans Pro" w:cs="Times New Roman"/>
      <w:b/>
      <w:color w:val="0B6192"/>
      <w:sz w:val="28"/>
      <w:szCs w:val="20"/>
    </w:rPr>
  </w:style>
  <w:style w:type="character" w:customStyle="1" w:styleId="Heading3Char">
    <w:name w:val="Heading 3 Char"/>
    <w:basedOn w:val="DefaultParagraphFont"/>
    <w:link w:val="Heading3"/>
    <w:rPr>
      <w:rFonts w:ascii="EC Square Sans Pro" w:hAnsi="EC Square Sans Pro" w:cs="Times New Roman"/>
      <w:b/>
      <w:color w:val="0B6192"/>
      <w:sz w:val="24"/>
      <w:szCs w:val="20"/>
    </w:rPr>
  </w:style>
  <w:style w:type="character" w:customStyle="1" w:styleId="Heading4Char">
    <w:name w:val="Heading 4 Char"/>
    <w:basedOn w:val="DefaultParagraphFont"/>
    <w:link w:val="Heading4"/>
    <w:rPr>
      <w:rFonts w:ascii="EC Square Sans Pro" w:eastAsia="Times New Roman" w:hAnsi="EC Square Sans Pro" w:cs="Times New Roman"/>
      <w:b/>
      <w:color w:val="0B6192"/>
      <w:sz w:val="24"/>
      <w:szCs w:val="20"/>
      <w:lang w:val="en-US"/>
    </w:rPr>
  </w:style>
  <w:style w:type="character" w:customStyle="1" w:styleId="ListParagraphChar">
    <w:name w:val="List Paragraph Char"/>
    <w:aliases w:val="List Paragraph1 Char,Table of contents numbered Char,F5 List Paragraph Char,Normal bullet 2 Char,Bullet list Char,Numbered List Char,1st level - Bullet List Paragraph Char,Lettre d'introduction Char,Paragrafo elenco Char,Dot pt Char"/>
    <w:link w:val="ListParagraph"/>
    <w:uiPriority w:val="34"/>
    <w:qFormat/>
    <w:locked/>
  </w:style>
  <w:style w:type="character" w:customStyle="1" w:styleId="bumpedfont15">
    <w:name w:val="bumpedfont15"/>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EC Square Sans Pro" w:hAnsi="EC Square Sans Pro"/>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EC Square Sans Pro" w:hAnsi="EC Square Sans Pro"/>
      <w:b/>
      <w:bCs/>
      <w:sz w:val="20"/>
      <w:szCs w:val="20"/>
    </w:rPr>
  </w:style>
  <w:style w:type="paragraph" w:styleId="FootnoteText">
    <w:name w:val="footnote text"/>
    <w:aliases w:val="a_Fußnotentext,Schriftart: 9 pt,Schriftart: 10 pt,Schriftart: 8 pt,WB-Fußnotentext,stile 1,Alaviitteen teksti Char,Alaviitteen teksti Char Char Char Char Char,Märk,Fußnotentext arial,Footnote Text Char2,Footnote Text Char1 Char,Fußnote,ft"/>
    <w:basedOn w:val="Normal"/>
    <w:link w:val="FootnoteTextChar"/>
    <w:uiPriority w:val="99"/>
    <w:unhideWhenUsed/>
    <w:qFormat/>
    <w:rPr>
      <w:sz w:val="20"/>
      <w:szCs w:val="20"/>
    </w:rPr>
  </w:style>
  <w:style w:type="character" w:customStyle="1" w:styleId="FootnoteTextChar">
    <w:name w:val="Footnote Text Char"/>
    <w:aliases w:val="a_Fußnotentext Char,Schriftart: 9 pt Char,Schriftart: 10 pt Char,Schriftart: 8 pt Char,WB-Fußnotentext Char,stile 1 Char,Alaviitteen teksti Char Char,Alaviitteen teksti Char Char Char Char Char Char,Märk Char,Fußnotentext arial Char"/>
    <w:basedOn w:val="DefaultParagraphFont"/>
    <w:link w:val="FootnoteText"/>
    <w:uiPriority w:val="99"/>
    <w:qFormat/>
    <w:rPr>
      <w:sz w:val="20"/>
      <w:szCs w:val="20"/>
    </w:rPr>
  </w:style>
  <w:style w:type="character" w:styleId="FootnoteReference">
    <w:name w:val="footnote reference"/>
    <w:aliases w:val="Odwołanie przypisu,Footnote symbol,Footnote Reference_LVL6,Footnote Reference_LVL61,Footnote Reference_LVL62,Footnote Reference_LVL63,Footnote Reference_LVL64,Footnote Reference_LVL65,Footnote Reference Number,SUPERS,BVI fnr, BVI fnr"/>
    <w:basedOn w:val="DefaultParagraphFont"/>
    <w:link w:val="Odwo0142anieprzypisu"/>
    <w:uiPriority w:val="99"/>
    <w:unhideWhenUsed/>
    <w:qFormat/>
    <w:rPr>
      <w:vertAlign w:val="superscript"/>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Odwo0142anieprzypisu">
    <w:name w:val="Odwo&lt;0142&gt;anie przypisu"/>
    <w:aliases w:val="SUPER,BVI fnr Char1 Char,fr"/>
    <w:basedOn w:val="Normal"/>
    <w:link w:val="FootnoteReference"/>
    <w:uiPriority w:val="99"/>
    <w:pPr>
      <w:spacing w:after="160" w:line="240" w:lineRule="exact"/>
    </w:pPr>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yperlink1">
    <w:name w:val="Hyperlink1"/>
    <w:basedOn w:val="DefaultParagraphFont"/>
    <w:uiPriority w:val="99"/>
    <w:unhideWhenUsed/>
    <w:rPr>
      <w:color w:val="0000FF"/>
      <w:u w:val="single"/>
    </w:rPr>
  </w:style>
  <w:style w:type="paragraph" w:customStyle="1" w:styleId="Body1">
    <w:name w:val="Body 1"/>
    <w:pPr>
      <w:suppressAutoHyphens/>
      <w:overflowPunct w:val="0"/>
      <w:spacing w:after="240" w:line="240" w:lineRule="auto"/>
      <w:jc w:val="both"/>
      <w:outlineLvl w:val="0"/>
    </w:pPr>
    <w:rPr>
      <w:rFonts w:ascii="Times New Roman" w:eastAsia="Arial Unicode MS" w:hAnsi="Times New Roman" w:cs="Times New Roman"/>
      <w:color w:val="000000"/>
      <w:sz w:val="24"/>
      <w:szCs w:val="20"/>
      <w:lang w:eastAsia="en-GB"/>
    </w:rPr>
  </w:style>
  <w:style w:type="character" w:customStyle="1" w:styleId="footnotereference0">
    <w:name w:val="footnotereference"/>
    <w:basedOn w:val="DefaultParagraphFont"/>
  </w:style>
  <w:style w:type="character" w:customStyle="1" w:styleId="Heading5Char">
    <w:name w:val="Heading 5 Char"/>
    <w:basedOn w:val="DefaultParagraphFont"/>
    <w:link w:val="Heading5"/>
    <w:uiPriority w:val="9"/>
    <w:rPr>
      <w:rFonts w:ascii="EC Square Sans Pro" w:eastAsiaTheme="majorEastAsia" w:hAnsi="EC Square Sans Pro" w:cstheme="majorBidi"/>
      <w:b/>
      <w:color w:val="365F91" w:themeColor="accent1" w:themeShade="BF"/>
      <w:sz w:val="24"/>
    </w:rPr>
  </w:style>
  <w:style w:type="paragraph" w:styleId="TOCHeading">
    <w:name w:val="TOC Heading"/>
    <w:basedOn w:val="Heading1"/>
    <w:next w:val="Normal"/>
    <w:uiPriority w:val="39"/>
    <w:unhideWhenUsed/>
    <w:qFormat/>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Cs w:val="32"/>
      <w:lang w:val="en-US"/>
    </w:rPr>
  </w:style>
  <w:style w:type="paragraph" w:styleId="TOC1">
    <w:name w:val="toc 1"/>
    <w:basedOn w:val="Normal"/>
    <w:next w:val="Normal"/>
    <w:autoRedefine/>
    <w:uiPriority w:val="39"/>
    <w:unhideWhenUsed/>
    <w:pPr>
      <w:tabs>
        <w:tab w:val="left" w:pos="480"/>
        <w:tab w:val="right" w:leader="dot" w:pos="9062"/>
      </w:tabs>
      <w:spacing w:before="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paragraph" w:styleId="Caption">
    <w:name w:val="caption"/>
    <w:basedOn w:val="Normal"/>
    <w:next w:val="Normal"/>
    <w:uiPriority w:val="35"/>
    <w:semiHidden/>
    <w:pPr>
      <w:spacing w:before="0" w:after="200"/>
      <w:jc w:val="left"/>
    </w:pPr>
    <w:rPr>
      <w:rFonts w:ascii="Arial" w:hAnsi="Arial" w:cs="Arial"/>
      <w:i/>
      <w:iCs/>
      <w:color w:val="1F497D" w:themeColor="text2"/>
      <w:sz w:val="18"/>
      <w:szCs w:val="18"/>
    </w:rPr>
  </w:style>
  <w:style w:type="paragraph" w:customStyle="1" w:styleId="Source">
    <w:name w:val="Source"/>
    <w:basedOn w:val="Normal"/>
    <w:link w:val="SourceTegn"/>
    <w:qFormat/>
    <w:locked/>
    <w:pPr>
      <w:spacing w:before="40"/>
      <w:ind w:left="850" w:hanging="680"/>
      <w:jc w:val="left"/>
    </w:pPr>
    <w:rPr>
      <w:rFonts w:ascii="Arial" w:eastAsia="Calibri" w:hAnsi="Arial" w:cs="Times New Roman"/>
      <w:sz w:val="16"/>
      <w:lang w:eastAsia="en-GB"/>
    </w:rPr>
  </w:style>
  <w:style w:type="character" w:customStyle="1" w:styleId="SourceTegn">
    <w:name w:val="Source Tegn"/>
    <w:basedOn w:val="DefaultParagraphFont"/>
    <w:link w:val="Source"/>
    <w:rPr>
      <w:rFonts w:ascii="Arial" w:eastAsia="Calibri" w:hAnsi="Arial" w:cs="Times New Roman"/>
      <w:sz w:val="16"/>
      <w:lang w:eastAsia="en-GB"/>
    </w:rPr>
  </w:style>
  <w:style w:type="paragraph" w:customStyle="1" w:styleId="Bibliographytext">
    <w:name w:val="Bibliography text"/>
    <w:basedOn w:val="Normal"/>
    <w:locked/>
    <w:pPr>
      <w:spacing w:before="0" w:after="60" w:line="280" w:lineRule="exact"/>
      <w:ind w:left="454" w:hanging="454"/>
    </w:pPr>
    <w:rPr>
      <w:rFonts w:ascii="Arial" w:eastAsia="Times New Roman" w:hAnsi="Arial" w:cs="Times New Roman"/>
      <w:sz w:val="22"/>
      <w:lang w:eastAsia="en-GB"/>
    </w:rPr>
  </w:style>
  <w:style w:type="character" w:customStyle="1" w:styleId="rightside">
    <w:name w:val="right_side"/>
    <w:basedOn w:val="DefaultParagraphFont"/>
  </w:style>
  <w:style w:type="character" w:customStyle="1" w:styleId="leaf">
    <w:name w:val="leaf"/>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before="0" w:after="160" w:line="240" w:lineRule="exact"/>
    </w:pPr>
    <w:rPr>
      <w:rFonts w:ascii="Times New Roman" w:eastAsia="Times New Roman" w:hAnsi="Times New Roman" w:cs="Times New Roman"/>
      <w:sz w:val="20"/>
      <w:szCs w:val="20"/>
      <w:vertAlign w:val="superscript"/>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pPr>
    <w:rPr>
      <w:rFonts w:ascii="Times New Roman" w:hAnsi="Times New Roman"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before="0" w:after="120"/>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before="0"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after="120"/>
    </w:pPr>
    <w:rPr>
      <w:rFonts w:ascii="Times New Roman" w:hAnsi="Times New Roman" w:cs="Times New Roman"/>
    </w:rPr>
  </w:style>
  <w:style w:type="paragraph" w:customStyle="1" w:styleId="SecurityMarking">
    <w:name w:val="SecurityMarking"/>
    <w:basedOn w:val="Normal"/>
    <w:pPr>
      <w:spacing w:before="0" w:line="276" w:lineRule="auto"/>
      <w:ind w:left="5103"/>
      <w:jc w:val="left"/>
    </w:pPr>
    <w:rPr>
      <w:rFonts w:ascii="Times New Roman" w:hAnsi="Times New Roman" w:cs="Times New Roman"/>
      <w:sz w:val="28"/>
    </w:rPr>
  </w:style>
  <w:style w:type="paragraph" w:customStyle="1" w:styleId="DateMarking">
    <w:name w:val="DateMarking"/>
    <w:basedOn w:val="Normal"/>
    <w:pPr>
      <w:spacing w:before="0" w:line="276" w:lineRule="auto"/>
      <w:ind w:left="5103"/>
      <w:jc w:val="left"/>
    </w:pPr>
    <w:rPr>
      <w:rFonts w:ascii="Times New Roman" w:hAnsi="Times New Roman" w:cs="Times New Roman"/>
      <w:i/>
      <w:sz w:val="28"/>
    </w:rPr>
  </w:style>
  <w:style w:type="paragraph" w:customStyle="1" w:styleId="ReleasableTo">
    <w:name w:val="ReleasableTo"/>
    <w:basedOn w:val="Normal"/>
    <w:pPr>
      <w:spacing w:before="0" w:line="276" w:lineRule="auto"/>
      <w:ind w:left="5103"/>
      <w:jc w:val="left"/>
    </w:pPr>
    <w:rPr>
      <w:rFonts w:ascii="Times New Roman" w:hAnsi="Times New Roman" w:cs="Times New Roman"/>
      <w:i/>
      <w:sz w:val="28"/>
    </w:rPr>
  </w:style>
  <w:style w:type="paragraph" w:styleId="Revision">
    <w:name w:val="Revision"/>
    <w:hidden/>
    <w:uiPriority w:val="99"/>
    <w:semiHidden/>
    <w:pPr>
      <w:spacing w:after="0" w:line="240" w:lineRule="auto"/>
    </w:pPr>
    <w:rPr>
      <w:rFonts w:ascii="EC Square Sans Pro" w:hAnsi="EC Square Sans Pro"/>
      <w:sz w:val="24"/>
    </w:rPr>
  </w:style>
  <w:style w:type="paragraph" w:customStyle="1" w:styleId="NumPar1">
    <w:name w:val="NumPar 1"/>
    <w:basedOn w:val="Normal"/>
    <w:next w:val="Normal"/>
    <w:pPr>
      <w:tabs>
        <w:tab w:val="num" w:pos="850"/>
      </w:tabs>
      <w:spacing w:after="120"/>
      <w:ind w:left="850" w:hanging="850"/>
    </w:pPr>
    <w:rPr>
      <w:rFonts w:ascii="Times New Roman" w:hAnsi="Times New Roman" w:cs="Times New Roman"/>
    </w:rPr>
  </w:style>
  <w:style w:type="paragraph" w:customStyle="1" w:styleId="NumPar2">
    <w:name w:val="NumPar 2"/>
    <w:basedOn w:val="Normal"/>
    <w:next w:val="Normal"/>
    <w:pPr>
      <w:tabs>
        <w:tab w:val="num" w:pos="850"/>
      </w:tabs>
      <w:spacing w:after="120"/>
      <w:ind w:left="850" w:hanging="850"/>
    </w:pPr>
    <w:rPr>
      <w:rFonts w:ascii="Times New Roman" w:hAnsi="Times New Roman" w:cs="Times New Roman"/>
    </w:rPr>
  </w:style>
  <w:style w:type="paragraph" w:customStyle="1" w:styleId="NumPar3">
    <w:name w:val="NumPar 3"/>
    <w:basedOn w:val="Normal"/>
    <w:next w:val="Normal"/>
    <w:pPr>
      <w:tabs>
        <w:tab w:val="num" w:pos="850"/>
      </w:tabs>
      <w:spacing w:after="120"/>
      <w:ind w:left="850" w:hanging="850"/>
    </w:pPr>
    <w:rPr>
      <w:rFonts w:ascii="Times New Roman" w:hAnsi="Times New Roman" w:cs="Times New Roman"/>
    </w:rPr>
  </w:style>
  <w:style w:type="paragraph" w:customStyle="1" w:styleId="NumPar4">
    <w:name w:val="NumPar 4"/>
    <w:basedOn w:val="Normal"/>
    <w:next w:val="Normal"/>
    <w:pPr>
      <w:tabs>
        <w:tab w:val="num" w:pos="850"/>
      </w:tabs>
      <w:spacing w:after="120"/>
      <w:ind w:left="850" w:hanging="850"/>
    </w:pPr>
    <w:rPr>
      <w:rFonts w:ascii="Times New Roman" w:hAnsi="Times New Roman" w:cs="Times New Roman"/>
    </w:rPr>
  </w:style>
  <w:style w:type="paragraph" w:customStyle="1" w:styleId="Bullet0">
    <w:name w:val="Bullet 0"/>
    <w:basedOn w:val="Normal"/>
    <w:pPr>
      <w:numPr>
        <w:numId w:val="49"/>
      </w:numPr>
      <w:spacing w:after="120"/>
    </w:pPr>
    <w:rPr>
      <w:rFonts w:ascii="Times New Roman" w:hAnsi="Times New Roman" w:cs="Times New Roman"/>
    </w:rPr>
  </w:style>
  <w:style w:type="paragraph" w:customStyle="1" w:styleId="Point0number">
    <w:name w:val="Point 0 (number)"/>
    <w:basedOn w:val="Normal"/>
    <w:pPr>
      <w:numPr>
        <w:numId w:val="51"/>
      </w:numPr>
      <w:spacing w:after="120"/>
    </w:pPr>
    <w:rPr>
      <w:rFonts w:ascii="Times New Roman" w:hAnsi="Times New Roman" w:cs="Times New Roman"/>
    </w:rPr>
  </w:style>
  <w:style w:type="paragraph" w:customStyle="1" w:styleId="Point1number">
    <w:name w:val="Point 1 (number)"/>
    <w:basedOn w:val="Normal"/>
    <w:pPr>
      <w:numPr>
        <w:ilvl w:val="2"/>
        <w:numId w:val="51"/>
      </w:numPr>
      <w:spacing w:after="120"/>
    </w:pPr>
    <w:rPr>
      <w:rFonts w:ascii="Times New Roman" w:hAnsi="Times New Roman" w:cs="Times New Roman"/>
    </w:rPr>
  </w:style>
  <w:style w:type="paragraph" w:customStyle="1" w:styleId="Point2number">
    <w:name w:val="Point 2 (number)"/>
    <w:basedOn w:val="Normal"/>
    <w:pPr>
      <w:numPr>
        <w:ilvl w:val="4"/>
        <w:numId w:val="51"/>
      </w:numPr>
      <w:spacing w:after="120"/>
    </w:pPr>
    <w:rPr>
      <w:rFonts w:ascii="Times New Roman" w:hAnsi="Times New Roman" w:cs="Times New Roman"/>
    </w:rPr>
  </w:style>
  <w:style w:type="paragraph" w:customStyle="1" w:styleId="Point3number">
    <w:name w:val="Point 3 (number)"/>
    <w:basedOn w:val="Normal"/>
    <w:pPr>
      <w:numPr>
        <w:ilvl w:val="6"/>
        <w:numId w:val="51"/>
      </w:numPr>
      <w:spacing w:after="120"/>
    </w:pPr>
    <w:rPr>
      <w:rFonts w:ascii="Times New Roman" w:hAnsi="Times New Roman" w:cs="Times New Roman"/>
    </w:rPr>
  </w:style>
  <w:style w:type="paragraph" w:customStyle="1" w:styleId="Point0letter">
    <w:name w:val="Point 0 (letter)"/>
    <w:basedOn w:val="Normal"/>
    <w:pPr>
      <w:numPr>
        <w:ilvl w:val="1"/>
        <w:numId w:val="51"/>
      </w:numPr>
      <w:spacing w:after="120"/>
    </w:pPr>
    <w:rPr>
      <w:rFonts w:ascii="Times New Roman" w:hAnsi="Times New Roman" w:cs="Times New Roman"/>
    </w:rPr>
  </w:style>
  <w:style w:type="paragraph" w:customStyle="1" w:styleId="Point1letter">
    <w:name w:val="Point 1 (letter)"/>
    <w:basedOn w:val="Normal"/>
    <w:pPr>
      <w:numPr>
        <w:ilvl w:val="3"/>
        <w:numId w:val="51"/>
      </w:numPr>
      <w:spacing w:after="120"/>
    </w:pPr>
    <w:rPr>
      <w:rFonts w:ascii="Times New Roman" w:hAnsi="Times New Roman" w:cs="Times New Roman"/>
    </w:rPr>
  </w:style>
  <w:style w:type="paragraph" w:customStyle="1" w:styleId="Point2letter">
    <w:name w:val="Point 2 (letter)"/>
    <w:basedOn w:val="Normal"/>
    <w:pPr>
      <w:numPr>
        <w:ilvl w:val="5"/>
        <w:numId w:val="51"/>
      </w:numPr>
      <w:spacing w:after="120"/>
    </w:pPr>
    <w:rPr>
      <w:rFonts w:ascii="Times New Roman" w:hAnsi="Times New Roman" w:cs="Times New Roman"/>
    </w:rPr>
  </w:style>
  <w:style w:type="paragraph" w:customStyle="1" w:styleId="Point3letter">
    <w:name w:val="Point 3 (letter)"/>
    <w:basedOn w:val="Normal"/>
    <w:pPr>
      <w:numPr>
        <w:ilvl w:val="7"/>
        <w:numId w:val="51"/>
      </w:numPr>
      <w:spacing w:after="120"/>
    </w:pPr>
    <w:rPr>
      <w:rFonts w:ascii="Times New Roman" w:hAnsi="Times New Roman" w:cs="Times New Roman"/>
    </w:rPr>
  </w:style>
  <w:style w:type="paragraph" w:customStyle="1" w:styleId="Point4letter">
    <w:name w:val="Point 4 (letter)"/>
    <w:basedOn w:val="Normal"/>
    <w:pPr>
      <w:numPr>
        <w:ilvl w:val="8"/>
        <w:numId w:val="51"/>
      </w:numPr>
      <w:spacing w:after="120"/>
    </w:pPr>
    <w:rPr>
      <w:rFonts w:ascii="Times New Roman" w:hAnsi="Times New Roman" w:cs="Times New Roman"/>
    </w:rPr>
  </w:style>
  <w:style w:type="paragraph" w:styleId="NormalWeb">
    <w:name w:val="Normal (Web)"/>
    <w:basedOn w:val="Normal"/>
    <w:uiPriority w:val="99"/>
    <w:semiHidden/>
    <w:unhideWhenUsed/>
    <w:rPr>
      <w:rFonts w:ascii="Times New Roman" w:hAnsi="Times New Roman" w:cs="Times New Roman"/>
      <w:szCs w:val="24"/>
    </w:rPr>
  </w:style>
  <w:style w:type="paragraph" w:customStyle="1" w:styleId="Tiret0">
    <w:name w:val="Tiret 0"/>
    <w:basedOn w:val="Normal"/>
    <w:pPr>
      <w:numPr>
        <w:numId w:val="57"/>
      </w:numPr>
      <w:spacing w:after="1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194">
      <w:bodyDiv w:val="1"/>
      <w:marLeft w:val="0"/>
      <w:marRight w:val="0"/>
      <w:marTop w:val="0"/>
      <w:marBottom w:val="0"/>
      <w:divBdr>
        <w:top w:val="none" w:sz="0" w:space="0" w:color="auto"/>
        <w:left w:val="none" w:sz="0" w:space="0" w:color="auto"/>
        <w:bottom w:val="none" w:sz="0" w:space="0" w:color="auto"/>
        <w:right w:val="none" w:sz="0" w:space="0" w:color="auto"/>
      </w:divBdr>
    </w:div>
    <w:div w:id="377776285">
      <w:bodyDiv w:val="1"/>
      <w:marLeft w:val="0"/>
      <w:marRight w:val="0"/>
      <w:marTop w:val="0"/>
      <w:marBottom w:val="0"/>
      <w:divBdr>
        <w:top w:val="none" w:sz="0" w:space="0" w:color="auto"/>
        <w:left w:val="none" w:sz="0" w:space="0" w:color="auto"/>
        <w:bottom w:val="none" w:sz="0" w:space="0" w:color="auto"/>
        <w:right w:val="none" w:sz="0" w:space="0" w:color="auto"/>
      </w:divBdr>
    </w:div>
    <w:div w:id="487093650">
      <w:bodyDiv w:val="1"/>
      <w:marLeft w:val="0"/>
      <w:marRight w:val="0"/>
      <w:marTop w:val="0"/>
      <w:marBottom w:val="0"/>
      <w:divBdr>
        <w:top w:val="none" w:sz="0" w:space="0" w:color="auto"/>
        <w:left w:val="none" w:sz="0" w:space="0" w:color="auto"/>
        <w:bottom w:val="none" w:sz="0" w:space="0" w:color="auto"/>
        <w:right w:val="none" w:sz="0" w:space="0" w:color="auto"/>
      </w:divBdr>
    </w:div>
    <w:div w:id="794718230">
      <w:bodyDiv w:val="1"/>
      <w:marLeft w:val="0"/>
      <w:marRight w:val="0"/>
      <w:marTop w:val="0"/>
      <w:marBottom w:val="0"/>
      <w:divBdr>
        <w:top w:val="none" w:sz="0" w:space="0" w:color="auto"/>
        <w:left w:val="none" w:sz="0" w:space="0" w:color="auto"/>
        <w:bottom w:val="none" w:sz="0" w:space="0" w:color="auto"/>
        <w:right w:val="none" w:sz="0" w:space="0" w:color="auto"/>
      </w:divBdr>
    </w:div>
    <w:div w:id="861825560">
      <w:bodyDiv w:val="1"/>
      <w:marLeft w:val="0"/>
      <w:marRight w:val="0"/>
      <w:marTop w:val="0"/>
      <w:marBottom w:val="0"/>
      <w:divBdr>
        <w:top w:val="none" w:sz="0" w:space="0" w:color="auto"/>
        <w:left w:val="none" w:sz="0" w:space="0" w:color="auto"/>
        <w:bottom w:val="none" w:sz="0" w:space="0" w:color="auto"/>
        <w:right w:val="none" w:sz="0" w:space="0" w:color="auto"/>
      </w:divBdr>
    </w:div>
    <w:div w:id="867178056">
      <w:bodyDiv w:val="1"/>
      <w:marLeft w:val="0"/>
      <w:marRight w:val="0"/>
      <w:marTop w:val="0"/>
      <w:marBottom w:val="0"/>
      <w:divBdr>
        <w:top w:val="none" w:sz="0" w:space="0" w:color="auto"/>
        <w:left w:val="none" w:sz="0" w:space="0" w:color="auto"/>
        <w:bottom w:val="none" w:sz="0" w:space="0" w:color="auto"/>
        <w:right w:val="none" w:sz="0" w:space="0" w:color="auto"/>
      </w:divBdr>
    </w:div>
    <w:div w:id="987900657">
      <w:bodyDiv w:val="1"/>
      <w:marLeft w:val="0"/>
      <w:marRight w:val="0"/>
      <w:marTop w:val="0"/>
      <w:marBottom w:val="0"/>
      <w:divBdr>
        <w:top w:val="none" w:sz="0" w:space="0" w:color="auto"/>
        <w:left w:val="none" w:sz="0" w:space="0" w:color="auto"/>
        <w:bottom w:val="none" w:sz="0" w:space="0" w:color="auto"/>
        <w:right w:val="none" w:sz="0" w:space="0" w:color="auto"/>
      </w:divBdr>
    </w:div>
    <w:div w:id="1017269530">
      <w:bodyDiv w:val="1"/>
      <w:marLeft w:val="0"/>
      <w:marRight w:val="0"/>
      <w:marTop w:val="0"/>
      <w:marBottom w:val="0"/>
      <w:divBdr>
        <w:top w:val="none" w:sz="0" w:space="0" w:color="auto"/>
        <w:left w:val="none" w:sz="0" w:space="0" w:color="auto"/>
        <w:bottom w:val="none" w:sz="0" w:space="0" w:color="auto"/>
        <w:right w:val="none" w:sz="0" w:space="0" w:color="auto"/>
      </w:divBdr>
    </w:div>
    <w:div w:id="1057557399">
      <w:bodyDiv w:val="1"/>
      <w:marLeft w:val="0"/>
      <w:marRight w:val="0"/>
      <w:marTop w:val="0"/>
      <w:marBottom w:val="0"/>
      <w:divBdr>
        <w:top w:val="none" w:sz="0" w:space="0" w:color="auto"/>
        <w:left w:val="none" w:sz="0" w:space="0" w:color="auto"/>
        <w:bottom w:val="none" w:sz="0" w:space="0" w:color="auto"/>
        <w:right w:val="none" w:sz="0" w:space="0" w:color="auto"/>
      </w:divBdr>
    </w:div>
    <w:div w:id="1074668470">
      <w:bodyDiv w:val="1"/>
      <w:marLeft w:val="0"/>
      <w:marRight w:val="0"/>
      <w:marTop w:val="0"/>
      <w:marBottom w:val="0"/>
      <w:divBdr>
        <w:top w:val="none" w:sz="0" w:space="0" w:color="auto"/>
        <w:left w:val="none" w:sz="0" w:space="0" w:color="auto"/>
        <w:bottom w:val="none" w:sz="0" w:space="0" w:color="auto"/>
        <w:right w:val="none" w:sz="0" w:space="0" w:color="auto"/>
      </w:divBdr>
    </w:div>
    <w:div w:id="1533029635">
      <w:bodyDiv w:val="1"/>
      <w:marLeft w:val="0"/>
      <w:marRight w:val="0"/>
      <w:marTop w:val="0"/>
      <w:marBottom w:val="0"/>
      <w:divBdr>
        <w:top w:val="none" w:sz="0" w:space="0" w:color="auto"/>
        <w:left w:val="none" w:sz="0" w:space="0" w:color="auto"/>
        <w:bottom w:val="none" w:sz="0" w:space="0" w:color="auto"/>
        <w:right w:val="none" w:sz="0" w:space="0" w:color="auto"/>
      </w:divBdr>
    </w:div>
    <w:div w:id="1863935064">
      <w:bodyDiv w:val="1"/>
      <w:marLeft w:val="0"/>
      <w:marRight w:val="0"/>
      <w:marTop w:val="0"/>
      <w:marBottom w:val="0"/>
      <w:divBdr>
        <w:top w:val="none" w:sz="0" w:space="0" w:color="auto"/>
        <w:left w:val="none" w:sz="0" w:space="0" w:color="auto"/>
        <w:bottom w:val="none" w:sz="0" w:space="0" w:color="auto"/>
        <w:right w:val="none" w:sz="0" w:space="0" w:color="auto"/>
      </w:divBdr>
    </w:div>
    <w:div w:id="2022780647">
      <w:bodyDiv w:val="1"/>
      <w:marLeft w:val="0"/>
      <w:marRight w:val="0"/>
      <w:marTop w:val="0"/>
      <w:marBottom w:val="0"/>
      <w:divBdr>
        <w:top w:val="none" w:sz="0" w:space="0" w:color="auto"/>
        <w:left w:val="none" w:sz="0" w:space="0" w:color="auto"/>
        <w:bottom w:val="none" w:sz="0" w:space="0" w:color="auto"/>
        <w:right w:val="none" w:sz="0" w:space="0" w:color="auto"/>
      </w:divBdr>
    </w:div>
    <w:div w:id="21385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image" Target="media/image2.gif"/><Relationship Id="rId39" Type="http://schemas.openxmlformats.org/officeDocument/2006/relationships/hyperlink" Target="https://op.europa.eu/en/publication-detail/-/publication/205aa0ac-460d-11e9-a8ed-01aa75ed71a1/language-en" TargetMode="External"/><Relationship Id="rId21" Type="http://schemas.openxmlformats.org/officeDocument/2006/relationships/hyperlink" Target="https://appsso.eurostat.ec.europa.eu/nui/show.do?dataset=edat_lfs_9914&amp;lang=en" TargetMode="External"/><Relationship Id="rId34" Type="http://schemas.openxmlformats.org/officeDocument/2006/relationships/hyperlink" Target="file://\\net1.cec.eu.int\REGIO\Public\G1%20-%20Competence%20Centre%20Smart%20and%20Sustainable%20Growth\smart%20growth\05%20Smart%20matrix\2018%20Smart%20Matrix%20meetings\20180913\Useful%20material%20for%20the%20input%20paper\The%20establishment%20of%20Centres%20of%20Vocational%20Excellence,%20supporting%20the%20provision%20of%20high%20quality%20technical%20and%20specific%20vocational%20skills%20has%20been%20announced%20in%202018%20Commission%20communication%20COM(2018)%20268%20final%20https:\ec.europa.eu\education\sites\education\files\combuildingastrongereurope_en_act_part1_v7.pdf" TargetMode="External"/><Relationship Id="rId42" Type="http://schemas.openxmlformats.org/officeDocument/2006/relationships/hyperlink" Target="http://eur-lex.europa.eu/legal-content/en/ALL/?uri=CELEX:52017DC0376" TargetMode="External"/><Relationship Id="rId47" Type="http://schemas.openxmlformats.org/officeDocument/2006/relationships/hyperlink" Target="https://eacea.ec.europa.eu/erasmus-plus/funding/sector-skills-alliances-2019_en" TargetMode="External"/><Relationship Id="rId50" Type="http://schemas.openxmlformats.org/officeDocument/2006/relationships/hyperlink" Target="http://www.euprovet.eu" TargetMode="External"/><Relationship Id="rId55" Type="http://schemas.openxmlformats.org/officeDocument/2006/relationships/chart" Target="charts/chart8.xml"/><Relationship Id="rId63" Type="http://schemas.openxmlformats.org/officeDocument/2006/relationships/footer" Target="footer4.xml"/><Relationship Id="rId68" Type="http://schemas.openxmlformats.org/officeDocument/2006/relationships/theme" Target="theme/theme1.xml"/><Relationship Id="rId76"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image" Target="media/image4.png"/><Relationship Id="rId37" Type="http://schemas.openxmlformats.org/officeDocument/2006/relationships/hyperlink" Target="http://www.cedefop.europa.eu/en/events-and-projects/projects/changing-nature-and-role-vocational-education-and-training-vet-europe" TargetMode="External"/><Relationship Id="rId40" Type="http://schemas.openxmlformats.org/officeDocument/2006/relationships/hyperlink" Target="http://europa.eu/rapid/press-release_IP-12-1233_en.htm" TargetMode="External"/><Relationship Id="rId45" Type="http://schemas.openxmlformats.org/officeDocument/2006/relationships/hyperlink" Target="https://ec.europa.eu/docsroom/documents/36468/attachments/1/translations/en/renditions/native" TargetMode="External"/><Relationship Id="rId53" Type="http://schemas.openxmlformats.org/officeDocument/2006/relationships/hyperlink" Target="http://www.eurashe.eu/" TargetMode="External"/><Relationship Id="rId58" Type="http://schemas.openxmlformats.org/officeDocument/2006/relationships/hyperlink" Target="https://appsso.eurostat.ec.europa.eu/nui/show.do?dataset=educ_uoe_grad01&amp;lang=en" TargetMode="Externa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ec.europa.eu/social/BlobServlet?docId=22211&amp;langId=en" TargetMode="External"/><Relationship Id="rId23" Type="http://schemas.openxmlformats.org/officeDocument/2006/relationships/hyperlink" Target="https://appsso.eurostat.ec.europa.eu/nui/show.do?dataset=educ_uoe_enrs04&amp;lang=en" TargetMode="External"/><Relationship Id="rId28" Type="http://schemas.openxmlformats.org/officeDocument/2006/relationships/hyperlink" Target="https://appsso.eurostat.ec.europa.eu/nui/show.do?dataset=edat_lfse_24&amp;lang=en" TargetMode="External"/><Relationship Id="rId36" Type="http://schemas.openxmlformats.org/officeDocument/2006/relationships/hyperlink" Target="https://ec.europa.eu/social/vocational-skills-week/fight-against-covid-19_en" TargetMode="External"/><Relationship Id="rId49" Type="http://schemas.openxmlformats.org/officeDocument/2006/relationships/hyperlink" Target="https://www.efvet.org/" TargetMode="External"/><Relationship Id="rId57" Type="http://schemas.openxmlformats.org/officeDocument/2006/relationships/chart" Target="charts/chart9.xm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skillspanorama.cedefop.europa.eu/en/analytical_highlights/skills-forecast-key-eu-trends-2030%20" TargetMode="External"/><Relationship Id="rId31" Type="http://schemas.openxmlformats.org/officeDocument/2006/relationships/hyperlink" Target="http://eur-lex.europa.eu/LexUriServ/LexUriServ.do?uri=OJ:C:2018:153:0001:0006:EN:PDF" TargetMode="External"/><Relationship Id="rId44" Type="http://schemas.openxmlformats.org/officeDocument/2006/relationships/hyperlink" Target="https://ec.europa.eu/social/BlobServlet?docId=20479&amp;langId=en" TargetMode="External"/><Relationship Id="rId52" Type="http://schemas.openxmlformats.org/officeDocument/2006/relationships/hyperlink" Target="http://www.evta.eu" TargetMode="External"/><Relationship Id="rId60" Type="http://schemas.openxmlformats.org/officeDocument/2006/relationships/hyperlink" Target="https://appsso.eurostat.ec.europa.eu/nui/show.do?dataset=edat_lfse_24&amp;lang=en" TargetMode="External"/><Relationship Id="rId65"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image" Target="media/image3.png"/><Relationship Id="rId35" Type="http://schemas.openxmlformats.org/officeDocument/2006/relationships/hyperlink" Target="https://ec.europa.eu/social/BlobServlet?docId=20479&amp;langId=en" TargetMode="External"/><Relationship Id="rId43" Type="http://schemas.openxmlformats.org/officeDocument/2006/relationships/hyperlink" Target="https://eur-lex.europa.eu/legal-content/EN/TXT/?uri=CELEX:52018DC0268" TargetMode="External"/><Relationship Id="rId48" Type="http://schemas.openxmlformats.org/officeDocument/2006/relationships/hyperlink" Target="https://eacea.ec.europa.eu/erasmus-plus/funding/ka3-centers-of-vocational-excellence_en" TargetMode="External"/><Relationship Id="rId56" Type="http://schemas.openxmlformats.org/officeDocument/2006/relationships/hyperlink" Target="https://appsso.eurostat.ec.europa.eu/nui/show.do?dataset=educ_uoe_grad01&amp;lang=en" TargetMode="External"/><Relationship Id="rId64" Type="http://schemas.openxmlformats.org/officeDocument/2006/relationships/footer" Target="footer5.xml"/><Relationship Id="rId77" Type="http://schemas.microsoft.com/office/2018/08/relationships/commentsExtensible" Target="commentsExtensible.xml"/><Relationship Id="rId8" Type="http://schemas.openxmlformats.org/officeDocument/2006/relationships/image" Target="media/image1.emf"/><Relationship Id="rId51" Type="http://schemas.openxmlformats.org/officeDocument/2006/relationships/hyperlink" Target="http://evbb.e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appsso.eurostat.ec.europa.eu/nui/show.do?dataset=lfsa_egais&amp;lang=en" TargetMode="External"/><Relationship Id="rId25" Type="http://schemas.openxmlformats.org/officeDocument/2006/relationships/hyperlink" Target="https://appsso.eurostat.ec.europa.eu/nui/show.do?dataset=edat_lfs_9914&amp;lang=en" TargetMode="External"/><Relationship Id="rId33" Type="http://schemas.openxmlformats.org/officeDocument/2006/relationships/image" Target="cid:image002.png@01D5B74B.B0D077A0" TargetMode="External"/><Relationship Id="rId38" Type="http://schemas.openxmlformats.org/officeDocument/2006/relationships/hyperlink" Target="https://ec.europa.eu/social/main.jsp?catId=738&amp;langId=en&amp;pubId=8216&amp;furtherPubs=yes" TargetMode="External"/><Relationship Id="rId46" Type="http://schemas.openxmlformats.org/officeDocument/2006/relationships/hyperlink" Target="https://publications.jrc.ec.europa.eu/repository/bitstream/JRC117481/makerspaces_2034_education.pdf" TargetMode="External"/><Relationship Id="rId59" Type="http://schemas.openxmlformats.org/officeDocument/2006/relationships/chart" Target="charts/chart10.xml"/><Relationship Id="rId67" Type="http://schemas.openxmlformats.org/officeDocument/2006/relationships/fontTable" Target="fontTable.xml"/><Relationship Id="rId20" Type="http://schemas.openxmlformats.org/officeDocument/2006/relationships/chart" Target="charts/chart3.xml"/><Relationship Id="rId41" Type="http://schemas.openxmlformats.org/officeDocument/2006/relationships/hyperlink" Target="http://eur-lex.europa.eu/legal-content/EN/TXT/PDF/?uri=CELEX:52012SC0375&amp;qid=1524048254255&amp;from=EN" TargetMode="External"/><Relationship Id="rId54" Type="http://schemas.openxmlformats.org/officeDocument/2006/relationships/hyperlink" Target="http://www.eucen.eu/" TargetMode="External"/><Relationship Id="rId62"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cedefop.europa.eu/en/publications-and-resources/country-reports/vet-policy-developments" TargetMode="External"/><Relationship Id="rId13" Type="http://schemas.openxmlformats.org/officeDocument/2006/relationships/hyperlink" Target="https://www.cedefop.europa.eu/en/events-and-projects/projects/assisting-eu-countries-skills-matching" TargetMode="External"/><Relationship Id="rId18" Type="http://schemas.openxmlformats.org/officeDocument/2006/relationships/hyperlink" Target="https://www.cedefop.europa.eu/en/events-and-projects/projects/national-qualifications-framework-nqf" TargetMode="External"/><Relationship Id="rId26" Type="http://schemas.openxmlformats.org/officeDocument/2006/relationships/hyperlink" Target="https://ec.europa.eu/social/main.jsp?catId=738&amp;langId=en&amp;pubId=8250&amp;furtherPubs=yes" TargetMode="External"/><Relationship Id="rId39" Type="http://schemas.openxmlformats.org/officeDocument/2006/relationships/hyperlink" Target="https://eur-lex.europa.eu/legal-content/EN/TXT/?uri=uriserv:OJ.LI.2019.261.01.0001.01.ENG" TargetMode="External"/><Relationship Id="rId3" Type="http://schemas.openxmlformats.org/officeDocument/2006/relationships/hyperlink" Target="https://www.izm.gov.lv/images/RigaConclusions_2015.pdf" TargetMode="External"/><Relationship Id="rId21" Type="http://schemas.openxmlformats.org/officeDocument/2006/relationships/hyperlink" Target="http://www.cedefop.europa.eu/en/publications-and-resources/publications/5562" TargetMode="External"/><Relationship Id="rId34" Type="http://schemas.openxmlformats.org/officeDocument/2006/relationships/hyperlink" Target="https://tknika.eus/en/" TargetMode="External"/><Relationship Id="rId7" Type="http://schemas.openxmlformats.org/officeDocument/2006/relationships/hyperlink" Target="https://www.cedefop.europa.eu/en/publications-and-resources/country-reports/vet-policy-developments" TargetMode="External"/><Relationship Id="rId12" Type="http://schemas.openxmlformats.org/officeDocument/2006/relationships/hyperlink" Target="https://www.cedefop.europa.eu/en/publications-and-resources/country-reports/vet-policy-developments" TargetMode="External"/><Relationship Id="rId17" Type="http://schemas.openxmlformats.org/officeDocument/2006/relationships/hyperlink" Target="https://www.cedefop.europa.eu/en/publications-and-resources/country-reports/vet-policy-developments" TargetMode="External"/><Relationship Id="rId25" Type="http://schemas.openxmlformats.org/officeDocument/2006/relationships/hyperlink" Target="https://www.cedefop.europa.eu/en/events-and-projects/projects/changing-nature-and-role-vocational-education-and-training-vet-europe" TargetMode="External"/><Relationship Id="rId33" Type="http://schemas.openxmlformats.org/officeDocument/2006/relationships/hyperlink" Target="https://www.wijzijnkatapult.nl/english/" TargetMode="External"/><Relationship Id="rId38" Type="http://schemas.openxmlformats.org/officeDocument/2006/relationships/hyperlink" Target="https://www.vta.vic.edu.au/docman-sortable-list/952-doing-applied-research-in-tafes-an-introductory-guide-2/file" TargetMode="External"/><Relationship Id="rId2" Type="http://schemas.openxmlformats.org/officeDocument/2006/relationships/hyperlink" Target="https://www.cedefop.europa.eu/en/content/bruges-communique" TargetMode="External"/><Relationship Id="rId16" Type="http://schemas.openxmlformats.org/officeDocument/2006/relationships/hyperlink" Target="https://www.cedefop.europa.eu/en/publications-and-resources/country-reports/vet-policy-developments" TargetMode="External"/><Relationship Id="rId20" Type="http://schemas.openxmlformats.org/officeDocument/2006/relationships/hyperlink" Target="https://www.cedefop.europa.eu/en/events-and-projects/projects/validation-non-formal-and-informal-learning/european-inventory" TargetMode="External"/><Relationship Id="rId29" Type="http://schemas.openxmlformats.org/officeDocument/2006/relationships/hyperlink" Target="http://s3platform.jrc.ec.europa.eu/what-is-smart-specialisation-" TargetMode="External"/><Relationship Id="rId1" Type="http://schemas.openxmlformats.org/officeDocument/2006/relationships/hyperlink" Target="https://www.cedefop.europa.eu/files/cedefop_community_apprenticeship_experts_synthesis_how_are_european_countries_managing_apprenticeships_to_respond_to_the_coronavirus_crisis.pdf" TargetMode="External"/><Relationship Id="rId6" Type="http://schemas.openxmlformats.org/officeDocument/2006/relationships/hyperlink" Target="https://ec.europa.eu/esco/portal/home" TargetMode="External"/><Relationship Id="rId11" Type="http://schemas.openxmlformats.org/officeDocument/2006/relationships/hyperlink" Target="https://www.cedefop.europa.eu/en/publications-and-resources/country-reports/vet-policy-developments" TargetMode="External"/><Relationship Id="rId24" Type="http://schemas.openxmlformats.org/officeDocument/2006/relationships/hyperlink" Target="http://www.cedefop.europa.eu/en/events-and-projects/projects/changing-nature-and-role-vocational-education-and-training-vet-europe" TargetMode="External"/><Relationship Id="rId32" Type="http://schemas.openxmlformats.org/officeDocument/2006/relationships/hyperlink" Target="https://econpapers.repec.org/bookchap/elgeebook/13482.htm" TargetMode="External"/><Relationship Id="rId37" Type="http://schemas.openxmlformats.org/officeDocument/2006/relationships/hyperlink" Target="https://www.collegesinstitutes.ca/policyfocus/applied-research/" TargetMode="External"/><Relationship Id="rId40" Type="http://schemas.openxmlformats.org/officeDocument/2006/relationships/hyperlink" Target="https://www.consilium.europa.eu/uedocs/cms_data/docs/pressdata/en/educ/126380.pdf" TargetMode="External"/><Relationship Id="rId5" Type="http://schemas.openxmlformats.org/officeDocument/2006/relationships/hyperlink" Target="https://eur-lex.europa.eu/legal-content/EN/TXT/?uri=CELEX%3A32017H0615%2801%29" TargetMode="External"/><Relationship Id="rId15" Type="http://schemas.openxmlformats.org/officeDocument/2006/relationships/hyperlink" Target="https://www.cedefop.europa.eu/en/publications-and-resources/country-reports/vet-policy-developments" TargetMode="External"/><Relationship Id="rId23" Type="http://schemas.openxmlformats.org/officeDocument/2006/relationships/hyperlink" Target="https://www.cedefop.europa.eu/fr/news-and-press/news/how-european-countries-manage-apprenticeships-respond-coronavirus-crisis" TargetMode="External"/><Relationship Id="rId28" Type="http://schemas.openxmlformats.org/officeDocument/2006/relationships/hyperlink" Target="https://stats.oecd.org/glossary/detail.asp?ID=6865" TargetMode="External"/><Relationship Id="rId36" Type="http://schemas.openxmlformats.org/officeDocument/2006/relationships/hyperlink" Target="http://www.rocmn.nl/up" TargetMode="External"/><Relationship Id="rId10" Type="http://schemas.openxmlformats.org/officeDocument/2006/relationships/hyperlink" Target="https://www.cedefop.europa.eu/en/publications-and-resources/country-reports/vet-policy-developments" TargetMode="External"/><Relationship Id="rId19" Type="http://schemas.openxmlformats.org/officeDocument/2006/relationships/hyperlink" Target="https://www.cedefop.europa.eu/en/publications-and-resources/country-reports/vet-policy-developments" TargetMode="External"/><Relationship Id="rId31" Type="http://schemas.openxmlformats.org/officeDocument/2006/relationships/hyperlink" Target="https://www.sitra.fi/en/articles/vesa-harmaakorpi-finnish-innovation-policy-utilising-4-or-96-finnish-innovation/" TargetMode="External"/><Relationship Id="rId4" Type="http://schemas.openxmlformats.org/officeDocument/2006/relationships/hyperlink" Target="https://eur-lex.europa.eu/legal-content/EN/TXT/?uri=CELEX%3A32018H0502%2801%29" TargetMode="External"/><Relationship Id="rId9" Type="http://schemas.openxmlformats.org/officeDocument/2006/relationships/hyperlink" Target="https://www.cedefop.europa.eu/en/events-and-projects/projects/apprenticeships-work-based-learning" TargetMode="External"/><Relationship Id="rId14" Type="http://schemas.openxmlformats.org/officeDocument/2006/relationships/hyperlink" Target="https://www.cedefop.europa.eu/en/publications-and-resources/country-reports/vet-policy-developments" TargetMode="External"/><Relationship Id="rId22" Type="http://schemas.openxmlformats.org/officeDocument/2006/relationships/hyperlink" Target="https://www.cedefop.europa.eu/en/publications-and-resources/country-reports/vet-policy-developments" TargetMode="External"/><Relationship Id="rId27" Type="http://schemas.openxmlformats.org/officeDocument/2006/relationships/hyperlink" Target="http://www.oecd.org/cfe/regional-policy/regionaldevelopment.htm" TargetMode="External"/><Relationship Id="rId30" Type="http://schemas.openxmlformats.org/officeDocument/2006/relationships/hyperlink" Target="https://eur-lex.europa.eu/legal-content/EN/TXT/PDF/?uri=CELEX:32018H0604(01)&amp;from=EN" TargetMode="External"/><Relationship Id="rId35" Type="http://schemas.openxmlformats.org/officeDocument/2006/relationships/hyperlink" Target="http://s3platform.jrc.ec.europa.eu/s3-thematic-platform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kmoma\AppData\Local\Temp\1\lfsa_egai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ekmoma\AppData\Local\Temp\1\edat_lfse_24.xls"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NET1.cec.eu.int\HOMES\109\sekmoma\Desktop\SWD%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ET1.cec.eu.int\HOMES\109\sekmoma\Desktop\SWD%20data%20final.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109\sekmoma\Desktop\SWD%20data%20final.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ekmoma\AppData\Local\Temp\edat_lfse_24.xls"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NET1.cec.eu.int\HOMES\109\sekmoma\Desktop\SWD%20data%20final.xls"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Jobs!$N$13</c:f>
              <c:strCache>
                <c:ptCount val="1"/>
                <c:pt idx="0">
                  <c:v>Low qualification</c:v>
                </c:pt>
              </c:strCache>
            </c:strRef>
          </c:tx>
          <c:spPr>
            <a:solidFill>
              <a:srgbClr val="00B050"/>
            </a:solidFill>
            <a:ln>
              <a:solidFill>
                <a:srgbClr val="00B050"/>
              </a:solidFill>
            </a:ln>
            <a:effectLst/>
          </c:spPr>
          <c:invertIfNegative val="0"/>
          <c:cat>
            <c:strRef>
              <c:f>Jobs!$M$14:$M$41</c:f>
              <c:strCache>
                <c:ptCount val="28"/>
                <c:pt idx="0">
                  <c:v>EU27</c:v>
                </c:pt>
                <c:pt idx="1">
                  <c:v>Belgium</c:v>
                </c:pt>
                <c:pt idx="2">
                  <c:v>Bulgaria</c:v>
                </c:pt>
                <c:pt idx="3">
                  <c:v>Czechia</c:v>
                </c:pt>
                <c:pt idx="4">
                  <c:v>Denmark</c:v>
                </c:pt>
                <c:pt idx="5">
                  <c:v>Germany</c:v>
                </c:pt>
                <c:pt idx="6">
                  <c:v>Estonia</c:v>
                </c:pt>
                <c:pt idx="7">
                  <c:v>Ireland</c:v>
                </c:pt>
                <c:pt idx="8">
                  <c:v>Greece</c:v>
                </c:pt>
                <c:pt idx="9">
                  <c:v>Spain</c:v>
                </c:pt>
                <c:pt idx="10">
                  <c:v>France</c:v>
                </c:pt>
                <c:pt idx="11">
                  <c:v>Croatia</c:v>
                </c:pt>
                <c:pt idx="12">
                  <c:v>Italy</c:v>
                </c:pt>
                <c:pt idx="13">
                  <c:v>Cyprus</c:v>
                </c:pt>
                <c:pt idx="14">
                  <c:v>Latvia</c:v>
                </c:pt>
                <c:pt idx="15">
                  <c:v>Lithuania</c:v>
                </c:pt>
                <c:pt idx="16">
                  <c:v>Luxembourg</c:v>
                </c:pt>
                <c:pt idx="17">
                  <c:v>Hungary</c:v>
                </c:pt>
                <c:pt idx="18">
                  <c:v>Malta</c:v>
                </c:pt>
                <c:pt idx="19">
                  <c:v>Netherlands</c:v>
                </c:pt>
                <c:pt idx="20">
                  <c:v>Austria</c:v>
                </c:pt>
                <c:pt idx="21">
                  <c:v>Poland</c:v>
                </c:pt>
                <c:pt idx="22">
                  <c:v>Portugal</c:v>
                </c:pt>
                <c:pt idx="23">
                  <c:v>Romania</c:v>
                </c:pt>
                <c:pt idx="24">
                  <c:v>Slovenia</c:v>
                </c:pt>
                <c:pt idx="25">
                  <c:v>Slovakia</c:v>
                </c:pt>
                <c:pt idx="26">
                  <c:v>Finland</c:v>
                </c:pt>
                <c:pt idx="27">
                  <c:v>Sweden</c:v>
                </c:pt>
              </c:strCache>
            </c:strRef>
          </c:cat>
          <c:val>
            <c:numRef>
              <c:f>Jobs!$N$14:$N$41</c:f>
              <c:numCache>
                <c:formatCode>0%</c:formatCode>
                <c:ptCount val="28"/>
                <c:pt idx="0">
                  <c:v>9.0301795708766328E-2</c:v>
                </c:pt>
                <c:pt idx="1">
                  <c:v>9.6245863282814439E-2</c:v>
                </c:pt>
                <c:pt idx="2">
                  <c:v>0.11311944091486659</c:v>
                </c:pt>
                <c:pt idx="3">
                  <c:v>5.4120587789728829E-2</c:v>
                </c:pt>
                <c:pt idx="4">
                  <c:v>0.10267273946968894</c:v>
                </c:pt>
                <c:pt idx="5">
                  <c:v>7.781441085702237E-2</c:v>
                </c:pt>
                <c:pt idx="6">
                  <c:v>8.1089213178877684E-2</c:v>
                </c:pt>
                <c:pt idx="7">
                  <c:v>8.4112565678154769E-2</c:v>
                </c:pt>
                <c:pt idx="8">
                  <c:v>6.8417198451720895E-2</c:v>
                </c:pt>
                <c:pt idx="9">
                  <c:v>0.12856462401888707</c:v>
                </c:pt>
                <c:pt idx="10">
                  <c:v>9.8098426984543047E-2</c:v>
                </c:pt>
                <c:pt idx="11">
                  <c:v>7.833989700090882E-2</c:v>
                </c:pt>
                <c:pt idx="12">
                  <c:v>0.11072271144257109</c:v>
                </c:pt>
                <c:pt idx="13">
                  <c:v>0.13293202909455731</c:v>
                </c:pt>
                <c:pt idx="14">
                  <c:v>0.12744666813283484</c:v>
                </c:pt>
                <c:pt idx="15">
                  <c:v>9.0337210152878364E-2</c:v>
                </c:pt>
                <c:pt idx="16">
                  <c:v>8.0143112701252225E-2</c:v>
                </c:pt>
                <c:pt idx="17">
                  <c:v>9.7952791139948536E-2</c:v>
                </c:pt>
                <c:pt idx="18">
                  <c:v>8.1058378832423353E-2</c:v>
                </c:pt>
                <c:pt idx="19">
                  <c:v>8.7036298364579184E-2</c:v>
                </c:pt>
                <c:pt idx="20">
                  <c:v>8.2483329073630901E-2</c:v>
                </c:pt>
                <c:pt idx="21">
                  <c:v>6.1100477015161185E-2</c:v>
                </c:pt>
                <c:pt idx="22">
                  <c:v>0.10028742814296426</c:v>
                </c:pt>
                <c:pt idx="23">
                  <c:v>9.4826494791966393E-2</c:v>
                </c:pt>
                <c:pt idx="24">
                  <c:v>7.042686047701914E-2</c:v>
                </c:pt>
                <c:pt idx="25">
                  <c:v>7.8548317935524109E-2</c:v>
                </c:pt>
                <c:pt idx="26">
                  <c:v>6.0868538131422491E-2</c:v>
                </c:pt>
                <c:pt idx="27">
                  <c:v>4.6632530947756649E-2</c:v>
                </c:pt>
              </c:numCache>
            </c:numRef>
          </c:val>
          <c:extLst>
            <c:ext xmlns:c16="http://schemas.microsoft.com/office/drawing/2014/chart" uri="{C3380CC4-5D6E-409C-BE32-E72D297353CC}">
              <c16:uniqueId val="{00000000-FDF1-4A6D-918C-C9959613A7E0}"/>
            </c:ext>
          </c:extLst>
        </c:ser>
        <c:ser>
          <c:idx val="1"/>
          <c:order val="1"/>
          <c:tx>
            <c:strRef>
              <c:f>Jobs!$O$13</c:f>
              <c:strCache>
                <c:ptCount val="1"/>
                <c:pt idx="0">
                  <c:v>Medium qualification</c:v>
                </c:pt>
              </c:strCache>
            </c:strRef>
          </c:tx>
          <c:spPr>
            <a:solidFill>
              <a:srgbClr val="C00000"/>
            </a:solidFill>
            <a:ln>
              <a:solidFill>
                <a:srgbClr val="C00000"/>
              </a:solidFill>
            </a:ln>
            <a:effectLst/>
          </c:spPr>
          <c:invertIfNegative val="0"/>
          <c:cat>
            <c:strRef>
              <c:f>Jobs!$M$14:$M$41</c:f>
              <c:strCache>
                <c:ptCount val="28"/>
                <c:pt idx="0">
                  <c:v>EU27</c:v>
                </c:pt>
                <c:pt idx="1">
                  <c:v>Belgium</c:v>
                </c:pt>
                <c:pt idx="2">
                  <c:v>Bulgaria</c:v>
                </c:pt>
                <c:pt idx="3">
                  <c:v>Czechia</c:v>
                </c:pt>
                <c:pt idx="4">
                  <c:v>Denmark</c:v>
                </c:pt>
                <c:pt idx="5">
                  <c:v>Germany</c:v>
                </c:pt>
                <c:pt idx="6">
                  <c:v>Estonia</c:v>
                </c:pt>
                <c:pt idx="7">
                  <c:v>Ireland</c:v>
                </c:pt>
                <c:pt idx="8">
                  <c:v>Greece</c:v>
                </c:pt>
                <c:pt idx="9">
                  <c:v>Spain</c:v>
                </c:pt>
                <c:pt idx="10">
                  <c:v>France</c:v>
                </c:pt>
                <c:pt idx="11">
                  <c:v>Croatia</c:v>
                </c:pt>
                <c:pt idx="12">
                  <c:v>Italy</c:v>
                </c:pt>
                <c:pt idx="13">
                  <c:v>Cyprus</c:v>
                </c:pt>
                <c:pt idx="14">
                  <c:v>Latvia</c:v>
                </c:pt>
                <c:pt idx="15">
                  <c:v>Lithuania</c:v>
                </c:pt>
                <c:pt idx="16">
                  <c:v>Luxembourg</c:v>
                </c:pt>
                <c:pt idx="17">
                  <c:v>Hungary</c:v>
                </c:pt>
                <c:pt idx="18">
                  <c:v>Malta</c:v>
                </c:pt>
                <c:pt idx="19">
                  <c:v>Netherlands</c:v>
                </c:pt>
                <c:pt idx="20">
                  <c:v>Austria</c:v>
                </c:pt>
                <c:pt idx="21">
                  <c:v>Poland</c:v>
                </c:pt>
                <c:pt idx="22">
                  <c:v>Portugal</c:v>
                </c:pt>
                <c:pt idx="23">
                  <c:v>Romania</c:v>
                </c:pt>
                <c:pt idx="24">
                  <c:v>Slovenia</c:v>
                </c:pt>
                <c:pt idx="25">
                  <c:v>Slovakia</c:v>
                </c:pt>
                <c:pt idx="26">
                  <c:v>Finland</c:v>
                </c:pt>
                <c:pt idx="27">
                  <c:v>Sweden</c:v>
                </c:pt>
              </c:strCache>
            </c:strRef>
          </c:cat>
          <c:val>
            <c:numRef>
              <c:f>Jobs!$O$14:$O$41</c:f>
              <c:numCache>
                <c:formatCode>0%</c:formatCode>
                <c:ptCount val="28"/>
                <c:pt idx="0">
                  <c:v>0.49606657162990742</c:v>
                </c:pt>
                <c:pt idx="1">
                  <c:v>0.4257498787968213</c:v>
                </c:pt>
                <c:pt idx="2">
                  <c:v>0.56378653113087673</c:v>
                </c:pt>
                <c:pt idx="3">
                  <c:v>0.56330480230268132</c:v>
                </c:pt>
                <c:pt idx="4">
                  <c:v>0.40472407583942382</c:v>
                </c:pt>
                <c:pt idx="5">
                  <c:v>0.46496482585443472</c:v>
                </c:pt>
                <c:pt idx="6">
                  <c:v>0.44185346772980288</c:v>
                </c:pt>
                <c:pt idx="7">
                  <c:v>0.47150235996081563</c:v>
                </c:pt>
                <c:pt idx="8">
                  <c:v>0.61418558426613667</c:v>
                </c:pt>
                <c:pt idx="9">
                  <c:v>0.53324911466854441</c:v>
                </c:pt>
                <c:pt idx="10">
                  <c:v>0.43314961182216549</c:v>
                </c:pt>
                <c:pt idx="11">
                  <c:v>0.54207815813389881</c:v>
                </c:pt>
                <c:pt idx="12">
                  <c:v>0.51542988497800657</c:v>
                </c:pt>
                <c:pt idx="13">
                  <c:v>0.48858791070980684</c:v>
                </c:pt>
                <c:pt idx="14">
                  <c:v>0.45722454365515725</c:v>
                </c:pt>
                <c:pt idx="15">
                  <c:v>0.48511447589788609</c:v>
                </c:pt>
                <c:pt idx="16">
                  <c:v>0.30053667262969591</c:v>
                </c:pt>
                <c:pt idx="17">
                  <c:v>0.55505090054815975</c:v>
                </c:pt>
                <c:pt idx="18">
                  <c:v>0.47333053338933223</c:v>
                </c:pt>
                <c:pt idx="19">
                  <c:v>0.41990996637985073</c:v>
                </c:pt>
                <c:pt idx="20">
                  <c:v>0.49559701665930905</c:v>
                </c:pt>
                <c:pt idx="21">
                  <c:v>0.53155895846625956</c:v>
                </c:pt>
                <c:pt idx="22">
                  <c:v>0.53317920519870032</c:v>
                </c:pt>
                <c:pt idx="23">
                  <c:v>0.66417678540599656</c:v>
                </c:pt>
                <c:pt idx="24">
                  <c:v>0.48705087521752477</c:v>
                </c:pt>
                <c:pt idx="25">
                  <c:v>0.5901843838927221</c:v>
                </c:pt>
                <c:pt idx="26">
                  <c:v>0.45639592109925586</c:v>
                </c:pt>
                <c:pt idx="27">
                  <c:v>0.41549447746846369</c:v>
                </c:pt>
              </c:numCache>
            </c:numRef>
          </c:val>
          <c:extLst>
            <c:ext xmlns:c16="http://schemas.microsoft.com/office/drawing/2014/chart" uri="{C3380CC4-5D6E-409C-BE32-E72D297353CC}">
              <c16:uniqueId val="{00000001-FDF1-4A6D-918C-C9959613A7E0}"/>
            </c:ext>
          </c:extLst>
        </c:ser>
        <c:ser>
          <c:idx val="2"/>
          <c:order val="2"/>
          <c:tx>
            <c:strRef>
              <c:f>Jobs!$P$13</c:f>
              <c:strCache>
                <c:ptCount val="1"/>
                <c:pt idx="0">
                  <c:v>High qualification</c:v>
                </c:pt>
              </c:strCache>
            </c:strRef>
          </c:tx>
          <c:spPr>
            <a:solidFill>
              <a:srgbClr val="0070C0"/>
            </a:solidFill>
            <a:ln>
              <a:solidFill>
                <a:srgbClr val="0070C0"/>
              </a:solidFill>
            </a:ln>
            <a:effectLst/>
          </c:spPr>
          <c:invertIfNegative val="0"/>
          <c:cat>
            <c:strRef>
              <c:f>Jobs!$M$14:$M$41</c:f>
              <c:strCache>
                <c:ptCount val="28"/>
                <c:pt idx="0">
                  <c:v>EU27</c:v>
                </c:pt>
                <c:pt idx="1">
                  <c:v>Belgium</c:v>
                </c:pt>
                <c:pt idx="2">
                  <c:v>Bulgaria</c:v>
                </c:pt>
                <c:pt idx="3">
                  <c:v>Czechia</c:v>
                </c:pt>
                <c:pt idx="4">
                  <c:v>Denmark</c:v>
                </c:pt>
                <c:pt idx="5">
                  <c:v>Germany</c:v>
                </c:pt>
                <c:pt idx="6">
                  <c:v>Estonia</c:v>
                </c:pt>
                <c:pt idx="7">
                  <c:v>Ireland</c:v>
                </c:pt>
                <c:pt idx="8">
                  <c:v>Greece</c:v>
                </c:pt>
                <c:pt idx="9">
                  <c:v>Spain</c:v>
                </c:pt>
                <c:pt idx="10">
                  <c:v>France</c:v>
                </c:pt>
                <c:pt idx="11">
                  <c:v>Croatia</c:v>
                </c:pt>
                <c:pt idx="12">
                  <c:v>Italy</c:v>
                </c:pt>
                <c:pt idx="13">
                  <c:v>Cyprus</c:v>
                </c:pt>
                <c:pt idx="14">
                  <c:v>Latvia</c:v>
                </c:pt>
                <c:pt idx="15">
                  <c:v>Lithuania</c:v>
                </c:pt>
                <c:pt idx="16">
                  <c:v>Luxembourg</c:v>
                </c:pt>
                <c:pt idx="17">
                  <c:v>Hungary</c:v>
                </c:pt>
                <c:pt idx="18">
                  <c:v>Malta</c:v>
                </c:pt>
                <c:pt idx="19">
                  <c:v>Netherlands</c:v>
                </c:pt>
                <c:pt idx="20">
                  <c:v>Austria</c:v>
                </c:pt>
                <c:pt idx="21">
                  <c:v>Poland</c:v>
                </c:pt>
                <c:pt idx="22">
                  <c:v>Portugal</c:v>
                </c:pt>
                <c:pt idx="23">
                  <c:v>Romania</c:v>
                </c:pt>
                <c:pt idx="24">
                  <c:v>Slovenia</c:v>
                </c:pt>
                <c:pt idx="25">
                  <c:v>Slovakia</c:v>
                </c:pt>
                <c:pt idx="26">
                  <c:v>Finland</c:v>
                </c:pt>
                <c:pt idx="27">
                  <c:v>Sweden</c:v>
                </c:pt>
              </c:strCache>
            </c:strRef>
          </c:cat>
          <c:val>
            <c:numRef>
              <c:f>Jobs!$P$14:$P$41</c:f>
              <c:numCache>
                <c:formatCode>0%</c:formatCode>
                <c:ptCount val="28"/>
                <c:pt idx="0">
                  <c:v>0.40509958610411378</c:v>
                </c:pt>
                <c:pt idx="1">
                  <c:v>0.47283994856769451</c:v>
                </c:pt>
                <c:pt idx="2">
                  <c:v>0.3157878017789072</c:v>
                </c:pt>
                <c:pt idx="3">
                  <c:v>0.37965838509316768</c:v>
                </c:pt>
                <c:pt idx="4">
                  <c:v>0.48331744518589131</c:v>
                </c:pt>
                <c:pt idx="5">
                  <c:v>0.45178410550326831</c:v>
                </c:pt>
                <c:pt idx="6">
                  <c:v>0.47013690386640589</c:v>
                </c:pt>
                <c:pt idx="7">
                  <c:v>0.43525692403597827</c:v>
                </c:pt>
                <c:pt idx="8">
                  <c:v>0.30047599121246993</c:v>
                </c:pt>
                <c:pt idx="9">
                  <c:v>0.33248596930850954</c:v>
                </c:pt>
                <c:pt idx="10">
                  <c:v>0.45613018262631938</c:v>
                </c:pt>
                <c:pt idx="11">
                  <c:v>0.37116025446834294</c:v>
                </c:pt>
                <c:pt idx="12">
                  <c:v>0.36332604543844033</c:v>
                </c:pt>
                <c:pt idx="13">
                  <c:v>0.35615751191371958</c:v>
                </c:pt>
                <c:pt idx="14">
                  <c:v>0.4066417418077854</c:v>
                </c:pt>
                <c:pt idx="15">
                  <c:v>0.42096408455855461</c:v>
                </c:pt>
                <c:pt idx="16">
                  <c:v>0.57674418604651156</c:v>
                </c:pt>
                <c:pt idx="17">
                  <c:v>0.34411007942722899</c:v>
                </c:pt>
                <c:pt idx="18">
                  <c:v>0.43805123897522041</c:v>
                </c:pt>
                <c:pt idx="19">
                  <c:v>0.47648299048378823</c:v>
                </c:pt>
                <c:pt idx="20">
                  <c:v>0.41913148539696554</c:v>
                </c:pt>
                <c:pt idx="21">
                  <c:v>0.39482271442894901</c:v>
                </c:pt>
                <c:pt idx="22">
                  <c:v>0.36149296009331</c:v>
                </c:pt>
                <c:pt idx="23">
                  <c:v>0.2329746216262876</c:v>
                </c:pt>
                <c:pt idx="24">
                  <c:v>0.4269628416419286</c:v>
                </c:pt>
                <c:pt idx="25">
                  <c:v>0.32577086500604219</c:v>
                </c:pt>
                <c:pt idx="26">
                  <c:v>0.47805031694161187</c:v>
                </c:pt>
                <c:pt idx="27">
                  <c:v>0.53340003531281255</c:v>
                </c:pt>
              </c:numCache>
            </c:numRef>
          </c:val>
          <c:extLst>
            <c:ext xmlns:c16="http://schemas.microsoft.com/office/drawing/2014/chart" uri="{C3380CC4-5D6E-409C-BE32-E72D297353CC}">
              <c16:uniqueId val="{00000002-FDF1-4A6D-918C-C9959613A7E0}"/>
            </c:ext>
          </c:extLst>
        </c:ser>
        <c:dLbls>
          <c:showLegendKey val="0"/>
          <c:showVal val="0"/>
          <c:showCatName val="0"/>
          <c:showSerName val="0"/>
          <c:showPercent val="0"/>
          <c:showBubbleSize val="0"/>
        </c:dLbls>
        <c:gapWidth val="150"/>
        <c:overlap val="100"/>
        <c:axId val="58280576"/>
        <c:axId val="58298752"/>
      </c:barChart>
      <c:catAx>
        <c:axId val="5828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8752"/>
        <c:crosses val="autoZero"/>
        <c:auto val="1"/>
        <c:lblAlgn val="ctr"/>
        <c:lblOffset val="100"/>
        <c:noMultiLvlLbl val="0"/>
      </c:catAx>
      <c:valAx>
        <c:axId val="58298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80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Data!$B$13</c:f>
              <c:strCache>
                <c:ptCount val="1"/>
                <c:pt idx="0">
                  <c:v>2018</c:v>
                </c:pt>
              </c:strCache>
            </c:strRef>
          </c:tx>
          <c:spPr>
            <a:solidFill>
              <a:srgbClr val="7030A0"/>
            </a:solidFill>
            <a:ln>
              <a:noFill/>
            </a:ln>
            <a:effectLst/>
          </c:spPr>
          <c:invertIfNegative val="0"/>
          <c:cat>
            <c:strRef>
              <c:f>Data!$A$14:$A$42</c:f>
              <c:strCache>
                <c:ptCount val="29"/>
                <c:pt idx="0">
                  <c:v>EU27</c:v>
                </c:pt>
                <c:pt idx="2">
                  <c:v>Luxembourg</c:v>
                </c:pt>
                <c:pt idx="3">
                  <c:v>Germany</c:v>
                </c:pt>
                <c:pt idx="4">
                  <c:v>Malta</c:v>
                </c:pt>
                <c:pt idx="5">
                  <c:v>Sweden</c:v>
                </c:pt>
                <c:pt idx="6">
                  <c:v>Netherlands</c:v>
                </c:pt>
                <c:pt idx="7">
                  <c:v>Czechia</c:v>
                </c:pt>
                <c:pt idx="8">
                  <c:v>Austria</c:v>
                </c:pt>
                <c:pt idx="9">
                  <c:v>Hungary</c:v>
                </c:pt>
                <c:pt idx="10">
                  <c:v>Denmark</c:v>
                </c:pt>
                <c:pt idx="11">
                  <c:v>Slovakia</c:v>
                </c:pt>
                <c:pt idx="12">
                  <c:v>Slovenia</c:v>
                </c:pt>
                <c:pt idx="13">
                  <c:v>Lithuania</c:v>
                </c:pt>
                <c:pt idx="14">
                  <c:v>Finland</c:v>
                </c:pt>
                <c:pt idx="15">
                  <c:v>Poland</c:v>
                </c:pt>
                <c:pt idx="16">
                  <c:v>Portugal</c:v>
                </c:pt>
                <c:pt idx="17">
                  <c:v>Ireland</c:v>
                </c:pt>
                <c:pt idx="18">
                  <c:v>Belgium</c:v>
                </c:pt>
                <c:pt idx="19">
                  <c:v>Estonia</c:v>
                </c:pt>
                <c:pt idx="20">
                  <c:v>Latvia</c:v>
                </c:pt>
                <c:pt idx="21">
                  <c:v>France</c:v>
                </c:pt>
                <c:pt idx="22">
                  <c:v>Spain</c:v>
                </c:pt>
                <c:pt idx="23">
                  <c:v>Romania</c:v>
                </c:pt>
                <c:pt idx="24">
                  <c:v>Croatia</c:v>
                </c:pt>
                <c:pt idx="25">
                  <c:v>Cyprus</c:v>
                </c:pt>
                <c:pt idx="26">
                  <c:v>Bulgaria</c:v>
                </c:pt>
                <c:pt idx="27">
                  <c:v>Italy</c:v>
                </c:pt>
                <c:pt idx="28">
                  <c:v>Greece</c:v>
                </c:pt>
              </c:strCache>
            </c:strRef>
          </c:cat>
          <c:val>
            <c:numRef>
              <c:f>Data!$B$14:$B$42</c:f>
              <c:numCache>
                <c:formatCode>General</c:formatCode>
                <c:ptCount val="29"/>
                <c:pt idx="0" formatCode="#,##0.0">
                  <c:v>79</c:v>
                </c:pt>
                <c:pt idx="2" formatCode="#,##0.0">
                  <c:v>95.4</c:v>
                </c:pt>
                <c:pt idx="3" formatCode="#,##0.0">
                  <c:v>92.4</c:v>
                </c:pt>
                <c:pt idx="4" formatCode="#,##0.0">
                  <c:v>91</c:v>
                </c:pt>
                <c:pt idx="5" formatCode="#,##0.0">
                  <c:v>88</c:v>
                </c:pt>
                <c:pt idx="6" formatCode="#,##0.0">
                  <c:v>87.9</c:v>
                </c:pt>
                <c:pt idx="7" formatCode="#,##0.0">
                  <c:v>87.7</c:v>
                </c:pt>
                <c:pt idx="8" formatCode="#,##0.0">
                  <c:v>87.3</c:v>
                </c:pt>
                <c:pt idx="9" formatCode="#,##0.0">
                  <c:v>87.1</c:v>
                </c:pt>
                <c:pt idx="10" formatCode="#,##0.0">
                  <c:v>85.6</c:v>
                </c:pt>
                <c:pt idx="11" formatCode="#,##0.0">
                  <c:v>84.7</c:v>
                </c:pt>
                <c:pt idx="12" formatCode="#,##0.0">
                  <c:v>84.5</c:v>
                </c:pt>
                <c:pt idx="13" formatCode="#,##0.0">
                  <c:v>79.2</c:v>
                </c:pt>
                <c:pt idx="14" formatCode="#,##0.0">
                  <c:v>78.5</c:v>
                </c:pt>
                <c:pt idx="15" formatCode="#,##0.0">
                  <c:v>78.400000000000006</c:v>
                </c:pt>
                <c:pt idx="16" formatCode="#,##0.0">
                  <c:v>77.400000000000006</c:v>
                </c:pt>
                <c:pt idx="17" formatCode="#,##0.0">
                  <c:v>76.900000000000006</c:v>
                </c:pt>
                <c:pt idx="18" formatCode="#,##0.0">
                  <c:v>76.7</c:v>
                </c:pt>
                <c:pt idx="19" formatCode="#,##0.0">
                  <c:v>76.599999999999994</c:v>
                </c:pt>
                <c:pt idx="20" formatCode="#,##0.0">
                  <c:v>75.8</c:v>
                </c:pt>
                <c:pt idx="21" formatCode="#,##0.0">
                  <c:v>72.2</c:v>
                </c:pt>
                <c:pt idx="22" formatCode="#,##0.0">
                  <c:v>70</c:v>
                </c:pt>
                <c:pt idx="23" formatCode="#,##0.0">
                  <c:v>69</c:v>
                </c:pt>
                <c:pt idx="24" formatCode="#,##0.0">
                  <c:v>68.8</c:v>
                </c:pt>
                <c:pt idx="25" formatCode="#,##0.0">
                  <c:v>67.3</c:v>
                </c:pt>
                <c:pt idx="26" formatCode="#,##0.0">
                  <c:v>66.400000000000006</c:v>
                </c:pt>
                <c:pt idx="27" formatCode="#,##0.0">
                  <c:v>53.9</c:v>
                </c:pt>
                <c:pt idx="28" formatCode="#,##0.0">
                  <c:v>50.5</c:v>
                </c:pt>
              </c:numCache>
            </c:numRef>
          </c:val>
          <c:extLst>
            <c:ext xmlns:c16="http://schemas.microsoft.com/office/drawing/2014/chart" uri="{C3380CC4-5D6E-409C-BE32-E72D297353CC}">
              <c16:uniqueId val="{00000000-E0DC-4AF1-A0D0-FA4684EE2D7B}"/>
            </c:ext>
          </c:extLst>
        </c:ser>
        <c:dLbls>
          <c:showLegendKey val="0"/>
          <c:showVal val="0"/>
          <c:showCatName val="0"/>
          <c:showSerName val="0"/>
          <c:showPercent val="0"/>
          <c:showBubbleSize val="0"/>
        </c:dLbls>
        <c:gapWidth val="219"/>
        <c:overlap val="-27"/>
        <c:axId val="101273600"/>
        <c:axId val="101275136"/>
      </c:barChart>
      <c:catAx>
        <c:axId val="10127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75136"/>
        <c:crosses val="autoZero"/>
        <c:auto val="1"/>
        <c:lblAlgn val="ctr"/>
        <c:lblOffset val="100"/>
        <c:noMultiLvlLbl val="0"/>
      </c:catAx>
      <c:valAx>
        <c:axId val="1012751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7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B050"/>
            </a:solidFill>
          </c:spPr>
          <c:dPt>
            <c:idx val="0"/>
            <c:bubble3D val="0"/>
            <c:spPr>
              <a:solidFill>
                <a:srgbClr val="00B050"/>
              </a:solidFill>
              <a:ln w="19050">
                <a:solidFill>
                  <a:schemeClr val="lt1"/>
                </a:solidFill>
              </a:ln>
              <a:effectLst/>
            </c:spPr>
            <c:extLst>
              <c:ext xmlns:c16="http://schemas.microsoft.com/office/drawing/2014/chart" uri="{C3380CC4-5D6E-409C-BE32-E72D297353CC}">
                <c16:uniqueId val="{00000001-1D3A-4BC8-9108-98100F7724A9}"/>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D3A-4BC8-9108-98100F7724A9}"/>
              </c:ext>
            </c:extLst>
          </c:dPt>
          <c:dPt>
            <c:idx val="2"/>
            <c:bubble3D val="0"/>
            <c:spPr>
              <a:solidFill>
                <a:srgbClr val="0070C0"/>
              </a:solidFill>
              <a:ln w="19050">
                <a:solidFill>
                  <a:schemeClr val="lt1"/>
                </a:solidFill>
              </a:ln>
              <a:effectLst/>
            </c:spPr>
            <c:extLst>
              <c:ext xmlns:c16="http://schemas.microsoft.com/office/drawing/2014/chart" uri="{C3380CC4-5D6E-409C-BE32-E72D297353CC}">
                <c16:uniqueId val="{00000005-1D3A-4BC8-9108-98100F7724A9}"/>
              </c:ext>
            </c:extLst>
          </c:dPt>
          <c:dLbls>
            <c:dLbl>
              <c:idx val="0"/>
              <c:layout>
                <c:manualLayout>
                  <c:x val="7.3850612423447069E-3"/>
                  <c:y val="1.3129192184310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D3A-4BC8-9108-98100F7724A9}"/>
                </c:ext>
              </c:extLst>
            </c:dLbl>
            <c:dLbl>
              <c:idx val="1"/>
              <c:layout>
                <c:manualLayout>
                  <c:x val="1.0039260717410323E-2"/>
                  <c:y val="-7.924686497521142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D3A-4BC8-9108-98100F7724A9}"/>
                </c:ext>
              </c:extLst>
            </c:dLbl>
            <c:dLbl>
              <c:idx val="2"/>
              <c:layout>
                <c:manualLayout>
                  <c:x val="-1.0980205599300087E-2"/>
                  <c:y val="-3.86009040536599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D3A-4BC8-9108-98100F7724A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'Job openings'!$A$2:$A$4</c:f>
              <c:strCache>
                <c:ptCount val="3"/>
                <c:pt idx="0">
                  <c:v>Low qualification</c:v>
                </c:pt>
                <c:pt idx="1">
                  <c:v>Medium qualification</c:v>
                </c:pt>
                <c:pt idx="2">
                  <c:v>High qualification</c:v>
                </c:pt>
              </c:strCache>
            </c:strRef>
          </c:cat>
          <c:val>
            <c:numRef>
              <c:f>'Job openings'!$B$2:$B$4</c:f>
              <c:numCache>
                <c:formatCode>0%</c:formatCode>
                <c:ptCount val="3"/>
                <c:pt idx="0">
                  <c:v>0.11</c:v>
                </c:pt>
                <c:pt idx="1">
                  <c:v>0.46</c:v>
                </c:pt>
                <c:pt idx="2">
                  <c:v>0.43</c:v>
                </c:pt>
              </c:numCache>
            </c:numRef>
          </c:val>
          <c:extLst>
            <c:ext xmlns:c16="http://schemas.microsoft.com/office/drawing/2014/chart" uri="{C3380CC4-5D6E-409C-BE32-E72D297353CC}">
              <c16:uniqueId val="{00000006-1D3A-4BC8-9108-98100F7724A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Attainment!$B$12</c:f>
              <c:strCache>
                <c:ptCount val="1"/>
                <c:pt idx="0">
                  <c:v>Low</c:v>
                </c:pt>
              </c:strCache>
            </c:strRef>
          </c:tx>
          <c:spPr>
            <a:solidFill>
              <a:srgbClr val="0070C0"/>
            </a:solidFill>
            <a:ln>
              <a:noFill/>
            </a:ln>
            <a:effectLst/>
          </c:spPr>
          <c:invertIfNegative val="0"/>
          <c:cat>
            <c:strRef>
              <c:f>Attainment!$A$13:$A$40</c:f>
              <c:strCache>
                <c:ptCount val="28"/>
                <c:pt idx="0">
                  <c:v>EU27</c:v>
                </c:pt>
                <c:pt idx="1">
                  <c:v>Czechia</c:v>
                </c:pt>
                <c:pt idx="2">
                  <c:v>Croatia</c:v>
                </c:pt>
                <c:pt idx="3">
                  <c:v>Slovakia</c:v>
                </c:pt>
                <c:pt idx="4">
                  <c:v>Slovenia</c:v>
                </c:pt>
                <c:pt idx="5">
                  <c:v>Poland</c:v>
                </c:pt>
                <c:pt idx="6">
                  <c:v>Germany</c:v>
                </c:pt>
                <c:pt idx="7">
                  <c:v>Austria</c:v>
                </c:pt>
                <c:pt idx="8">
                  <c:v>Finland</c:v>
                </c:pt>
                <c:pt idx="9">
                  <c:v>Netherlands</c:v>
                </c:pt>
                <c:pt idx="10">
                  <c:v>Lithuania</c:v>
                </c:pt>
                <c:pt idx="11">
                  <c:v>France</c:v>
                </c:pt>
                <c:pt idx="12">
                  <c:v>Denmark</c:v>
                </c:pt>
                <c:pt idx="13">
                  <c:v>Belgium</c:v>
                </c:pt>
                <c:pt idx="14">
                  <c:v>Sweden</c:v>
                </c:pt>
                <c:pt idx="15">
                  <c:v>Ireland</c:v>
                </c:pt>
                <c:pt idx="16">
                  <c:v>Hungary</c:v>
                </c:pt>
                <c:pt idx="17">
                  <c:v>Estonia</c:v>
                </c:pt>
                <c:pt idx="18">
                  <c:v>Cyprus</c:v>
                </c:pt>
                <c:pt idx="19">
                  <c:v>Greece</c:v>
                </c:pt>
                <c:pt idx="20">
                  <c:v>Romania</c:v>
                </c:pt>
                <c:pt idx="21">
                  <c:v>Italy</c:v>
                </c:pt>
                <c:pt idx="22">
                  <c:v>Latvia</c:v>
                </c:pt>
                <c:pt idx="23">
                  <c:v>Luxembourg</c:v>
                </c:pt>
                <c:pt idx="24">
                  <c:v>Bulgaria</c:v>
                </c:pt>
                <c:pt idx="25">
                  <c:v>Spain</c:v>
                </c:pt>
                <c:pt idx="26">
                  <c:v>Portugal</c:v>
                </c:pt>
                <c:pt idx="27">
                  <c:v>Malta</c:v>
                </c:pt>
              </c:strCache>
            </c:strRef>
          </c:cat>
          <c:val>
            <c:numRef>
              <c:f>Attainment!$B$13:$B$40</c:f>
              <c:numCache>
                <c:formatCode>#,##0.0</c:formatCode>
                <c:ptCount val="28"/>
                <c:pt idx="0">
                  <c:v>16.7</c:v>
                </c:pt>
                <c:pt idx="1">
                  <c:v>5.7</c:v>
                </c:pt>
                <c:pt idx="2">
                  <c:v>6.8</c:v>
                </c:pt>
                <c:pt idx="3">
                  <c:v>8.3000000000000007</c:v>
                </c:pt>
                <c:pt idx="4">
                  <c:v>5.9</c:v>
                </c:pt>
                <c:pt idx="5">
                  <c:v>4.7</c:v>
                </c:pt>
                <c:pt idx="6">
                  <c:v>13</c:v>
                </c:pt>
                <c:pt idx="7">
                  <c:v>10.9</c:v>
                </c:pt>
                <c:pt idx="8">
                  <c:v>9</c:v>
                </c:pt>
                <c:pt idx="9">
                  <c:v>14</c:v>
                </c:pt>
                <c:pt idx="10">
                  <c:v>5.9</c:v>
                </c:pt>
                <c:pt idx="11">
                  <c:v>13.3</c:v>
                </c:pt>
                <c:pt idx="12">
                  <c:v>16.5</c:v>
                </c:pt>
                <c:pt idx="13">
                  <c:v>14.5</c:v>
                </c:pt>
                <c:pt idx="14">
                  <c:v>12.3</c:v>
                </c:pt>
                <c:pt idx="15">
                  <c:v>8.6999999999999993</c:v>
                </c:pt>
                <c:pt idx="16">
                  <c:v>13.5</c:v>
                </c:pt>
                <c:pt idx="17">
                  <c:v>12.9</c:v>
                </c:pt>
                <c:pt idx="18">
                  <c:v>12.8</c:v>
                </c:pt>
                <c:pt idx="19">
                  <c:v>14.5</c:v>
                </c:pt>
                <c:pt idx="20">
                  <c:v>23.8</c:v>
                </c:pt>
                <c:pt idx="21">
                  <c:v>27.1</c:v>
                </c:pt>
                <c:pt idx="22">
                  <c:v>11.1</c:v>
                </c:pt>
                <c:pt idx="23">
                  <c:v>12.8</c:v>
                </c:pt>
                <c:pt idx="24">
                  <c:v>17.100000000000001</c:v>
                </c:pt>
                <c:pt idx="25">
                  <c:v>34.5</c:v>
                </c:pt>
                <c:pt idx="26">
                  <c:v>33.4</c:v>
                </c:pt>
                <c:pt idx="27">
                  <c:v>34.1</c:v>
                </c:pt>
              </c:numCache>
            </c:numRef>
          </c:val>
          <c:extLst>
            <c:ext xmlns:c16="http://schemas.microsoft.com/office/drawing/2014/chart" uri="{C3380CC4-5D6E-409C-BE32-E72D297353CC}">
              <c16:uniqueId val="{00000000-4CCD-49D4-A306-A845279D8C3F}"/>
            </c:ext>
          </c:extLst>
        </c:ser>
        <c:ser>
          <c:idx val="1"/>
          <c:order val="1"/>
          <c:tx>
            <c:strRef>
              <c:f>Attainment!$C$12</c:f>
              <c:strCache>
                <c:ptCount val="1"/>
                <c:pt idx="0">
                  <c:v>Medium - general</c:v>
                </c:pt>
              </c:strCache>
            </c:strRef>
          </c:tx>
          <c:spPr>
            <a:solidFill>
              <a:srgbClr val="C00000"/>
            </a:solidFill>
            <a:ln>
              <a:noFill/>
            </a:ln>
            <a:effectLst/>
          </c:spPr>
          <c:invertIfNegative val="0"/>
          <c:cat>
            <c:strRef>
              <c:f>Attainment!$A$13:$A$40</c:f>
              <c:strCache>
                <c:ptCount val="28"/>
                <c:pt idx="0">
                  <c:v>EU27</c:v>
                </c:pt>
                <c:pt idx="1">
                  <c:v>Czechia</c:v>
                </c:pt>
                <c:pt idx="2">
                  <c:v>Croatia</c:v>
                </c:pt>
                <c:pt idx="3">
                  <c:v>Slovakia</c:v>
                </c:pt>
                <c:pt idx="4">
                  <c:v>Slovenia</c:v>
                </c:pt>
                <c:pt idx="5">
                  <c:v>Poland</c:v>
                </c:pt>
                <c:pt idx="6">
                  <c:v>Germany</c:v>
                </c:pt>
                <c:pt idx="7">
                  <c:v>Austria</c:v>
                </c:pt>
                <c:pt idx="8">
                  <c:v>Finland</c:v>
                </c:pt>
                <c:pt idx="9">
                  <c:v>Netherlands</c:v>
                </c:pt>
                <c:pt idx="10">
                  <c:v>Lithuania</c:v>
                </c:pt>
                <c:pt idx="11">
                  <c:v>France</c:v>
                </c:pt>
                <c:pt idx="12">
                  <c:v>Denmark</c:v>
                </c:pt>
                <c:pt idx="13">
                  <c:v>Belgium</c:v>
                </c:pt>
                <c:pt idx="14">
                  <c:v>Sweden</c:v>
                </c:pt>
                <c:pt idx="15">
                  <c:v>Ireland</c:v>
                </c:pt>
                <c:pt idx="16">
                  <c:v>Hungary</c:v>
                </c:pt>
                <c:pt idx="17">
                  <c:v>Estonia</c:v>
                </c:pt>
                <c:pt idx="18">
                  <c:v>Cyprus</c:v>
                </c:pt>
                <c:pt idx="19">
                  <c:v>Greece</c:v>
                </c:pt>
                <c:pt idx="20">
                  <c:v>Romania</c:v>
                </c:pt>
                <c:pt idx="21">
                  <c:v>Italy</c:v>
                </c:pt>
                <c:pt idx="22">
                  <c:v>Latvia</c:v>
                </c:pt>
                <c:pt idx="23">
                  <c:v>Luxembourg</c:v>
                </c:pt>
                <c:pt idx="24">
                  <c:v>Bulgaria</c:v>
                </c:pt>
                <c:pt idx="25">
                  <c:v>Spain</c:v>
                </c:pt>
                <c:pt idx="26">
                  <c:v>Portugal</c:v>
                </c:pt>
                <c:pt idx="27">
                  <c:v>Malta</c:v>
                </c:pt>
              </c:strCache>
            </c:strRef>
          </c:cat>
          <c:val>
            <c:numRef>
              <c:f>Attainment!$C$13:$C$40</c:f>
              <c:numCache>
                <c:formatCode>#,##0.0</c:formatCode>
                <c:ptCount val="28"/>
                <c:pt idx="0">
                  <c:v>9.8000000000000007</c:v>
                </c:pt>
                <c:pt idx="1">
                  <c:v>3.6</c:v>
                </c:pt>
                <c:pt idx="2">
                  <c:v>3.2</c:v>
                </c:pt>
                <c:pt idx="3">
                  <c:v>3.2</c:v>
                </c:pt>
                <c:pt idx="4">
                  <c:v>8</c:v>
                </c:pt>
                <c:pt idx="5">
                  <c:v>11.2</c:v>
                </c:pt>
                <c:pt idx="6">
                  <c:v>4.0999999999999996</c:v>
                </c:pt>
                <c:pt idx="7">
                  <c:v>7.1</c:v>
                </c:pt>
                <c:pt idx="8">
                  <c:v>9</c:v>
                </c:pt>
                <c:pt idx="9">
                  <c:v>5.8</c:v>
                </c:pt>
                <c:pt idx="10">
                  <c:v>16.899999999999999</c:v>
                </c:pt>
                <c:pt idx="11">
                  <c:v>9.6</c:v>
                </c:pt>
                <c:pt idx="12">
                  <c:v>7.1</c:v>
                </c:pt>
                <c:pt idx="13">
                  <c:v>9.8000000000000007</c:v>
                </c:pt>
                <c:pt idx="14">
                  <c:v>12.9</c:v>
                </c:pt>
                <c:pt idx="15">
                  <c:v>18.5</c:v>
                </c:pt>
                <c:pt idx="16">
                  <c:v>13.8</c:v>
                </c:pt>
                <c:pt idx="17">
                  <c:v>16.399999999999999</c:v>
                </c:pt>
                <c:pt idx="18">
                  <c:v>18.5</c:v>
                </c:pt>
                <c:pt idx="19">
                  <c:v>20.6</c:v>
                </c:pt>
                <c:pt idx="20">
                  <c:v>12.1</c:v>
                </c:pt>
                <c:pt idx="21">
                  <c:v>10.3</c:v>
                </c:pt>
                <c:pt idx="22">
                  <c:v>27.1</c:v>
                </c:pt>
                <c:pt idx="23">
                  <c:v>28</c:v>
                </c:pt>
                <c:pt idx="24">
                  <c:v>23.8</c:v>
                </c:pt>
                <c:pt idx="25">
                  <c:v>11.8</c:v>
                </c:pt>
                <c:pt idx="26">
                  <c:v>19.5</c:v>
                </c:pt>
                <c:pt idx="27">
                  <c:v>19.100000000000001</c:v>
                </c:pt>
              </c:numCache>
            </c:numRef>
          </c:val>
          <c:extLst>
            <c:ext xmlns:c16="http://schemas.microsoft.com/office/drawing/2014/chart" uri="{C3380CC4-5D6E-409C-BE32-E72D297353CC}">
              <c16:uniqueId val="{00000001-4CCD-49D4-A306-A845279D8C3F}"/>
            </c:ext>
          </c:extLst>
        </c:ser>
        <c:ser>
          <c:idx val="2"/>
          <c:order val="2"/>
          <c:tx>
            <c:strRef>
              <c:f>Attainment!$D$12</c:f>
              <c:strCache>
                <c:ptCount val="1"/>
                <c:pt idx="0">
                  <c:v>Medium - vocational</c:v>
                </c:pt>
              </c:strCache>
            </c:strRef>
          </c:tx>
          <c:spPr>
            <a:solidFill>
              <a:srgbClr val="00B050"/>
            </a:solidFill>
            <a:ln>
              <a:noFill/>
            </a:ln>
            <a:effectLst/>
          </c:spPr>
          <c:invertIfNegative val="0"/>
          <c:cat>
            <c:strRef>
              <c:f>Attainment!$A$13:$A$40</c:f>
              <c:strCache>
                <c:ptCount val="28"/>
                <c:pt idx="0">
                  <c:v>EU27</c:v>
                </c:pt>
                <c:pt idx="1">
                  <c:v>Czechia</c:v>
                </c:pt>
                <c:pt idx="2">
                  <c:v>Croatia</c:v>
                </c:pt>
                <c:pt idx="3">
                  <c:v>Slovakia</c:v>
                </c:pt>
                <c:pt idx="4">
                  <c:v>Slovenia</c:v>
                </c:pt>
                <c:pt idx="5">
                  <c:v>Poland</c:v>
                </c:pt>
                <c:pt idx="6">
                  <c:v>Germany</c:v>
                </c:pt>
                <c:pt idx="7">
                  <c:v>Austria</c:v>
                </c:pt>
                <c:pt idx="8">
                  <c:v>Finland</c:v>
                </c:pt>
                <c:pt idx="9">
                  <c:v>Netherlands</c:v>
                </c:pt>
                <c:pt idx="10">
                  <c:v>Lithuania</c:v>
                </c:pt>
                <c:pt idx="11">
                  <c:v>France</c:v>
                </c:pt>
                <c:pt idx="12">
                  <c:v>Denmark</c:v>
                </c:pt>
                <c:pt idx="13">
                  <c:v>Belgium</c:v>
                </c:pt>
                <c:pt idx="14">
                  <c:v>Sweden</c:v>
                </c:pt>
                <c:pt idx="15">
                  <c:v>Ireland</c:v>
                </c:pt>
                <c:pt idx="16">
                  <c:v>Hungary</c:v>
                </c:pt>
                <c:pt idx="17">
                  <c:v>Estonia</c:v>
                </c:pt>
                <c:pt idx="18">
                  <c:v>Cyprus</c:v>
                </c:pt>
                <c:pt idx="19">
                  <c:v>Greece</c:v>
                </c:pt>
                <c:pt idx="20">
                  <c:v>Romania</c:v>
                </c:pt>
                <c:pt idx="21">
                  <c:v>Italy</c:v>
                </c:pt>
                <c:pt idx="22">
                  <c:v>Latvia</c:v>
                </c:pt>
                <c:pt idx="23">
                  <c:v>Luxembourg</c:v>
                </c:pt>
                <c:pt idx="24">
                  <c:v>Bulgaria</c:v>
                </c:pt>
                <c:pt idx="25">
                  <c:v>Spain</c:v>
                </c:pt>
                <c:pt idx="26">
                  <c:v>Portugal</c:v>
                </c:pt>
                <c:pt idx="27">
                  <c:v>Malta</c:v>
                </c:pt>
              </c:strCache>
            </c:strRef>
          </c:cat>
          <c:val>
            <c:numRef>
              <c:f>Attainment!$D$13:$D$40</c:f>
              <c:numCache>
                <c:formatCode>#,##0.0</c:formatCode>
                <c:ptCount val="28"/>
                <c:pt idx="0">
                  <c:v>33.799999999999997</c:v>
                </c:pt>
                <c:pt idx="1">
                  <c:v>57</c:v>
                </c:pt>
                <c:pt idx="2">
                  <c:v>55.9</c:v>
                </c:pt>
                <c:pt idx="3">
                  <c:v>50.9</c:v>
                </c:pt>
                <c:pt idx="4">
                  <c:v>43.4</c:v>
                </c:pt>
                <c:pt idx="5">
                  <c:v>36.5</c:v>
                </c:pt>
                <c:pt idx="6">
                  <c:v>48</c:v>
                </c:pt>
                <c:pt idx="7">
                  <c:v>41.3</c:v>
                </c:pt>
                <c:pt idx="8">
                  <c:v>37.200000000000003</c:v>
                </c:pt>
                <c:pt idx="9">
                  <c:v>30.8</c:v>
                </c:pt>
                <c:pt idx="10">
                  <c:v>19.600000000000001</c:v>
                </c:pt>
                <c:pt idx="11">
                  <c:v>30.9</c:v>
                </c:pt>
                <c:pt idx="12">
                  <c:v>27.3</c:v>
                </c:pt>
                <c:pt idx="13">
                  <c:v>28.2</c:v>
                </c:pt>
                <c:pt idx="14">
                  <c:v>22.6</c:v>
                </c:pt>
                <c:pt idx="15">
                  <c:v>14.8</c:v>
                </c:pt>
                <c:pt idx="16">
                  <c:v>38.9</c:v>
                </c:pt>
                <c:pt idx="17">
                  <c:v>23.5</c:v>
                </c:pt>
                <c:pt idx="18">
                  <c:v>11.5</c:v>
                </c:pt>
                <c:pt idx="19">
                  <c:v>20.6</c:v>
                </c:pt>
                <c:pt idx="20">
                  <c:v>39.4</c:v>
                </c:pt>
                <c:pt idx="21">
                  <c:v>34.700000000000003</c:v>
                </c:pt>
                <c:pt idx="22">
                  <c:v>19.100000000000001</c:v>
                </c:pt>
                <c:pt idx="23">
                  <c:v>3</c:v>
                </c:pt>
                <c:pt idx="24">
                  <c:v>25.4</c:v>
                </c:pt>
                <c:pt idx="25">
                  <c:v>11.3</c:v>
                </c:pt>
                <c:pt idx="26">
                  <c:v>13.7</c:v>
                </c:pt>
                <c:pt idx="27">
                  <c:v>12.1</c:v>
                </c:pt>
              </c:numCache>
            </c:numRef>
          </c:val>
          <c:extLst>
            <c:ext xmlns:c16="http://schemas.microsoft.com/office/drawing/2014/chart" uri="{C3380CC4-5D6E-409C-BE32-E72D297353CC}">
              <c16:uniqueId val="{00000002-4CCD-49D4-A306-A845279D8C3F}"/>
            </c:ext>
          </c:extLst>
        </c:ser>
        <c:ser>
          <c:idx val="3"/>
          <c:order val="3"/>
          <c:tx>
            <c:strRef>
              <c:f>Attainment!$E$12</c:f>
              <c:strCache>
                <c:ptCount val="1"/>
                <c:pt idx="0">
                  <c:v>Tertiary</c:v>
                </c:pt>
              </c:strCache>
            </c:strRef>
          </c:tx>
          <c:spPr>
            <a:solidFill>
              <a:srgbClr val="7030A0"/>
            </a:solidFill>
            <a:ln>
              <a:noFill/>
            </a:ln>
            <a:effectLst/>
          </c:spPr>
          <c:invertIfNegative val="0"/>
          <c:cat>
            <c:strRef>
              <c:f>Attainment!$A$13:$A$40</c:f>
              <c:strCache>
                <c:ptCount val="28"/>
                <c:pt idx="0">
                  <c:v>EU27</c:v>
                </c:pt>
                <c:pt idx="1">
                  <c:v>Czechia</c:v>
                </c:pt>
                <c:pt idx="2">
                  <c:v>Croatia</c:v>
                </c:pt>
                <c:pt idx="3">
                  <c:v>Slovakia</c:v>
                </c:pt>
                <c:pt idx="4">
                  <c:v>Slovenia</c:v>
                </c:pt>
                <c:pt idx="5">
                  <c:v>Poland</c:v>
                </c:pt>
                <c:pt idx="6">
                  <c:v>Germany</c:v>
                </c:pt>
                <c:pt idx="7">
                  <c:v>Austria</c:v>
                </c:pt>
                <c:pt idx="8">
                  <c:v>Finland</c:v>
                </c:pt>
                <c:pt idx="9">
                  <c:v>Netherlands</c:v>
                </c:pt>
                <c:pt idx="10">
                  <c:v>Lithuania</c:v>
                </c:pt>
                <c:pt idx="11">
                  <c:v>France</c:v>
                </c:pt>
                <c:pt idx="12">
                  <c:v>Denmark</c:v>
                </c:pt>
                <c:pt idx="13">
                  <c:v>Belgium</c:v>
                </c:pt>
                <c:pt idx="14">
                  <c:v>Sweden</c:v>
                </c:pt>
                <c:pt idx="15">
                  <c:v>Ireland</c:v>
                </c:pt>
                <c:pt idx="16">
                  <c:v>Hungary</c:v>
                </c:pt>
                <c:pt idx="17">
                  <c:v>Estonia</c:v>
                </c:pt>
                <c:pt idx="18">
                  <c:v>Cyprus</c:v>
                </c:pt>
                <c:pt idx="19">
                  <c:v>Greece</c:v>
                </c:pt>
                <c:pt idx="20">
                  <c:v>Romania</c:v>
                </c:pt>
                <c:pt idx="21">
                  <c:v>Italy</c:v>
                </c:pt>
                <c:pt idx="22">
                  <c:v>Latvia</c:v>
                </c:pt>
                <c:pt idx="23">
                  <c:v>Luxembourg</c:v>
                </c:pt>
                <c:pt idx="24">
                  <c:v>Bulgaria</c:v>
                </c:pt>
                <c:pt idx="25">
                  <c:v>Spain</c:v>
                </c:pt>
                <c:pt idx="26">
                  <c:v>Portugal</c:v>
                </c:pt>
                <c:pt idx="27">
                  <c:v>Malta</c:v>
                </c:pt>
              </c:strCache>
            </c:strRef>
          </c:cat>
          <c:val>
            <c:numRef>
              <c:f>Attainment!$E$13:$E$40</c:f>
              <c:numCache>
                <c:formatCode>#,##0.0</c:formatCode>
                <c:ptCount val="28"/>
                <c:pt idx="0">
                  <c:v>39.4</c:v>
                </c:pt>
                <c:pt idx="1">
                  <c:v>33.700000000000003</c:v>
                </c:pt>
                <c:pt idx="2">
                  <c:v>34.1</c:v>
                </c:pt>
                <c:pt idx="3">
                  <c:v>37.700000000000003</c:v>
                </c:pt>
                <c:pt idx="4">
                  <c:v>42.7</c:v>
                </c:pt>
                <c:pt idx="5">
                  <c:v>45.7</c:v>
                </c:pt>
                <c:pt idx="6">
                  <c:v>34.9</c:v>
                </c:pt>
                <c:pt idx="7">
                  <c:v>40.700000000000003</c:v>
                </c:pt>
                <c:pt idx="8">
                  <c:v>44.2</c:v>
                </c:pt>
                <c:pt idx="9">
                  <c:v>49.4</c:v>
                </c:pt>
                <c:pt idx="10">
                  <c:v>57.6</c:v>
                </c:pt>
                <c:pt idx="11">
                  <c:v>46.2</c:v>
                </c:pt>
                <c:pt idx="12">
                  <c:v>49.1</c:v>
                </c:pt>
                <c:pt idx="13">
                  <c:v>47.6</c:v>
                </c:pt>
                <c:pt idx="14">
                  <c:v>51.8</c:v>
                </c:pt>
                <c:pt idx="15">
                  <c:v>56.3</c:v>
                </c:pt>
                <c:pt idx="16">
                  <c:v>33.700000000000003</c:v>
                </c:pt>
                <c:pt idx="17">
                  <c:v>47.2</c:v>
                </c:pt>
                <c:pt idx="18">
                  <c:v>57.1</c:v>
                </c:pt>
                <c:pt idx="19">
                  <c:v>44.3</c:v>
                </c:pt>
                <c:pt idx="20">
                  <c:v>24.6</c:v>
                </c:pt>
                <c:pt idx="21">
                  <c:v>27.8</c:v>
                </c:pt>
                <c:pt idx="22">
                  <c:v>42.7</c:v>
                </c:pt>
                <c:pt idx="23">
                  <c:v>56.2</c:v>
                </c:pt>
                <c:pt idx="24">
                  <c:v>33.700000000000003</c:v>
                </c:pt>
                <c:pt idx="25">
                  <c:v>42.4</c:v>
                </c:pt>
                <c:pt idx="26">
                  <c:v>33.5</c:v>
                </c:pt>
                <c:pt idx="27">
                  <c:v>34.700000000000003</c:v>
                </c:pt>
              </c:numCache>
            </c:numRef>
          </c:val>
          <c:extLst>
            <c:ext xmlns:c16="http://schemas.microsoft.com/office/drawing/2014/chart" uri="{C3380CC4-5D6E-409C-BE32-E72D297353CC}">
              <c16:uniqueId val="{00000003-4CCD-49D4-A306-A845279D8C3F}"/>
            </c:ext>
          </c:extLst>
        </c:ser>
        <c:dLbls>
          <c:showLegendKey val="0"/>
          <c:showVal val="0"/>
          <c:showCatName val="0"/>
          <c:showSerName val="0"/>
          <c:showPercent val="0"/>
          <c:showBubbleSize val="0"/>
        </c:dLbls>
        <c:gapWidth val="150"/>
        <c:overlap val="100"/>
        <c:axId val="100709504"/>
        <c:axId val="100711040"/>
      </c:barChart>
      <c:catAx>
        <c:axId val="10070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11040"/>
        <c:crosses val="autoZero"/>
        <c:auto val="1"/>
        <c:lblAlgn val="ctr"/>
        <c:lblOffset val="100"/>
        <c:noMultiLvlLbl val="0"/>
      </c:catAx>
      <c:valAx>
        <c:axId val="10071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095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'VET enrl'!$K$13</c:f>
              <c:strCache>
                <c:ptCount val="1"/>
                <c:pt idx="0">
                  <c:v>2013</c:v>
                </c:pt>
              </c:strCache>
            </c:strRef>
          </c:tx>
          <c:spPr>
            <a:solidFill>
              <a:srgbClr val="0070C0"/>
            </a:solidFill>
            <a:ln>
              <a:noFill/>
            </a:ln>
            <a:effectLst/>
          </c:spPr>
          <c:invertIfNegative val="0"/>
          <c:cat>
            <c:strRef>
              <c:f>'VET enrl'!$J$14:$J$41</c:f>
              <c:strCache>
                <c:ptCount val="28"/>
                <c:pt idx="0">
                  <c:v>EU27</c:v>
                </c:pt>
                <c:pt idx="1">
                  <c:v>Czechia</c:v>
                </c:pt>
                <c:pt idx="2">
                  <c:v>Croatia</c:v>
                </c:pt>
                <c:pt idx="3">
                  <c:v>Austria</c:v>
                </c:pt>
                <c:pt idx="4">
                  <c:v>Finland</c:v>
                </c:pt>
                <c:pt idx="5">
                  <c:v>Slovakia</c:v>
                </c:pt>
                <c:pt idx="6">
                  <c:v>Slovenia</c:v>
                </c:pt>
                <c:pt idx="7">
                  <c:v>Belgium</c:v>
                </c:pt>
                <c:pt idx="8">
                  <c:v>Romania</c:v>
                </c:pt>
                <c:pt idx="9">
                  <c:v>Luxembourg</c:v>
                </c:pt>
                <c:pt idx="10">
                  <c:v>Italy</c:v>
                </c:pt>
                <c:pt idx="11">
                  <c:v>Bulgaria</c:v>
                </c:pt>
                <c:pt idx="12">
                  <c:v>Poland</c:v>
                </c:pt>
                <c:pt idx="13">
                  <c:v>Germany </c:v>
                </c:pt>
                <c:pt idx="14">
                  <c:v>Sweden</c:v>
                </c:pt>
                <c:pt idx="15">
                  <c:v>Portugal</c:v>
                </c:pt>
                <c:pt idx="16">
                  <c:v>Denmark</c:v>
                </c:pt>
                <c:pt idx="17">
                  <c:v>France</c:v>
                </c:pt>
                <c:pt idx="18">
                  <c:v>Latvia</c:v>
                </c:pt>
                <c:pt idx="19">
                  <c:v>Estonia</c:v>
                </c:pt>
                <c:pt idx="20">
                  <c:v>Greece</c:v>
                </c:pt>
                <c:pt idx="21">
                  <c:v>Spain</c:v>
                </c:pt>
                <c:pt idx="22">
                  <c:v>Lithuania</c:v>
                </c:pt>
                <c:pt idx="23">
                  <c:v>Hungary</c:v>
                </c:pt>
                <c:pt idx="24">
                  <c:v>Malta</c:v>
                </c:pt>
                <c:pt idx="25">
                  <c:v>Cyprus</c:v>
                </c:pt>
                <c:pt idx="26">
                  <c:v>Ireland</c:v>
                </c:pt>
                <c:pt idx="27">
                  <c:v>Netherlands</c:v>
                </c:pt>
              </c:strCache>
            </c:strRef>
          </c:cat>
          <c:val>
            <c:numRef>
              <c:f>'VET enrl'!$K$14:$K$41</c:f>
              <c:numCache>
                <c:formatCode>0%</c:formatCode>
                <c:ptCount val="28"/>
                <c:pt idx="0" formatCode="0.0%">
                  <c:v>0.4935243388990288</c:v>
                </c:pt>
                <c:pt idx="1">
                  <c:v>0.73755987059468209</c:v>
                </c:pt>
                <c:pt idx="2">
                  <c:v>0.71057525744710248</c:v>
                </c:pt>
                <c:pt idx="3">
                  <c:v>0.70179427971944774</c:v>
                </c:pt>
                <c:pt idx="4">
                  <c:v>0.70130393795379908</c:v>
                </c:pt>
                <c:pt idx="5">
                  <c:v>0.68096015543831712</c:v>
                </c:pt>
                <c:pt idx="6">
                  <c:v>0.65856254973225226</c:v>
                </c:pt>
                <c:pt idx="7">
                  <c:v>0.60235466855888031</c:v>
                </c:pt>
                <c:pt idx="8">
                  <c:v>0.60039058463215056</c:v>
                </c:pt>
                <c:pt idx="9">
                  <c:v>0.59863165225941251</c:v>
                </c:pt>
                <c:pt idx="10">
                  <c:v>0.59434729755002802</c:v>
                </c:pt>
                <c:pt idx="11">
                  <c:v>0.524363500684635</c:v>
                </c:pt>
                <c:pt idx="12">
                  <c:v>0.48746920461723131</c:v>
                </c:pt>
                <c:pt idx="13">
                  <c:v>0.47508717112095794</c:v>
                </c:pt>
                <c:pt idx="14">
                  <c:v>0.46874438430755733</c:v>
                </c:pt>
                <c:pt idx="15">
                  <c:v>0.4580734702482388</c:v>
                </c:pt>
                <c:pt idx="16">
                  <c:v>0.43278354556876203</c:v>
                </c:pt>
                <c:pt idx="17">
                  <c:v>0.42982617544531093</c:v>
                </c:pt>
                <c:pt idx="18">
                  <c:v>0.39087875106475084</c:v>
                </c:pt>
                <c:pt idx="19">
                  <c:v>0.34442064974711806</c:v>
                </c:pt>
                <c:pt idx="20">
                  <c:v>0.33675449566604854</c:v>
                </c:pt>
                <c:pt idx="21">
                  <c:v>0.33505053938274892</c:v>
                </c:pt>
                <c:pt idx="22">
                  <c:v>0.27550494810788301</c:v>
                </c:pt>
                <c:pt idx="23">
                  <c:v>0.26469412794392111</c:v>
                </c:pt>
                <c:pt idx="24">
                  <c:v>0.22817153957264533</c:v>
                </c:pt>
                <c:pt idx="25">
                  <c:v>0.13570717131474103</c:v>
                </c:pt>
                <c:pt idx="26">
                  <c:v>1.4732628861611072E-2</c:v>
                </c:pt>
              </c:numCache>
            </c:numRef>
          </c:val>
          <c:extLst>
            <c:ext xmlns:c16="http://schemas.microsoft.com/office/drawing/2014/chart" uri="{C3380CC4-5D6E-409C-BE32-E72D297353CC}">
              <c16:uniqueId val="{00000000-5378-4291-A934-28C9B330FB7B}"/>
            </c:ext>
          </c:extLst>
        </c:ser>
        <c:ser>
          <c:idx val="2"/>
          <c:order val="1"/>
          <c:tx>
            <c:strRef>
              <c:f>'VET enrl'!$L$13</c:f>
              <c:strCache>
                <c:ptCount val="1"/>
                <c:pt idx="0">
                  <c:v>2017</c:v>
                </c:pt>
              </c:strCache>
            </c:strRef>
          </c:tx>
          <c:spPr>
            <a:solidFill>
              <a:srgbClr val="FFC000"/>
            </a:solidFill>
            <a:ln w="19050">
              <a:noFill/>
            </a:ln>
          </c:spPr>
          <c:invertIfNegative val="0"/>
          <c:cat>
            <c:strRef>
              <c:f>'VET enrl'!$J$14:$J$41</c:f>
              <c:strCache>
                <c:ptCount val="28"/>
                <c:pt idx="0">
                  <c:v>EU27</c:v>
                </c:pt>
                <c:pt idx="1">
                  <c:v>Czechia</c:v>
                </c:pt>
                <c:pt idx="2">
                  <c:v>Croatia</c:v>
                </c:pt>
                <c:pt idx="3">
                  <c:v>Austria</c:v>
                </c:pt>
                <c:pt idx="4">
                  <c:v>Finland</c:v>
                </c:pt>
                <c:pt idx="5">
                  <c:v>Slovakia</c:v>
                </c:pt>
                <c:pt idx="6">
                  <c:v>Slovenia</c:v>
                </c:pt>
                <c:pt idx="7">
                  <c:v>Belgium</c:v>
                </c:pt>
                <c:pt idx="8">
                  <c:v>Romania</c:v>
                </c:pt>
                <c:pt idx="9">
                  <c:v>Luxembourg</c:v>
                </c:pt>
                <c:pt idx="10">
                  <c:v>Italy</c:v>
                </c:pt>
                <c:pt idx="11">
                  <c:v>Bulgaria</c:v>
                </c:pt>
                <c:pt idx="12">
                  <c:v>Poland</c:v>
                </c:pt>
                <c:pt idx="13">
                  <c:v>Germany </c:v>
                </c:pt>
                <c:pt idx="14">
                  <c:v>Sweden</c:v>
                </c:pt>
                <c:pt idx="15">
                  <c:v>Portugal</c:v>
                </c:pt>
                <c:pt idx="16">
                  <c:v>Denmark</c:v>
                </c:pt>
                <c:pt idx="17">
                  <c:v>France</c:v>
                </c:pt>
                <c:pt idx="18">
                  <c:v>Latvia</c:v>
                </c:pt>
                <c:pt idx="19">
                  <c:v>Estonia</c:v>
                </c:pt>
                <c:pt idx="20">
                  <c:v>Greece</c:v>
                </c:pt>
                <c:pt idx="21">
                  <c:v>Spain</c:v>
                </c:pt>
                <c:pt idx="22">
                  <c:v>Lithuania</c:v>
                </c:pt>
                <c:pt idx="23">
                  <c:v>Hungary</c:v>
                </c:pt>
                <c:pt idx="24">
                  <c:v>Malta</c:v>
                </c:pt>
                <c:pt idx="25">
                  <c:v>Cyprus</c:v>
                </c:pt>
                <c:pt idx="26">
                  <c:v>Ireland</c:v>
                </c:pt>
                <c:pt idx="27">
                  <c:v>Netherlands</c:v>
                </c:pt>
              </c:strCache>
            </c:strRef>
          </c:cat>
          <c:val>
            <c:numRef>
              <c:f>'VET enrl'!$L$14:$L$41</c:f>
              <c:numCache>
                <c:formatCode>0%</c:formatCode>
                <c:ptCount val="28"/>
                <c:pt idx="0" formatCode="0.0%">
                  <c:v>0.48081198443959117</c:v>
                </c:pt>
                <c:pt idx="1">
                  <c:v>0.72442160045344461</c:v>
                </c:pt>
                <c:pt idx="2">
                  <c:v>0.69550112275222586</c:v>
                </c:pt>
                <c:pt idx="3">
                  <c:v>0.68593572691716154</c:v>
                </c:pt>
                <c:pt idx="4">
                  <c:v>0.71646449987678318</c:v>
                </c:pt>
                <c:pt idx="5">
                  <c:v>0.688825444316853</c:v>
                </c:pt>
                <c:pt idx="6">
                  <c:v>0.70858768257214999</c:v>
                </c:pt>
                <c:pt idx="7">
                  <c:v>0.57842778552815144</c:v>
                </c:pt>
                <c:pt idx="8">
                  <c:v>0.56204656552714694</c:v>
                </c:pt>
                <c:pt idx="9">
                  <c:v>0.61594786275637337</c:v>
                </c:pt>
                <c:pt idx="10">
                  <c:v>0.55340488749297823</c:v>
                </c:pt>
                <c:pt idx="11">
                  <c:v>0.50702183979067972</c:v>
                </c:pt>
                <c:pt idx="12">
                  <c:v>0.51670967834406678</c:v>
                </c:pt>
                <c:pt idx="13">
                  <c:v>0.45626049451815759</c:v>
                </c:pt>
                <c:pt idx="14">
                  <c:v>0.34053732237333512</c:v>
                </c:pt>
                <c:pt idx="15">
                  <c:v>0.40676130323306858</c:v>
                </c:pt>
                <c:pt idx="16">
                  <c:v>0.38886389087181428</c:v>
                </c:pt>
                <c:pt idx="17">
                  <c:v>0.3985376325959018</c:v>
                </c:pt>
                <c:pt idx="18">
                  <c:v>0.38624381937849961</c:v>
                </c:pt>
                <c:pt idx="19">
                  <c:v>0.40679576508913223</c:v>
                </c:pt>
                <c:pt idx="20">
                  <c:v>0.28803793551311441</c:v>
                </c:pt>
                <c:pt idx="21">
                  <c:v>0.35348560058373302</c:v>
                </c:pt>
                <c:pt idx="22">
                  <c:v>0.27370610546922797</c:v>
                </c:pt>
                <c:pt idx="23">
                  <c:v>0.23001296888644104</c:v>
                </c:pt>
                <c:pt idx="24">
                  <c:v>0.27074957316737347</c:v>
                </c:pt>
                <c:pt idx="25">
                  <c:v>0.16732071540197951</c:v>
                </c:pt>
                <c:pt idx="26">
                  <c:v>0.10292602458906998</c:v>
                </c:pt>
                <c:pt idx="27">
                  <c:v>0.6824610085159315</c:v>
                </c:pt>
              </c:numCache>
            </c:numRef>
          </c:val>
          <c:extLst>
            <c:ext xmlns:c16="http://schemas.microsoft.com/office/drawing/2014/chart" uri="{C3380CC4-5D6E-409C-BE32-E72D297353CC}">
              <c16:uniqueId val="{00000001-5378-4291-A934-28C9B330FB7B}"/>
            </c:ext>
          </c:extLst>
        </c:ser>
        <c:dLbls>
          <c:showLegendKey val="0"/>
          <c:showVal val="0"/>
          <c:showCatName val="0"/>
          <c:showSerName val="0"/>
          <c:showPercent val="0"/>
          <c:showBubbleSize val="0"/>
        </c:dLbls>
        <c:gapWidth val="150"/>
        <c:axId val="100719616"/>
        <c:axId val="100606720"/>
      </c:barChart>
      <c:catAx>
        <c:axId val="10071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06720"/>
        <c:crosses val="autoZero"/>
        <c:auto val="1"/>
        <c:lblAlgn val="ctr"/>
        <c:lblOffset val="100"/>
        <c:noMultiLvlLbl val="0"/>
      </c:catAx>
      <c:valAx>
        <c:axId val="100606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19616"/>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'[SWD data final.xls]VET 2009 format'!$H$12</c:f>
              <c:strCache>
                <c:ptCount val="1"/>
                <c:pt idx="0">
                  <c:v>2009</c:v>
                </c:pt>
              </c:strCache>
            </c:strRef>
          </c:tx>
          <c:spPr>
            <a:solidFill>
              <a:srgbClr val="0070C0"/>
            </a:solidFill>
            <a:ln>
              <a:noFill/>
            </a:ln>
            <a:effectLst/>
          </c:spPr>
          <c:invertIfNegative val="0"/>
          <c:cat>
            <c:strRef>
              <c:f>'[1]VET 2009 format'!$G$13:$G$40</c:f>
              <c:strCache>
                <c:ptCount val="28"/>
                <c:pt idx="0">
                  <c:v>EU27</c:v>
                </c:pt>
                <c:pt idx="1">
                  <c:v>Slovakia</c:v>
                </c:pt>
                <c:pt idx="2">
                  <c:v>Czechia</c:v>
                </c:pt>
                <c:pt idx="3">
                  <c:v>Austria</c:v>
                </c:pt>
                <c:pt idx="4">
                  <c:v>Slovenia</c:v>
                </c:pt>
                <c:pt idx="5">
                  <c:v>Germany (until 1990 former territory of the FRG)</c:v>
                </c:pt>
                <c:pt idx="6">
                  <c:v>Poland</c:v>
                </c:pt>
                <c:pt idx="7">
                  <c:v>Hungary</c:v>
                </c:pt>
                <c:pt idx="8">
                  <c:v>Romania</c:v>
                </c:pt>
                <c:pt idx="9">
                  <c:v>Italy</c:v>
                </c:pt>
                <c:pt idx="10">
                  <c:v>Finland</c:v>
                </c:pt>
                <c:pt idx="11">
                  <c:v>Netherlands</c:v>
                </c:pt>
                <c:pt idx="12">
                  <c:v>Sweden</c:v>
                </c:pt>
                <c:pt idx="13">
                  <c:v>Bulgaria</c:v>
                </c:pt>
                <c:pt idx="14">
                  <c:v>Denmark</c:v>
                </c:pt>
                <c:pt idx="15">
                  <c:v>France</c:v>
                </c:pt>
                <c:pt idx="16">
                  <c:v>Lithuania</c:v>
                </c:pt>
                <c:pt idx="17">
                  <c:v>Belgium</c:v>
                </c:pt>
                <c:pt idx="18">
                  <c:v>Estonia</c:v>
                </c:pt>
                <c:pt idx="19">
                  <c:v>Latvia</c:v>
                </c:pt>
                <c:pt idx="20">
                  <c:v>Greece</c:v>
                </c:pt>
                <c:pt idx="21">
                  <c:v>Luxembourg</c:v>
                </c:pt>
                <c:pt idx="22">
                  <c:v>Cyprus</c:v>
                </c:pt>
                <c:pt idx="23">
                  <c:v>Ireland</c:v>
                </c:pt>
                <c:pt idx="24">
                  <c:v>Spain</c:v>
                </c:pt>
                <c:pt idx="25">
                  <c:v>Malta</c:v>
                </c:pt>
                <c:pt idx="26">
                  <c:v>Portugal</c:v>
                </c:pt>
                <c:pt idx="27">
                  <c:v>Croatia</c:v>
                </c:pt>
              </c:strCache>
            </c:strRef>
          </c:cat>
          <c:val>
            <c:numRef>
              <c:f>'[1]VET 2009 format'!$H$13:$H$40</c:f>
              <c:numCache>
                <c:formatCode>#,##0.0</c:formatCode>
                <c:ptCount val="28"/>
                <c:pt idx="0">
                  <c:v>34.842724308560584</c:v>
                </c:pt>
                <c:pt idx="1">
                  <c:v>73.079872936370066</c:v>
                </c:pt>
                <c:pt idx="2">
                  <c:v>70.910463392109321</c:v>
                </c:pt>
                <c:pt idx="3">
                  <c:v>59.646327111050212</c:v>
                </c:pt>
                <c:pt idx="4">
                  <c:v>56.917789164060672</c:v>
                </c:pt>
                <c:pt idx="5">
                  <c:v>54.129449095082968</c:v>
                </c:pt>
                <c:pt idx="6">
                  <c:v>51.891300542858374</c:v>
                </c:pt>
                <c:pt idx="7">
                  <c:v>46.967723613217714</c:v>
                </c:pt>
                <c:pt idx="8">
                  <c:v>40.616391401016742</c:v>
                </c:pt>
                <c:pt idx="9">
                  <c:v>37.938359058188979</c:v>
                </c:pt>
                <c:pt idx="10">
                  <c:v>35.996517849373141</c:v>
                </c:pt>
                <c:pt idx="11">
                  <c:v>34.091835935361964</c:v>
                </c:pt>
                <c:pt idx="12">
                  <c:v>32.606697322791092</c:v>
                </c:pt>
                <c:pt idx="13">
                  <c:v>31.901298768022496</c:v>
                </c:pt>
                <c:pt idx="14">
                  <c:v>30.750360235504935</c:v>
                </c:pt>
                <c:pt idx="15">
                  <c:v>30.492366097046432</c:v>
                </c:pt>
                <c:pt idx="16">
                  <c:v>27.907016347572139</c:v>
                </c:pt>
                <c:pt idx="17">
                  <c:v>27.342440586280816</c:v>
                </c:pt>
                <c:pt idx="18">
                  <c:v>26.891442161494538</c:v>
                </c:pt>
                <c:pt idx="19">
                  <c:v>26.018323938069226</c:v>
                </c:pt>
                <c:pt idx="20">
                  <c:v>21.520160803855696</c:v>
                </c:pt>
                <c:pt idx="21">
                  <c:v>17.370169317805388</c:v>
                </c:pt>
                <c:pt idx="22">
                  <c:v>15.732854091557483</c:v>
                </c:pt>
                <c:pt idx="23">
                  <c:v>9.3524999241635118</c:v>
                </c:pt>
                <c:pt idx="24">
                  <c:v>9.0324182195505696</c:v>
                </c:pt>
                <c:pt idx="25">
                  <c:v>8.0231065468549421</c:v>
                </c:pt>
                <c:pt idx="26">
                  <c:v>6.512236076883438</c:v>
                </c:pt>
              </c:numCache>
            </c:numRef>
          </c:val>
          <c:extLst>
            <c:ext xmlns:c16="http://schemas.microsoft.com/office/drawing/2014/chart" uri="{C3380CC4-5D6E-409C-BE32-E72D297353CC}">
              <c16:uniqueId val="{00000000-9CF6-42FF-8A43-73DF40DCA8D7}"/>
            </c:ext>
          </c:extLst>
        </c:ser>
        <c:ser>
          <c:idx val="1"/>
          <c:order val="1"/>
          <c:tx>
            <c:strRef>
              <c:f>'[SWD data final.xls]VET 2009 format'!$I$12</c:f>
              <c:strCache>
                <c:ptCount val="1"/>
                <c:pt idx="0">
                  <c:v>2018</c:v>
                </c:pt>
              </c:strCache>
            </c:strRef>
          </c:tx>
          <c:spPr>
            <a:solidFill>
              <a:srgbClr val="FFC000"/>
            </a:solidFill>
            <a:ln>
              <a:noFill/>
            </a:ln>
            <a:effectLst/>
          </c:spPr>
          <c:invertIfNegative val="0"/>
          <c:cat>
            <c:strRef>
              <c:f>'[1]VET 2009 format'!$G$13:$G$40</c:f>
              <c:strCache>
                <c:ptCount val="28"/>
                <c:pt idx="0">
                  <c:v>EU27</c:v>
                </c:pt>
                <c:pt idx="1">
                  <c:v>Slovakia</c:v>
                </c:pt>
                <c:pt idx="2">
                  <c:v>Czechia</c:v>
                </c:pt>
                <c:pt idx="3">
                  <c:v>Austria</c:v>
                </c:pt>
                <c:pt idx="4">
                  <c:v>Slovenia</c:v>
                </c:pt>
                <c:pt idx="5">
                  <c:v>Germany (until 1990 former territory of the FRG)</c:v>
                </c:pt>
                <c:pt idx="6">
                  <c:v>Poland</c:v>
                </c:pt>
                <c:pt idx="7">
                  <c:v>Hungary</c:v>
                </c:pt>
                <c:pt idx="8">
                  <c:v>Romania</c:v>
                </c:pt>
                <c:pt idx="9">
                  <c:v>Italy</c:v>
                </c:pt>
                <c:pt idx="10">
                  <c:v>Finland</c:v>
                </c:pt>
                <c:pt idx="11">
                  <c:v>Netherlands</c:v>
                </c:pt>
                <c:pt idx="12">
                  <c:v>Sweden</c:v>
                </c:pt>
                <c:pt idx="13">
                  <c:v>Bulgaria</c:v>
                </c:pt>
                <c:pt idx="14">
                  <c:v>Denmark</c:v>
                </c:pt>
                <c:pt idx="15">
                  <c:v>France</c:v>
                </c:pt>
                <c:pt idx="16">
                  <c:v>Lithuania</c:v>
                </c:pt>
                <c:pt idx="17">
                  <c:v>Belgium</c:v>
                </c:pt>
                <c:pt idx="18">
                  <c:v>Estonia</c:v>
                </c:pt>
                <c:pt idx="19">
                  <c:v>Latvia</c:v>
                </c:pt>
                <c:pt idx="20">
                  <c:v>Greece</c:v>
                </c:pt>
                <c:pt idx="21">
                  <c:v>Luxembourg</c:v>
                </c:pt>
                <c:pt idx="22">
                  <c:v>Cyprus</c:v>
                </c:pt>
                <c:pt idx="23">
                  <c:v>Ireland</c:v>
                </c:pt>
                <c:pt idx="24">
                  <c:v>Spain</c:v>
                </c:pt>
                <c:pt idx="25">
                  <c:v>Malta</c:v>
                </c:pt>
                <c:pt idx="26">
                  <c:v>Portugal</c:v>
                </c:pt>
                <c:pt idx="27">
                  <c:v>Croatia</c:v>
                </c:pt>
              </c:strCache>
            </c:strRef>
          </c:cat>
          <c:val>
            <c:numRef>
              <c:f>'[1]VET 2009 format'!$I$13:$I$40</c:f>
              <c:numCache>
                <c:formatCode>#,##0.0</c:formatCode>
                <c:ptCount val="28"/>
                <c:pt idx="0">
                  <c:v>33.799999999999997</c:v>
                </c:pt>
                <c:pt idx="1">
                  <c:v>50.9</c:v>
                </c:pt>
                <c:pt idx="2">
                  <c:v>57</c:v>
                </c:pt>
                <c:pt idx="3">
                  <c:v>41.3</c:v>
                </c:pt>
                <c:pt idx="4">
                  <c:v>43.4</c:v>
                </c:pt>
                <c:pt idx="5">
                  <c:v>48</c:v>
                </c:pt>
                <c:pt idx="6">
                  <c:v>36.5</c:v>
                </c:pt>
                <c:pt idx="7">
                  <c:v>38.9</c:v>
                </c:pt>
                <c:pt idx="8">
                  <c:v>39.4</c:v>
                </c:pt>
                <c:pt idx="9">
                  <c:v>34.700000000000003</c:v>
                </c:pt>
                <c:pt idx="10">
                  <c:v>37.200000000000003</c:v>
                </c:pt>
                <c:pt idx="11">
                  <c:v>30.8</c:v>
                </c:pt>
                <c:pt idx="12">
                  <c:v>22.6</c:v>
                </c:pt>
                <c:pt idx="13">
                  <c:v>25.4</c:v>
                </c:pt>
                <c:pt idx="14">
                  <c:v>27.3</c:v>
                </c:pt>
                <c:pt idx="15">
                  <c:v>30.9</c:v>
                </c:pt>
                <c:pt idx="16">
                  <c:v>19.600000000000001</c:v>
                </c:pt>
                <c:pt idx="17">
                  <c:v>28.2</c:v>
                </c:pt>
                <c:pt idx="18">
                  <c:v>23.5</c:v>
                </c:pt>
                <c:pt idx="19">
                  <c:v>19.100000000000001</c:v>
                </c:pt>
                <c:pt idx="20">
                  <c:v>20.6</c:v>
                </c:pt>
                <c:pt idx="21">
                  <c:v>3</c:v>
                </c:pt>
                <c:pt idx="22">
                  <c:v>11.5</c:v>
                </c:pt>
                <c:pt idx="23">
                  <c:v>14.8</c:v>
                </c:pt>
                <c:pt idx="24">
                  <c:v>11.3</c:v>
                </c:pt>
                <c:pt idx="25">
                  <c:v>12.1</c:v>
                </c:pt>
                <c:pt idx="26">
                  <c:v>13.7</c:v>
                </c:pt>
                <c:pt idx="27">
                  <c:v>55.9</c:v>
                </c:pt>
              </c:numCache>
            </c:numRef>
          </c:val>
          <c:extLst>
            <c:ext xmlns:c16="http://schemas.microsoft.com/office/drawing/2014/chart" uri="{C3380CC4-5D6E-409C-BE32-E72D297353CC}">
              <c16:uniqueId val="{00000001-9CF6-42FF-8A43-73DF40DCA8D7}"/>
            </c:ext>
          </c:extLst>
        </c:ser>
        <c:dLbls>
          <c:showLegendKey val="0"/>
          <c:showVal val="0"/>
          <c:showCatName val="0"/>
          <c:showSerName val="0"/>
          <c:showPercent val="0"/>
          <c:showBubbleSize val="0"/>
        </c:dLbls>
        <c:gapWidth val="219"/>
        <c:overlap val="-27"/>
        <c:axId val="100636544"/>
        <c:axId val="100638080"/>
      </c:barChart>
      <c:catAx>
        <c:axId val="1006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38080"/>
        <c:crosses val="autoZero"/>
        <c:auto val="1"/>
        <c:lblAlgn val="ctr"/>
        <c:lblOffset val="100"/>
        <c:noMultiLvlLbl val="0"/>
      </c:catAx>
      <c:valAx>
        <c:axId val="100638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36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Data!$J$13</c:f>
              <c:strCache>
                <c:ptCount val="1"/>
                <c:pt idx="0">
                  <c:v>Low</c:v>
                </c:pt>
              </c:strCache>
            </c:strRef>
          </c:tx>
          <c:spPr>
            <a:ln w="28575" cap="rnd">
              <a:noFill/>
              <a:round/>
            </a:ln>
            <a:effectLst/>
          </c:spPr>
          <c:marker>
            <c:symbol val="dash"/>
            <c:size val="9"/>
            <c:spPr>
              <a:solidFill>
                <a:schemeClr val="accent1"/>
              </a:solidFill>
              <a:ln w="9525">
                <a:solidFill>
                  <a:schemeClr val="accent1"/>
                </a:solidFill>
              </a:ln>
              <a:effectLst/>
            </c:spPr>
          </c:marker>
          <c:cat>
            <c:strRef>
              <c:f>Data!$I$14:$I$41</c:f>
              <c:strCache>
                <c:ptCount val="28"/>
                <c:pt idx="0">
                  <c:v>EU27</c:v>
                </c:pt>
                <c:pt idx="1">
                  <c:v>Luxembourg</c:v>
                </c:pt>
                <c:pt idx="2">
                  <c:v>Germany</c:v>
                </c:pt>
                <c:pt idx="3">
                  <c:v>Malta</c:v>
                </c:pt>
                <c:pt idx="4">
                  <c:v>Sweden</c:v>
                </c:pt>
                <c:pt idx="5">
                  <c:v>Netherlands</c:v>
                </c:pt>
                <c:pt idx="6">
                  <c:v>Czechia</c:v>
                </c:pt>
                <c:pt idx="7">
                  <c:v>Austria</c:v>
                </c:pt>
                <c:pt idx="8">
                  <c:v>Hungary</c:v>
                </c:pt>
                <c:pt idx="9">
                  <c:v>Denmark</c:v>
                </c:pt>
                <c:pt idx="10">
                  <c:v>Slovakia</c:v>
                </c:pt>
                <c:pt idx="11">
                  <c:v>Slovenia</c:v>
                </c:pt>
                <c:pt idx="12">
                  <c:v>Lithuania</c:v>
                </c:pt>
                <c:pt idx="13">
                  <c:v>Finland</c:v>
                </c:pt>
                <c:pt idx="14">
                  <c:v>Poland</c:v>
                </c:pt>
                <c:pt idx="15">
                  <c:v>Portugal</c:v>
                </c:pt>
                <c:pt idx="16">
                  <c:v>Ireland</c:v>
                </c:pt>
                <c:pt idx="17">
                  <c:v>Belgium</c:v>
                </c:pt>
                <c:pt idx="18">
                  <c:v>Estonia</c:v>
                </c:pt>
                <c:pt idx="19">
                  <c:v>Latvia</c:v>
                </c:pt>
                <c:pt idx="20">
                  <c:v>France</c:v>
                </c:pt>
                <c:pt idx="21">
                  <c:v>Spain</c:v>
                </c:pt>
                <c:pt idx="22">
                  <c:v>Romania</c:v>
                </c:pt>
                <c:pt idx="23">
                  <c:v>Croatia</c:v>
                </c:pt>
                <c:pt idx="24">
                  <c:v>Cyprus</c:v>
                </c:pt>
                <c:pt idx="25">
                  <c:v>Bulgaria</c:v>
                </c:pt>
                <c:pt idx="26">
                  <c:v>Italy</c:v>
                </c:pt>
                <c:pt idx="27">
                  <c:v>Greece</c:v>
                </c:pt>
              </c:strCache>
            </c:strRef>
          </c:cat>
          <c:val>
            <c:numRef>
              <c:f>Data!$J$14:$J$41</c:f>
              <c:numCache>
                <c:formatCode>#,##0.0</c:formatCode>
                <c:ptCount val="28"/>
                <c:pt idx="0">
                  <c:v>55.8</c:v>
                </c:pt>
                <c:pt idx="1">
                  <c:v>64.2</c:v>
                </c:pt>
                <c:pt idx="2">
                  <c:v>56.3</c:v>
                </c:pt>
                <c:pt idx="3">
                  <c:v>76.2</c:v>
                </c:pt>
                <c:pt idx="4">
                  <c:v>64.2</c:v>
                </c:pt>
                <c:pt idx="5">
                  <c:v>67.7</c:v>
                </c:pt>
                <c:pt idx="6">
                  <c:v>56.7</c:v>
                </c:pt>
                <c:pt idx="7">
                  <c:v>60.1</c:v>
                </c:pt>
                <c:pt idx="8">
                  <c:v>53.8</c:v>
                </c:pt>
                <c:pt idx="9">
                  <c:v>61.6</c:v>
                </c:pt>
                <c:pt idx="10">
                  <c:v>34.299999999999997</c:v>
                </c:pt>
                <c:pt idx="11">
                  <c:v>63</c:v>
                </c:pt>
                <c:pt idx="12">
                  <c:v>50</c:v>
                </c:pt>
                <c:pt idx="13">
                  <c:v>49.3</c:v>
                </c:pt>
                <c:pt idx="14">
                  <c:v>49.9</c:v>
                </c:pt>
                <c:pt idx="15">
                  <c:v>80.5</c:v>
                </c:pt>
                <c:pt idx="16">
                  <c:v>47</c:v>
                </c:pt>
                <c:pt idx="17">
                  <c:v>54.8</c:v>
                </c:pt>
                <c:pt idx="18">
                  <c:v>74</c:v>
                </c:pt>
                <c:pt idx="19">
                  <c:v>59.8</c:v>
                </c:pt>
                <c:pt idx="20">
                  <c:v>46.5</c:v>
                </c:pt>
                <c:pt idx="21">
                  <c:v>61.7</c:v>
                </c:pt>
                <c:pt idx="22">
                  <c:v>60.5</c:v>
                </c:pt>
                <c:pt idx="23">
                  <c:v>43</c:v>
                </c:pt>
                <c:pt idx="24">
                  <c:v>68.5</c:v>
                </c:pt>
                <c:pt idx="25">
                  <c:v>42</c:v>
                </c:pt>
                <c:pt idx="26">
                  <c:v>49.1</c:v>
                </c:pt>
                <c:pt idx="27">
                  <c:v>53</c:v>
                </c:pt>
              </c:numCache>
            </c:numRef>
          </c:val>
          <c:smooth val="0"/>
          <c:extLst>
            <c:ext xmlns:c16="http://schemas.microsoft.com/office/drawing/2014/chart" uri="{C3380CC4-5D6E-409C-BE32-E72D297353CC}">
              <c16:uniqueId val="{00000000-EDAE-4AB7-A750-C3560BC4A45D}"/>
            </c:ext>
          </c:extLst>
        </c:ser>
        <c:ser>
          <c:idx val="1"/>
          <c:order val="1"/>
          <c:tx>
            <c:strRef>
              <c:f>Data!$K$13</c:f>
              <c:strCache>
                <c:ptCount val="1"/>
                <c:pt idx="0">
                  <c:v>Medium general</c:v>
                </c:pt>
              </c:strCache>
            </c:strRef>
          </c:tx>
          <c:spPr>
            <a:ln w="28575" cap="rnd">
              <a:noFill/>
              <a:round/>
            </a:ln>
            <a:effectLst/>
          </c:spPr>
          <c:marker>
            <c:symbol val="circle"/>
            <c:size val="6"/>
            <c:spPr>
              <a:solidFill>
                <a:schemeClr val="accent2"/>
              </a:solidFill>
              <a:ln w="9525">
                <a:solidFill>
                  <a:schemeClr val="accent2"/>
                </a:solidFill>
              </a:ln>
              <a:effectLst/>
            </c:spPr>
          </c:marker>
          <c:cat>
            <c:strRef>
              <c:f>Data!$I$14:$I$41</c:f>
              <c:strCache>
                <c:ptCount val="28"/>
                <c:pt idx="0">
                  <c:v>EU27</c:v>
                </c:pt>
                <c:pt idx="1">
                  <c:v>Luxembourg</c:v>
                </c:pt>
                <c:pt idx="2">
                  <c:v>Germany</c:v>
                </c:pt>
                <c:pt idx="3">
                  <c:v>Malta</c:v>
                </c:pt>
                <c:pt idx="4">
                  <c:v>Sweden</c:v>
                </c:pt>
                <c:pt idx="5">
                  <c:v>Netherlands</c:v>
                </c:pt>
                <c:pt idx="6">
                  <c:v>Czechia</c:v>
                </c:pt>
                <c:pt idx="7">
                  <c:v>Austria</c:v>
                </c:pt>
                <c:pt idx="8">
                  <c:v>Hungary</c:v>
                </c:pt>
                <c:pt idx="9">
                  <c:v>Denmark</c:v>
                </c:pt>
                <c:pt idx="10">
                  <c:v>Slovakia</c:v>
                </c:pt>
                <c:pt idx="11">
                  <c:v>Slovenia</c:v>
                </c:pt>
                <c:pt idx="12">
                  <c:v>Lithuania</c:v>
                </c:pt>
                <c:pt idx="13">
                  <c:v>Finland</c:v>
                </c:pt>
                <c:pt idx="14">
                  <c:v>Poland</c:v>
                </c:pt>
                <c:pt idx="15">
                  <c:v>Portugal</c:v>
                </c:pt>
                <c:pt idx="16">
                  <c:v>Ireland</c:v>
                </c:pt>
                <c:pt idx="17">
                  <c:v>Belgium</c:v>
                </c:pt>
                <c:pt idx="18">
                  <c:v>Estonia</c:v>
                </c:pt>
                <c:pt idx="19">
                  <c:v>Latvia</c:v>
                </c:pt>
                <c:pt idx="20">
                  <c:v>France</c:v>
                </c:pt>
                <c:pt idx="21">
                  <c:v>Spain</c:v>
                </c:pt>
                <c:pt idx="22">
                  <c:v>Romania</c:v>
                </c:pt>
                <c:pt idx="23">
                  <c:v>Croatia</c:v>
                </c:pt>
                <c:pt idx="24">
                  <c:v>Cyprus</c:v>
                </c:pt>
                <c:pt idx="25">
                  <c:v>Bulgaria</c:v>
                </c:pt>
                <c:pt idx="26">
                  <c:v>Italy</c:v>
                </c:pt>
                <c:pt idx="27">
                  <c:v>Greece</c:v>
                </c:pt>
              </c:strCache>
            </c:strRef>
          </c:cat>
          <c:val>
            <c:numRef>
              <c:f>Data!$K$14:$K$41</c:f>
              <c:numCache>
                <c:formatCode>#,##0.0</c:formatCode>
                <c:ptCount val="28"/>
                <c:pt idx="0">
                  <c:v>64.3</c:v>
                </c:pt>
                <c:pt idx="1">
                  <c:v>71.900000000000006</c:v>
                </c:pt>
                <c:pt idx="2">
                  <c:v>68.7</c:v>
                </c:pt>
                <c:pt idx="3">
                  <c:v>91.2</c:v>
                </c:pt>
                <c:pt idx="4">
                  <c:v>79.400000000000006</c:v>
                </c:pt>
                <c:pt idx="5">
                  <c:v>89.1</c:v>
                </c:pt>
                <c:pt idx="6">
                  <c:v>80.599999999999994</c:v>
                </c:pt>
                <c:pt idx="7">
                  <c:v>77.400000000000006</c:v>
                </c:pt>
                <c:pt idx="8">
                  <c:v>75.7</c:v>
                </c:pt>
                <c:pt idx="9">
                  <c:v>80</c:v>
                </c:pt>
                <c:pt idx="10">
                  <c:v>84.3</c:v>
                </c:pt>
                <c:pt idx="11">
                  <c:v>66.599999999999994</c:v>
                </c:pt>
                <c:pt idx="12">
                  <c:v>75.599999999999994</c:v>
                </c:pt>
                <c:pt idx="13">
                  <c:v>76.900000000000006</c:v>
                </c:pt>
                <c:pt idx="14">
                  <c:v>72.5</c:v>
                </c:pt>
                <c:pt idx="15">
                  <c:v>69.7</c:v>
                </c:pt>
                <c:pt idx="16">
                  <c:v>71.5</c:v>
                </c:pt>
                <c:pt idx="17">
                  <c:v>43.9</c:v>
                </c:pt>
                <c:pt idx="18">
                  <c:v>68.8</c:v>
                </c:pt>
                <c:pt idx="19">
                  <c:v>73.400000000000006</c:v>
                </c:pt>
                <c:pt idx="20">
                  <c:v>48.3</c:v>
                </c:pt>
                <c:pt idx="21">
                  <c:v>64.099999999999994</c:v>
                </c:pt>
                <c:pt idx="22">
                  <c:v>62.8</c:v>
                </c:pt>
                <c:pt idx="24">
                  <c:v>69.400000000000006</c:v>
                </c:pt>
                <c:pt idx="25">
                  <c:v>68.599999999999994</c:v>
                </c:pt>
                <c:pt idx="26">
                  <c:v>36.200000000000003</c:v>
                </c:pt>
                <c:pt idx="27">
                  <c:v>45.2</c:v>
                </c:pt>
              </c:numCache>
            </c:numRef>
          </c:val>
          <c:smooth val="0"/>
          <c:extLst>
            <c:ext xmlns:c16="http://schemas.microsoft.com/office/drawing/2014/chart" uri="{C3380CC4-5D6E-409C-BE32-E72D297353CC}">
              <c16:uniqueId val="{00000001-EDAE-4AB7-A750-C3560BC4A45D}"/>
            </c:ext>
          </c:extLst>
        </c:ser>
        <c:ser>
          <c:idx val="2"/>
          <c:order val="2"/>
          <c:tx>
            <c:strRef>
              <c:f>Data!$L$13</c:f>
              <c:strCache>
                <c:ptCount val="1"/>
                <c:pt idx="0">
                  <c:v>Medium vocational</c:v>
                </c:pt>
              </c:strCache>
            </c:strRef>
          </c:tx>
          <c:spPr>
            <a:ln w="28575" cap="rnd">
              <a:noFill/>
              <a:round/>
            </a:ln>
            <a:effectLst/>
          </c:spPr>
          <c:marker>
            <c:symbol val="square"/>
            <c:size val="6"/>
            <c:spPr>
              <a:solidFill>
                <a:schemeClr val="accent3"/>
              </a:solidFill>
              <a:ln w="9525">
                <a:solidFill>
                  <a:schemeClr val="accent3"/>
                </a:solidFill>
              </a:ln>
              <a:effectLst/>
            </c:spPr>
          </c:marker>
          <c:cat>
            <c:strRef>
              <c:f>Data!$I$14:$I$41</c:f>
              <c:strCache>
                <c:ptCount val="28"/>
                <c:pt idx="0">
                  <c:v>EU27</c:v>
                </c:pt>
                <c:pt idx="1">
                  <c:v>Luxembourg</c:v>
                </c:pt>
                <c:pt idx="2">
                  <c:v>Germany</c:v>
                </c:pt>
                <c:pt idx="3">
                  <c:v>Malta</c:v>
                </c:pt>
                <c:pt idx="4">
                  <c:v>Sweden</c:v>
                </c:pt>
                <c:pt idx="5">
                  <c:v>Netherlands</c:v>
                </c:pt>
                <c:pt idx="6">
                  <c:v>Czechia</c:v>
                </c:pt>
                <c:pt idx="7">
                  <c:v>Austria</c:v>
                </c:pt>
                <c:pt idx="8">
                  <c:v>Hungary</c:v>
                </c:pt>
                <c:pt idx="9">
                  <c:v>Denmark</c:v>
                </c:pt>
                <c:pt idx="10">
                  <c:v>Slovakia</c:v>
                </c:pt>
                <c:pt idx="11">
                  <c:v>Slovenia</c:v>
                </c:pt>
                <c:pt idx="12">
                  <c:v>Lithuania</c:v>
                </c:pt>
                <c:pt idx="13">
                  <c:v>Finland</c:v>
                </c:pt>
                <c:pt idx="14">
                  <c:v>Poland</c:v>
                </c:pt>
                <c:pt idx="15">
                  <c:v>Portugal</c:v>
                </c:pt>
                <c:pt idx="16">
                  <c:v>Ireland</c:v>
                </c:pt>
                <c:pt idx="17">
                  <c:v>Belgium</c:v>
                </c:pt>
                <c:pt idx="18">
                  <c:v>Estonia</c:v>
                </c:pt>
                <c:pt idx="19">
                  <c:v>Latvia</c:v>
                </c:pt>
                <c:pt idx="20">
                  <c:v>France</c:v>
                </c:pt>
                <c:pt idx="21">
                  <c:v>Spain</c:v>
                </c:pt>
                <c:pt idx="22">
                  <c:v>Romania</c:v>
                </c:pt>
                <c:pt idx="23">
                  <c:v>Croatia</c:v>
                </c:pt>
                <c:pt idx="24">
                  <c:v>Cyprus</c:v>
                </c:pt>
                <c:pt idx="25">
                  <c:v>Bulgaria</c:v>
                </c:pt>
                <c:pt idx="26">
                  <c:v>Italy</c:v>
                </c:pt>
                <c:pt idx="27">
                  <c:v>Greece</c:v>
                </c:pt>
              </c:strCache>
            </c:strRef>
          </c:cat>
          <c:val>
            <c:numRef>
              <c:f>Data!$L$14:$L$41</c:f>
              <c:numCache>
                <c:formatCode>#,##0.0</c:formatCode>
                <c:ptCount val="28"/>
                <c:pt idx="0">
                  <c:v>79</c:v>
                </c:pt>
                <c:pt idx="1">
                  <c:v>95.4</c:v>
                </c:pt>
                <c:pt idx="2">
                  <c:v>92.4</c:v>
                </c:pt>
                <c:pt idx="3">
                  <c:v>91</c:v>
                </c:pt>
                <c:pt idx="4">
                  <c:v>88</c:v>
                </c:pt>
                <c:pt idx="5">
                  <c:v>87.9</c:v>
                </c:pt>
                <c:pt idx="6">
                  <c:v>87.7</c:v>
                </c:pt>
                <c:pt idx="7">
                  <c:v>87.3</c:v>
                </c:pt>
                <c:pt idx="8">
                  <c:v>87.1</c:v>
                </c:pt>
                <c:pt idx="9">
                  <c:v>85.6</c:v>
                </c:pt>
                <c:pt idx="10">
                  <c:v>84.7</c:v>
                </c:pt>
                <c:pt idx="11">
                  <c:v>84.5</c:v>
                </c:pt>
                <c:pt idx="12">
                  <c:v>79.2</c:v>
                </c:pt>
                <c:pt idx="13">
                  <c:v>78.5</c:v>
                </c:pt>
                <c:pt idx="14">
                  <c:v>78.400000000000006</c:v>
                </c:pt>
                <c:pt idx="15">
                  <c:v>77.400000000000006</c:v>
                </c:pt>
                <c:pt idx="16">
                  <c:v>76.900000000000006</c:v>
                </c:pt>
                <c:pt idx="17">
                  <c:v>76.7</c:v>
                </c:pt>
                <c:pt idx="18">
                  <c:v>76.599999999999994</c:v>
                </c:pt>
                <c:pt idx="19">
                  <c:v>75.8</c:v>
                </c:pt>
                <c:pt idx="20">
                  <c:v>72.2</c:v>
                </c:pt>
                <c:pt idx="21">
                  <c:v>70</c:v>
                </c:pt>
                <c:pt idx="22">
                  <c:v>69</c:v>
                </c:pt>
                <c:pt idx="23">
                  <c:v>68.8</c:v>
                </c:pt>
                <c:pt idx="24">
                  <c:v>67.3</c:v>
                </c:pt>
                <c:pt idx="25">
                  <c:v>66.400000000000006</c:v>
                </c:pt>
                <c:pt idx="26">
                  <c:v>53.9</c:v>
                </c:pt>
                <c:pt idx="27">
                  <c:v>50.5</c:v>
                </c:pt>
              </c:numCache>
            </c:numRef>
          </c:val>
          <c:smooth val="0"/>
          <c:extLst>
            <c:ext xmlns:c16="http://schemas.microsoft.com/office/drawing/2014/chart" uri="{C3380CC4-5D6E-409C-BE32-E72D297353CC}">
              <c16:uniqueId val="{00000002-EDAE-4AB7-A750-C3560BC4A45D}"/>
            </c:ext>
          </c:extLst>
        </c:ser>
        <c:ser>
          <c:idx val="3"/>
          <c:order val="3"/>
          <c:tx>
            <c:strRef>
              <c:f>Data!$M$13</c:f>
              <c:strCache>
                <c:ptCount val="1"/>
                <c:pt idx="0">
                  <c:v>Tertiary</c:v>
                </c:pt>
              </c:strCache>
            </c:strRef>
          </c:tx>
          <c:spPr>
            <a:ln w="28575" cap="rnd">
              <a:noFill/>
              <a:round/>
            </a:ln>
            <a:effectLst/>
          </c:spPr>
          <c:marker>
            <c:symbol val="triangle"/>
            <c:size val="7"/>
            <c:spPr>
              <a:solidFill>
                <a:schemeClr val="accent4"/>
              </a:solidFill>
              <a:ln w="9525">
                <a:solidFill>
                  <a:schemeClr val="accent4"/>
                </a:solidFill>
              </a:ln>
              <a:effectLst/>
            </c:spPr>
          </c:marker>
          <c:cat>
            <c:strRef>
              <c:f>Data!$I$14:$I$41</c:f>
              <c:strCache>
                <c:ptCount val="28"/>
                <c:pt idx="0">
                  <c:v>EU27</c:v>
                </c:pt>
                <c:pt idx="1">
                  <c:v>Luxembourg</c:v>
                </c:pt>
                <c:pt idx="2">
                  <c:v>Germany</c:v>
                </c:pt>
                <c:pt idx="3">
                  <c:v>Malta</c:v>
                </c:pt>
                <c:pt idx="4">
                  <c:v>Sweden</c:v>
                </c:pt>
                <c:pt idx="5">
                  <c:v>Netherlands</c:v>
                </c:pt>
                <c:pt idx="6">
                  <c:v>Czechia</c:v>
                </c:pt>
                <c:pt idx="7">
                  <c:v>Austria</c:v>
                </c:pt>
                <c:pt idx="8">
                  <c:v>Hungary</c:v>
                </c:pt>
                <c:pt idx="9">
                  <c:v>Denmark</c:v>
                </c:pt>
                <c:pt idx="10">
                  <c:v>Slovakia</c:v>
                </c:pt>
                <c:pt idx="11">
                  <c:v>Slovenia</c:v>
                </c:pt>
                <c:pt idx="12">
                  <c:v>Lithuania</c:v>
                </c:pt>
                <c:pt idx="13">
                  <c:v>Finland</c:v>
                </c:pt>
                <c:pt idx="14">
                  <c:v>Poland</c:v>
                </c:pt>
                <c:pt idx="15">
                  <c:v>Portugal</c:v>
                </c:pt>
                <c:pt idx="16">
                  <c:v>Ireland</c:v>
                </c:pt>
                <c:pt idx="17">
                  <c:v>Belgium</c:v>
                </c:pt>
                <c:pt idx="18">
                  <c:v>Estonia</c:v>
                </c:pt>
                <c:pt idx="19">
                  <c:v>Latvia</c:v>
                </c:pt>
                <c:pt idx="20">
                  <c:v>France</c:v>
                </c:pt>
                <c:pt idx="21">
                  <c:v>Spain</c:v>
                </c:pt>
                <c:pt idx="22">
                  <c:v>Romania</c:v>
                </c:pt>
                <c:pt idx="23">
                  <c:v>Croatia</c:v>
                </c:pt>
                <c:pt idx="24">
                  <c:v>Cyprus</c:v>
                </c:pt>
                <c:pt idx="25">
                  <c:v>Bulgaria</c:v>
                </c:pt>
                <c:pt idx="26">
                  <c:v>Italy</c:v>
                </c:pt>
                <c:pt idx="27">
                  <c:v>Greece</c:v>
                </c:pt>
              </c:strCache>
            </c:strRef>
          </c:cat>
          <c:val>
            <c:numRef>
              <c:f>Data!$M$14:$M$41</c:f>
              <c:numCache>
                <c:formatCode>#,##0.0</c:formatCode>
                <c:ptCount val="28"/>
                <c:pt idx="0">
                  <c:v>85</c:v>
                </c:pt>
                <c:pt idx="1">
                  <c:v>94</c:v>
                </c:pt>
                <c:pt idx="2">
                  <c:v>94.3</c:v>
                </c:pt>
                <c:pt idx="3">
                  <c:v>96.7</c:v>
                </c:pt>
                <c:pt idx="4">
                  <c:v>92.8</c:v>
                </c:pt>
                <c:pt idx="5">
                  <c:v>94.8</c:v>
                </c:pt>
                <c:pt idx="6">
                  <c:v>91.5</c:v>
                </c:pt>
                <c:pt idx="7">
                  <c:v>90.1</c:v>
                </c:pt>
                <c:pt idx="8">
                  <c:v>91.5</c:v>
                </c:pt>
                <c:pt idx="9">
                  <c:v>87.8</c:v>
                </c:pt>
                <c:pt idx="10">
                  <c:v>82.4</c:v>
                </c:pt>
                <c:pt idx="11">
                  <c:v>85.3</c:v>
                </c:pt>
                <c:pt idx="12">
                  <c:v>90.4</c:v>
                </c:pt>
                <c:pt idx="13">
                  <c:v>88.3</c:v>
                </c:pt>
                <c:pt idx="14">
                  <c:v>88.9</c:v>
                </c:pt>
                <c:pt idx="15">
                  <c:v>85.9</c:v>
                </c:pt>
                <c:pt idx="16">
                  <c:v>89.5</c:v>
                </c:pt>
                <c:pt idx="17">
                  <c:v>90.3</c:v>
                </c:pt>
                <c:pt idx="18">
                  <c:v>89</c:v>
                </c:pt>
                <c:pt idx="19">
                  <c:v>91.3</c:v>
                </c:pt>
                <c:pt idx="20">
                  <c:v>84.6</c:v>
                </c:pt>
                <c:pt idx="21">
                  <c:v>77.900000000000006</c:v>
                </c:pt>
                <c:pt idx="22">
                  <c:v>88.9</c:v>
                </c:pt>
                <c:pt idx="23">
                  <c:v>75.2</c:v>
                </c:pt>
                <c:pt idx="24">
                  <c:v>81.3</c:v>
                </c:pt>
                <c:pt idx="25">
                  <c:v>84.5</c:v>
                </c:pt>
                <c:pt idx="26">
                  <c:v>62.8</c:v>
                </c:pt>
                <c:pt idx="27">
                  <c:v>59</c:v>
                </c:pt>
              </c:numCache>
            </c:numRef>
          </c:val>
          <c:smooth val="0"/>
          <c:extLst>
            <c:ext xmlns:c16="http://schemas.microsoft.com/office/drawing/2014/chart" uri="{C3380CC4-5D6E-409C-BE32-E72D297353CC}">
              <c16:uniqueId val="{00000003-EDAE-4AB7-A750-C3560BC4A45D}"/>
            </c:ext>
          </c:extLst>
        </c:ser>
        <c:dLbls>
          <c:showLegendKey val="0"/>
          <c:showVal val="0"/>
          <c:showCatName val="0"/>
          <c:showSerName val="0"/>
          <c:showPercent val="0"/>
          <c:showBubbleSize val="0"/>
        </c:dLbls>
        <c:marker val="1"/>
        <c:smooth val="0"/>
        <c:axId val="101212928"/>
        <c:axId val="101214848"/>
      </c:lineChart>
      <c:catAx>
        <c:axId val="10121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4848"/>
        <c:crosses val="autoZero"/>
        <c:auto val="1"/>
        <c:lblAlgn val="ctr"/>
        <c:lblOffset val="100"/>
        <c:noMultiLvlLbl val="0"/>
      </c:catAx>
      <c:valAx>
        <c:axId val="101214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12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'AL 12m'!$J$2</c:f>
              <c:strCache>
                <c:ptCount val="1"/>
                <c:pt idx="0">
                  <c:v>2011</c:v>
                </c:pt>
              </c:strCache>
            </c:strRef>
          </c:tx>
          <c:spPr>
            <a:solidFill>
              <a:srgbClr val="0070C0"/>
            </a:solidFill>
            <a:ln w="25400">
              <a:noFill/>
            </a:ln>
          </c:spPr>
          <c:invertIfNegative val="0"/>
          <c:cat>
            <c:strRef>
              <c:f>'AL 12m'!$I$3:$I$30</c:f>
              <c:strCache>
                <c:ptCount val="28"/>
                <c:pt idx="0">
                  <c:v>EU27</c:v>
                </c:pt>
                <c:pt idx="1">
                  <c:v>Sweden</c:v>
                </c:pt>
                <c:pt idx="2">
                  <c:v>Luxembourg</c:v>
                </c:pt>
                <c:pt idx="3">
                  <c:v>Denmark</c:v>
                </c:pt>
                <c:pt idx="4">
                  <c:v>Netherlands</c:v>
                </c:pt>
                <c:pt idx="5">
                  <c:v>Finland</c:v>
                </c:pt>
                <c:pt idx="6">
                  <c:v>France</c:v>
                </c:pt>
                <c:pt idx="7">
                  <c:v>Austria</c:v>
                </c:pt>
                <c:pt idx="8">
                  <c:v>Germany</c:v>
                </c:pt>
                <c:pt idx="9">
                  <c:v>Hungary</c:v>
                </c:pt>
                <c:pt idx="10">
                  <c:v>Estonia</c:v>
                </c:pt>
                <c:pt idx="11">
                  <c:v>Portugal</c:v>
                </c:pt>
                <c:pt idx="12">
                  <c:v>Belgium</c:v>
                </c:pt>
                <c:pt idx="13">
                  <c:v>Slovenia</c:v>
                </c:pt>
                <c:pt idx="14">
                  <c:v>Cyprus</c:v>
                </c:pt>
                <c:pt idx="15">
                  <c:v>Malta</c:v>
                </c:pt>
                <c:pt idx="16">
                  <c:v>Latvia</c:v>
                </c:pt>
                <c:pt idx="17">
                  <c:v>Czechia</c:v>
                </c:pt>
                <c:pt idx="18">
                  <c:v>Slovakia</c:v>
                </c:pt>
                <c:pt idx="19">
                  <c:v>Italy</c:v>
                </c:pt>
                <c:pt idx="20">
                  <c:v>Lithuania</c:v>
                </c:pt>
                <c:pt idx="21">
                  <c:v>Spain</c:v>
                </c:pt>
                <c:pt idx="22">
                  <c:v>Ireland</c:v>
                </c:pt>
                <c:pt idx="23">
                  <c:v>Poland</c:v>
                </c:pt>
                <c:pt idx="24">
                  <c:v>Greece</c:v>
                </c:pt>
                <c:pt idx="25">
                  <c:v>Bulgaria</c:v>
                </c:pt>
                <c:pt idx="26">
                  <c:v>Romania</c:v>
                </c:pt>
                <c:pt idx="27">
                  <c:v>Croatia</c:v>
                </c:pt>
              </c:strCache>
            </c:strRef>
          </c:cat>
          <c:val>
            <c:numRef>
              <c:f>'AL 12m'!$J$3:$J$30</c:f>
              <c:numCache>
                <c:formatCode>General</c:formatCode>
                <c:ptCount val="28"/>
                <c:pt idx="0">
                  <c:v>35</c:v>
                </c:pt>
                <c:pt idx="1">
                  <c:v>68</c:v>
                </c:pt>
                <c:pt idx="2">
                  <c:v>66.8</c:v>
                </c:pt>
                <c:pt idx="3">
                  <c:v>53.2</c:v>
                </c:pt>
                <c:pt idx="4">
                  <c:v>53</c:v>
                </c:pt>
                <c:pt idx="5">
                  <c:v>52.4</c:v>
                </c:pt>
                <c:pt idx="6">
                  <c:v>47.1</c:v>
                </c:pt>
                <c:pt idx="7">
                  <c:v>45.4</c:v>
                </c:pt>
                <c:pt idx="8">
                  <c:v>44.4</c:v>
                </c:pt>
                <c:pt idx="9">
                  <c:v>40.6</c:v>
                </c:pt>
                <c:pt idx="10">
                  <c:v>39.9</c:v>
                </c:pt>
                <c:pt idx="11">
                  <c:v>39.1</c:v>
                </c:pt>
                <c:pt idx="12">
                  <c:v>33.200000000000003</c:v>
                </c:pt>
                <c:pt idx="13">
                  <c:v>33.1</c:v>
                </c:pt>
                <c:pt idx="14">
                  <c:v>32.200000000000003</c:v>
                </c:pt>
                <c:pt idx="15">
                  <c:v>30.1</c:v>
                </c:pt>
                <c:pt idx="16">
                  <c:v>28.9</c:v>
                </c:pt>
                <c:pt idx="17">
                  <c:v>28.3</c:v>
                </c:pt>
                <c:pt idx="18">
                  <c:v>27.6</c:v>
                </c:pt>
                <c:pt idx="19">
                  <c:v>27.6</c:v>
                </c:pt>
                <c:pt idx="20">
                  <c:v>26.5</c:v>
                </c:pt>
                <c:pt idx="21">
                  <c:v>26.3</c:v>
                </c:pt>
                <c:pt idx="22">
                  <c:v>22.6</c:v>
                </c:pt>
                <c:pt idx="23">
                  <c:v>21</c:v>
                </c:pt>
                <c:pt idx="24">
                  <c:v>11</c:v>
                </c:pt>
                <c:pt idx="25">
                  <c:v>8.8000000000000007</c:v>
                </c:pt>
                <c:pt idx="26">
                  <c:v>6.9</c:v>
                </c:pt>
              </c:numCache>
            </c:numRef>
          </c:val>
          <c:extLst>
            <c:ext xmlns:c16="http://schemas.microsoft.com/office/drawing/2014/chart" uri="{C3380CC4-5D6E-409C-BE32-E72D297353CC}">
              <c16:uniqueId val="{00000000-945D-4D59-AB43-30E5AF1F991C}"/>
            </c:ext>
          </c:extLst>
        </c:ser>
        <c:ser>
          <c:idx val="1"/>
          <c:order val="1"/>
          <c:tx>
            <c:strRef>
              <c:f>'AL 12m'!$K$2</c:f>
              <c:strCache>
                <c:ptCount val="1"/>
                <c:pt idx="0">
                  <c:v>2016</c:v>
                </c:pt>
              </c:strCache>
            </c:strRef>
          </c:tx>
          <c:spPr>
            <a:solidFill>
              <a:srgbClr val="FFC000"/>
            </a:solidFill>
            <a:ln w="19050">
              <a:noFill/>
            </a:ln>
          </c:spPr>
          <c:invertIfNegative val="0"/>
          <c:cat>
            <c:strRef>
              <c:f>'AL 12m'!$I$3:$I$30</c:f>
              <c:strCache>
                <c:ptCount val="28"/>
                <c:pt idx="0">
                  <c:v>EU27</c:v>
                </c:pt>
                <c:pt idx="1">
                  <c:v>Sweden</c:v>
                </c:pt>
                <c:pt idx="2">
                  <c:v>Luxembourg</c:v>
                </c:pt>
                <c:pt idx="3">
                  <c:v>Denmark</c:v>
                </c:pt>
                <c:pt idx="4">
                  <c:v>Netherlands</c:v>
                </c:pt>
                <c:pt idx="5">
                  <c:v>Finland</c:v>
                </c:pt>
                <c:pt idx="6">
                  <c:v>France</c:v>
                </c:pt>
                <c:pt idx="7">
                  <c:v>Austria</c:v>
                </c:pt>
                <c:pt idx="8">
                  <c:v>Germany</c:v>
                </c:pt>
                <c:pt idx="9">
                  <c:v>Hungary</c:v>
                </c:pt>
                <c:pt idx="10">
                  <c:v>Estonia</c:v>
                </c:pt>
                <c:pt idx="11">
                  <c:v>Portugal</c:v>
                </c:pt>
                <c:pt idx="12">
                  <c:v>Belgium</c:v>
                </c:pt>
                <c:pt idx="13">
                  <c:v>Slovenia</c:v>
                </c:pt>
                <c:pt idx="14">
                  <c:v>Cyprus</c:v>
                </c:pt>
                <c:pt idx="15">
                  <c:v>Malta</c:v>
                </c:pt>
                <c:pt idx="16">
                  <c:v>Latvia</c:v>
                </c:pt>
                <c:pt idx="17">
                  <c:v>Czechia</c:v>
                </c:pt>
                <c:pt idx="18">
                  <c:v>Slovakia</c:v>
                </c:pt>
                <c:pt idx="19">
                  <c:v>Italy</c:v>
                </c:pt>
                <c:pt idx="20">
                  <c:v>Lithuania</c:v>
                </c:pt>
                <c:pt idx="21">
                  <c:v>Spain</c:v>
                </c:pt>
                <c:pt idx="22">
                  <c:v>Ireland</c:v>
                </c:pt>
                <c:pt idx="23">
                  <c:v>Poland</c:v>
                </c:pt>
                <c:pt idx="24">
                  <c:v>Greece</c:v>
                </c:pt>
                <c:pt idx="25">
                  <c:v>Bulgaria</c:v>
                </c:pt>
                <c:pt idx="26">
                  <c:v>Romania</c:v>
                </c:pt>
                <c:pt idx="27">
                  <c:v>Croatia</c:v>
                </c:pt>
              </c:strCache>
            </c:strRef>
          </c:cat>
          <c:val>
            <c:numRef>
              <c:f>'AL 12m'!$K$3:$K$30</c:f>
              <c:numCache>
                <c:formatCode>General</c:formatCode>
                <c:ptCount val="28"/>
                <c:pt idx="0">
                  <c:v>37.9</c:v>
                </c:pt>
                <c:pt idx="1">
                  <c:v>58.8</c:v>
                </c:pt>
                <c:pt idx="2">
                  <c:v>42.6</c:v>
                </c:pt>
                <c:pt idx="3">
                  <c:v>50.4</c:v>
                </c:pt>
                <c:pt idx="4">
                  <c:v>57.1</c:v>
                </c:pt>
                <c:pt idx="5">
                  <c:v>51.4</c:v>
                </c:pt>
                <c:pt idx="6">
                  <c:v>48.4</c:v>
                </c:pt>
                <c:pt idx="7">
                  <c:v>55.3</c:v>
                </c:pt>
                <c:pt idx="8">
                  <c:v>46.4</c:v>
                </c:pt>
                <c:pt idx="9">
                  <c:v>54.8</c:v>
                </c:pt>
                <c:pt idx="10">
                  <c:v>33.9</c:v>
                </c:pt>
                <c:pt idx="11">
                  <c:v>38</c:v>
                </c:pt>
                <c:pt idx="12">
                  <c:v>39.4</c:v>
                </c:pt>
                <c:pt idx="13">
                  <c:v>40.299999999999997</c:v>
                </c:pt>
                <c:pt idx="14">
                  <c:v>44.8</c:v>
                </c:pt>
                <c:pt idx="15">
                  <c:v>32.799999999999997</c:v>
                </c:pt>
                <c:pt idx="16">
                  <c:v>39</c:v>
                </c:pt>
                <c:pt idx="17">
                  <c:v>22.8</c:v>
                </c:pt>
                <c:pt idx="18">
                  <c:v>42.6</c:v>
                </c:pt>
                <c:pt idx="19">
                  <c:v>33.9</c:v>
                </c:pt>
                <c:pt idx="20">
                  <c:v>25</c:v>
                </c:pt>
                <c:pt idx="21">
                  <c:v>30.4</c:v>
                </c:pt>
                <c:pt idx="22">
                  <c:v>46</c:v>
                </c:pt>
                <c:pt idx="23">
                  <c:v>20.9</c:v>
                </c:pt>
                <c:pt idx="24">
                  <c:v>16</c:v>
                </c:pt>
                <c:pt idx="25">
                  <c:v>11.8</c:v>
                </c:pt>
                <c:pt idx="26">
                  <c:v>5.8</c:v>
                </c:pt>
                <c:pt idx="27">
                  <c:v>26.9</c:v>
                </c:pt>
              </c:numCache>
            </c:numRef>
          </c:val>
          <c:extLst>
            <c:ext xmlns:c16="http://schemas.microsoft.com/office/drawing/2014/chart" uri="{C3380CC4-5D6E-409C-BE32-E72D297353CC}">
              <c16:uniqueId val="{00000001-945D-4D59-AB43-30E5AF1F991C}"/>
            </c:ext>
          </c:extLst>
        </c:ser>
        <c:dLbls>
          <c:showLegendKey val="0"/>
          <c:showVal val="0"/>
          <c:showCatName val="0"/>
          <c:showSerName val="0"/>
          <c:showPercent val="0"/>
          <c:showBubbleSize val="0"/>
        </c:dLbls>
        <c:gapWidth val="150"/>
        <c:axId val="101248000"/>
        <c:axId val="101126912"/>
      </c:barChart>
      <c:catAx>
        <c:axId val="10124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26912"/>
        <c:crosses val="autoZero"/>
        <c:auto val="1"/>
        <c:lblAlgn val="ctr"/>
        <c:lblOffset val="100"/>
        <c:noMultiLvlLbl val="0"/>
      </c:catAx>
      <c:valAx>
        <c:axId val="10112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248000"/>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Tabelle3!$A$3</c:f>
              <c:strCache>
                <c:ptCount val="1"/>
                <c:pt idx="0">
                  <c:v>EU27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a:lstStyle/>
                  <a:p>
                    <a:fld id="{962C2DB2-EEA8-4D67-896A-056129A9E208}" type="VALUE">
                      <a:rPr lang="en-US" i="1"/>
                      <a:pPr/>
                      <a:t>[VALUE]</a:t>
                    </a:fld>
                    <a:endParaRPr lang="en-GB"/>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DB9-4C8D-8235-A51B0EDFB651}"/>
                </c:ext>
              </c:extLst>
            </c:dLbl>
            <c:dLbl>
              <c:idx val="5"/>
              <c:tx>
                <c:rich>
                  <a:bodyPr/>
                  <a:lstStyle/>
                  <a:p>
                    <a:fld id="{D29EB0AF-A4F5-42B2-8D3D-215A84A4A980}" type="VALUE">
                      <a:rPr lang="en-US" i="1"/>
                      <a:pPr/>
                      <a:t>[VALUE]</a:t>
                    </a:fld>
                    <a:endParaRPr lang="en-GB"/>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B9-4C8D-8235-A51B0EDFB6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Tabelle3!$B$1:$G$1</c:f>
              <c:strCache>
                <c:ptCount val="6"/>
                <c:pt idx="0">
                  <c:v>2014</c:v>
                </c:pt>
                <c:pt idx="1">
                  <c:v>2015</c:v>
                </c:pt>
                <c:pt idx="2">
                  <c:v>2016</c:v>
                </c:pt>
                <c:pt idx="3">
                  <c:v>2017</c:v>
                </c:pt>
                <c:pt idx="4">
                  <c:v>2018*</c:v>
                </c:pt>
                <c:pt idx="5">
                  <c:v>2019*</c:v>
                </c:pt>
              </c:strCache>
            </c:strRef>
          </c:cat>
          <c:val>
            <c:numRef>
              <c:f>Tabelle3!$B$3:$G$3</c:f>
              <c:numCache>
                <c:formatCode>0.0%</c:formatCode>
                <c:ptCount val="6"/>
                <c:pt idx="0">
                  <c:v>3.0285696855830033E-2</c:v>
                </c:pt>
                <c:pt idx="1">
                  <c:v>3.2523698941826898E-2</c:v>
                </c:pt>
                <c:pt idx="2">
                  <c:v>3.5791996365943969E-2</c:v>
                </c:pt>
                <c:pt idx="3">
                  <c:v>4.2241295202676721E-2</c:v>
                </c:pt>
                <c:pt idx="4">
                  <c:v>4.5660370861383241E-2</c:v>
                </c:pt>
                <c:pt idx="5">
                  <c:v>5.0060117192656232E-2</c:v>
                </c:pt>
              </c:numCache>
            </c:numRef>
          </c:val>
          <c:smooth val="0"/>
          <c:extLst>
            <c:ext xmlns:c16="http://schemas.microsoft.com/office/drawing/2014/chart" uri="{C3380CC4-5D6E-409C-BE32-E72D297353CC}">
              <c16:uniqueId val="{00000002-CDB9-4C8D-8235-A51B0EDFB651}"/>
            </c:ext>
          </c:extLst>
        </c:ser>
        <c:dLbls>
          <c:showLegendKey val="0"/>
          <c:showVal val="0"/>
          <c:showCatName val="0"/>
          <c:showSerName val="0"/>
          <c:showPercent val="0"/>
          <c:showBubbleSize val="0"/>
        </c:dLbls>
        <c:marker val="1"/>
        <c:smooth val="0"/>
        <c:axId val="101168640"/>
        <c:axId val="101170176"/>
      </c:lineChart>
      <c:catAx>
        <c:axId val="10116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70176"/>
        <c:crosses val="autoZero"/>
        <c:auto val="1"/>
        <c:lblAlgn val="ctr"/>
        <c:lblOffset val="100"/>
        <c:noMultiLvlLbl val="0"/>
      </c:catAx>
      <c:valAx>
        <c:axId val="101170176"/>
        <c:scaling>
          <c:orientation val="minMax"/>
          <c:max val="0.1200000000000000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6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079642822425E-2"/>
          <c:y val="2.0882638515747357E-2"/>
          <c:w val="0.93648325085846484"/>
          <c:h val="0.91514965843890483"/>
        </c:manualLayout>
      </c:layout>
      <c:lineChart>
        <c:grouping val="standard"/>
        <c:varyColors val="0"/>
        <c:ser>
          <c:idx val="0"/>
          <c:order val="0"/>
          <c:tx>
            <c:strRef>
              <c:f>'EU28'!$U$2</c:f>
              <c:strCache>
                <c:ptCount val="1"/>
                <c:pt idx="0">
                  <c:v>2014</c:v>
                </c:pt>
              </c:strCache>
            </c:strRef>
          </c:tx>
          <c:spPr>
            <a:ln w="28575" cap="rnd">
              <a:noFill/>
              <a:round/>
            </a:ln>
            <a:effectLst/>
          </c:spPr>
          <c:marker>
            <c:symbol val="circle"/>
            <c:size val="5"/>
            <c:spPr>
              <a:solidFill>
                <a:schemeClr val="accent1"/>
              </a:solidFill>
              <a:ln w="9525">
                <a:solidFill>
                  <a:schemeClr val="accent1"/>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'EU28'!$U$3:$U$29</c:f>
              <c:numCache>
                <c:formatCode>0.0%</c:formatCode>
                <c:ptCount val="27"/>
                <c:pt idx="0">
                  <c:v>1.7218838487418908E-2</c:v>
                </c:pt>
                <c:pt idx="1">
                  <c:v>2.1070477113102445E-2</c:v>
                </c:pt>
                <c:pt idx="2">
                  <c:v>2.4322401780177288E-2</c:v>
                </c:pt>
                <c:pt idx="3">
                  <c:v>3.2017870439314963E-2</c:v>
                </c:pt>
                <c:pt idx="4">
                  <c:v>2.5222235904535911E-2</c:v>
                </c:pt>
                <c:pt idx="5">
                  <c:v>2.6885636712800476E-2</c:v>
                </c:pt>
                <c:pt idx="6">
                  <c:v>2.4766487404472119E-2</c:v>
                </c:pt>
                <c:pt idx="7">
                  <c:v>2.0789401870550003E-2</c:v>
                </c:pt>
                <c:pt idx="8">
                  <c:v>2.9873579934054224E-2</c:v>
                </c:pt>
                <c:pt idx="9">
                  <c:v>3.5897105176180381E-2</c:v>
                </c:pt>
                <c:pt idx="10">
                  <c:v>2.9685988213563198E-2</c:v>
                </c:pt>
                <c:pt idx="11">
                  <c:v>6.8803016022620164E-2</c:v>
                </c:pt>
                <c:pt idx="12">
                  <c:v>2.9484256577731221E-2</c:v>
                </c:pt>
                <c:pt idx="13">
                  <c:v>3.8683977183997034E-2</c:v>
                </c:pt>
                <c:pt idx="14">
                  <c:v>5.1724137931034482E-2</c:v>
                </c:pt>
                <c:pt idx="15">
                  <c:v>2.8655830348351004E-2</c:v>
                </c:pt>
                <c:pt idx="16">
                  <c:v>4.7338240676725367E-2</c:v>
                </c:pt>
                <c:pt idx="17">
                  <c:v>4.824859021456817E-2</c:v>
                </c:pt>
                <c:pt idx="18">
                  <c:v>5.718992704165686E-2</c:v>
                </c:pt>
                <c:pt idx="19">
                  <c:v>4.6932428611817928E-2</c:v>
                </c:pt>
                <c:pt idx="20">
                  <c:v>4.3226360211720945E-2</c:v>
                </c:pt>
                <c:pt idx="21">
                  <c:v>6.5930719451846212E-2</c:v>
                </c:pt>
                <c:pt idx="22">
                  <c:v>0.12267854446625397</c:v>
                </c:pt>
                <c:pt idx="23">
                  <c:v>7.4697301935360852E-2</c:v>
                </c:pt>
                <c:pt idx="24">
                  <c:v>7.4779541446208117E-2</c:v>
                </c:pt>
                <c:pt idx="25">
                  <c:v>0.10427051057523912</c:v>
                </c:pt>
                <c:pt idx="26">
                  <c:v>0.25970548862115128</c:v>
                </c:pt>
              </c:numCache>
            </c:numRef>
          </c:val>
          <c:smooth val="0"/>
          <c:extLst>
            <c:ext xmlns:c16="http://schemas.microsoft.com/office/drawing/2014/chart" uri="{C3380CC4-5D6E-409C-BE32-E72D297353CC}">
              <c16:uniqueId val="{00000000-B7C1-4A73-9FE9-4CF9E6946E16}"/>
            </c:ext>
          </c:extLst>
        </c:ser>
        <c:ser>
          <c:idx val="1"/>
          <c:order val="1"/>
          <c:tx>
            <c:strRef>
              <c:f>'EU28'!$V$2</c:f>
              <c:strCache>
                <c:ptCount val="1"/>
                <c:pt idx="0">
                  <c:v>2015</c:v>
                </c:pt>
              </c:strCache>
            </c:strRef>
          </c:tx>
          <c:spPr>
            <a:ln w="28575" cap="rnd">
              <a:noFill/>
              <a:round/>
            </a:ln>
            <a:effectLst/>
          </c:spPr>
          <c:marker>
            <c:symbol val="circle"/>
            <c:size val="5"/>
            <c:spPr>
              <a:solidFill>
                <a:schemeClr val="accent2"/>
              </a:solidFill>
              <a:ln w="9525">
                <a:solidFill>
                  <a:schemeClr val="accent2"/>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'EU28'!$V$3:$V$29</c:f>
              <c:numCache>
                <c:formatCode>0.0%</c:formatCode>
                <c:ptCount val="27"/>
                <c:pt idx="0">
                  <c:v>1.9919857467212955E-2</c:v>
                </c:pt>
                <c:pt idx="1">
                  <c:v>1.8245775527648105E-2</c:v>
                </c:pt>
                <c:pt idx="2">
                  <c:v>2.3433457118400797E-2</c:v>
                </c:pt>
                <c:pt idx="3">
                  <c:v>3.2277265225507966E-2</c:v>
                </c:pt>
                <c:pt idx="4">
                  <c:v>2.5538490128397935E-2</c:v>
                </c:pt>
                <c:pt idx="5">
                  <c:v>3.2480140136829407E-2</c:v>
                </c:pt>
                <c:pt idx="6">
                  <c:v>2.6554856743535988E-2</c:v>
                </c:pt>
                <c:pt idx="7">
                  <c:v>2.3203635655986356E-2</c:v>
                </c:pt>
                <c:pt idx="8">
                  <c:v>3.2520295223362694E-2</c:v>
                </c:pt>
                <c:pt idx="9">
                  <c:v>3.8022843484904881E-2</c:v>
                </c:pt>
                <c:pt idx="10">
                  <c:v>3.4202599001737062E-2</c:v>
                </c:pt>
                <c:pt idx="11">
                  <c:v>6.8474264705882359E-2</c:v>
                </c:pt>
                <c:pt idx="12">
                  <c:v>3.3198196921157823E-2</c:v>
                </c:pt>
                <c:pt idx="13">
                  <c:v>4.2539664599256864E-2</c:v>
                </c:pt>
                <c:pt idx="14">
                  <c:v>6.550500161342368E-2</c:v>
                </c:pt>
                <c:pt idx="15">
                  <c:v>3.4458240843507217E-2</c:v>
                </c:pt>
                <c:pt idx="16">
                  <c:v>5.3312737444161484E-2</c:v>
                </c:pt>
                <c:pt idx="17">
                  <c:v>5.2935539844093958E-2</c:v>
                </c:pt>
                <c:pt idx="18">
                  <c:v>5.8278716268192865E-2</c:v>
                </c:pt>
                <c:pt idx="19">
                  <c:v>4.5385574161382974E-2</c:v>
                </c:pt>
                <c:pt idx="20">
                  <c:v>6.1174118161652136E-2</c:v>
                </c:pt>
                <c:pt idx="21">
                  <c:v>9.3567251461988299E-2</c:v>
                </c:pt>
                <c:pt idx="22">
                  <c:v>0.1116032529770549</c:v>
                </c:pt>
                <c:pt idx="23">
                  <c:v>8.4069178117978996E-2</c:v>
                </c:pt>
                <c:pt idx="24">
                  <c:v>0.11202540782445503</c:v>
                </c:pt>
                <c:pt idx="25">
                  <c:v>0.10269559500328732</c:v>
                </c:pt>
                <c:pt idx="26">
                  <c:v>0.33872101194659171</c:v>
                </c:pt>
              </c:numCache>
            </c:numRef>
          </c:val>
          <c:smooth val="0"/>
          <c:extLst>
            <c:ext xmlns:c16="http://schemas.microsoft.com/office/drawing/2014/chart" uri="{C3380CC4-5D6E-409C-BE32-E72D297353CC}">
              <c16:uniqueId val="{00000001-B7C1-4A73-9FE9-4CF9E6946E16}"/>
            </c:ext>
          </c:extLst>
        </c:ser>
        <c:ser>
          <c:idx val="2"/>
          <c:order val="2"/>
          <c:tx>
            <c:strRef>
              <c:f>'EU28'!$W$2</c:f>
              <c:strCache>
                <c:ptCount val="1"/>
                <c:pt idx="0">
                  <c:v>2016</c:v>
                </c:pt>
              </c:strCache>
            </c:strRef>
          </c:tx>
          <c:spPr>
            <a:ln w="28575" cap="rnd">
              <a:noFill/>
              <a:round/>
            </a:ln>
            <a:effectLst/>
          </c:spPr>
          <c:marker>
            <c:symbol val="circle"/>
            <c:size val="5"/>
            <c:spPr>
              <a:solidFill>
                <a:schemeClr val="accent3"/>
              </a:solidFill>
              <a:ln w="9525">
                <a:solidFill>
                  <a:schemeClr val="accent3"/>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'EU28'!$W$3:$W$29</c:f>
              <c:numCache>
                <c:formatCode>0.0%</c:formatCode>
                <c:ptCount val="27"/>
                <c:pt idx="0">
                  <c:v>2.3421807996775158E-2</c:v>
                </c:pt>
                <c:pt idx="1">
                  <c:v>1.6865568596508531E-2</c:v>
                </c:pt>
                <c:pt idx="2">
                  <c:v>2.5118412651013854E-2</c:v>
                </c:pt>
                <c:pt idx="3">
                  <c:v>3.0526287277553563E-2</c:v>
                </c:pt>
                <c:pt idx="4">
                  <c:v>2.5733428426437711E-2</c:v>
                </c:pt>
                <c:pt idx="5">
                  <c:v>3.8550686483795088E-2</c:v>
                </c:pt>
                <c:pt idx="6">
                  <c:v>3.3513027852650493E-2</c:v>
                </c:pt>
                <c:pt idx="7">
                  <c:v>3.2696298441194926E-2</c:v>
                </c:pt>
                <c:pt idx="8">
                  <c:v>3.4638726991990103E-2</c:v>
                </c:pt>
                <c:pt idx="9">
                  <c:v>4.1022956461044625E-2</c:v>
                </c:pt>
                <c:pt idx="10">
                  <c:v>3.8606002825669949E-2</c:v>
                </c:pt>
                <c:pt idx="12">
                  <c:v>3.7984889658673512E-2</c:v>
                </c:pt>
                <c:pt idx="13">
                  <c:v>5.0470165303527416E-2</c:v>
                </c:pt>
                <c:pt idx="14">
                  <c:v>6.2463851937536147E-2</c:v>
                </c:pt>
                <c:pt idx="15">
                  <c:v>5.8443828837309378E-2</c:v>
                </c:pt>
                <c:pt idx="16">
                  <c:v>5.263265892395453E-2</c:v>
                </c:pt>
                <c:pt idx="17">
                  <c:v>5.475770112519434E-2</c:v>
                </c:pt>
                <c:pt idx="18">
                  <c:v>6.3559322033898302E-2</c:v>
                </c:pt>
                <c:pt idx="19">
                  <c:v>5.8828544632961034E-2</c:v>
                </c:pt>
                <c:pt idx="20">
                  <c:v>7.8657726611423867E-2</c:v>
                </c:pt>
                <c:pt idx="21">
                  <c:v>9.2098641167589326E-2</c:v>
                </c:pt>
                <c:pt idx="22">
                  <c:v>9.7998106316786154E-2</c:v>
                </c:pt>
                <c:pt idx="23">
                  <c:v>0.11109120229349578</c:v>
                </c:pt>
                <c:pt idx="24">
                  <c:v>0.12683074135588102</c:v>
                </c:pt>
                <c:pt idx="25">
                  <c:v>0.1375951832831592</c:v>
                </c:pt>
                <c:pt idx="26">
                  <c:v>0.32138284250960308</c:v>
                </c:pt>
              </c:numCache>
            </c:numRef>
          </c:val>
          <c:smooth val="0"/>
          <c:extLst>
            <c:ext xmlns:c16="http://schemas.microsoft.com/office/drawing/2014/chart" uri="{C3380CC4-5D6E-409C-BE32-E72D297353CC}">
              <c16:uniqueId val="{00000002-B7C1-4A73-9FE9-4CF9E6946E16}"/>
            </c:ext>
          </c:extLst>
        </c:ser>
        <c:ser>
          <c:idx val="3"/>
          <c:order val="3"/>
          <c:tx>
            <c:strRef>
              <c:f>'EU28'!$X$2</c:f>
              <c:strCache>
                <c:ptCount val="1"/>
                <c:pt idx="0">
                  <c:v>2017</c:v>
                </c:pt>
              </c:strCache>
            </c:strRef>
          </c:tx>
          <c:spPr>
            <a:ln w="28575" cap="rnd">
              <a:noFill/>
              <a:round/>
            </a:ln>
            <a:effectLst/>
          </c:spPr>
          <c:marker>
            <c:symbol val="circle"/>
            <c:size val="5"/>
            <c:spPr>
              <a:solidFill>
                <a:schemeClr val="accent4"/>
              </a:solidFill>
              <a:ln w="9525">
                <a:solidFill>
                  <a:schemeClr val="accent4"/>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'EU28'!$X$3:$X$29</c:f>
              <c:numCache>
                <c:formatCode>0.0%</c:formatCode>
                <c:ptCount val="27"/>
                <c:pt idx="0">
                  <c:v>2.763515863112893E-2</c:v>
                </c:pt>
                <c:pt idx="1">
                  <c:v>3.3626901521216973E-2</c:v>
                </c:pt>
                <c:pt idx="2">
                  <c:v>3.4002894391960296E-2</c:v>
                </c:pt>
                <c:pt idx="3">
                  <c:v>3.4063965435481319E-2</c:v>
                </c:pt>
                <c:pt idx="4">
                  <c:v>3.4693501808746766E-2</c:v>
                </c:pt>
                <c:pt idx="5">
                  <c:v>3.6713372064638969E-2</c:v>
                </c:pt>
                <c:pt idx="6">
                  <c:v>3.8805125827918632E-2</c:v>
                </c:pt>
                <c:pt idx="7">
                  <c:v>3.8824271040628903E-2</c:v>
                </c:pt>
                <c:pt idx="8">
                  <c:v>3.9448640136980018E-2</c:v>
                </c:pt>
                <c:pt idx="9">
                  <c:v>4.3026311903847855E-2</c:v>
                </c:pt>
                <c:pt idx="10">
                  <c:v>4.4058761096101892E-2</c:v>
                </c:pt>
                <c:pt idx="11">
                  <c:v>4.6456692913385826E-2</c:v>
                </c:pt>
                <c:pt idx="12">
                  <c:v>4.7767658110948345E-2</c:v>
                </c:pt>
                <c:pt idx="13">
                  <c:v>6.2129056699078165E-2</c:v>
                </c:pt>
                <c:pt idx="14">
                  <c:v>6.2795220894692971E-2</c:v>
                </c:pt>
                <c:pt idx="15">
                  <c:v>6.546049893165358E-2</c:v>
                </c:pt>
                <c:pt idx="16">
                  <c:v>6.6017731284205419E-2</c:v>
                </c:pt>
                <c:pt idx="17">
                  <c:v>6.7514786296172302E-2</c:v>
                </c:pt>
                <c:pt idx="18">
                  <c:v>6.8634993909085076E-2</c:v>
                </c:pt>
                <c:pt idx="19">
                  <c:v>6.9964157706093197E-2</c:v>
                </c:pt>
                <c:pt idx="20">
                  <c:v>7.2837980130934399E-2</c:v>
                </c:pt>
                <c:pt idx="21">
                  <c:v>0.10154966792830109</c:v>
                </c:pt>
                <c:pt idx="22">
                  <c:v>0.1149600833044082</c:v>
                </c:pt>
                <c:pt idx="23">
                  <c:v>0.13149302463639062</c:v>
                </c:pt>
                <c:pt idx="24">
                  <c:v>0.1671163307411522</c:v>
                </c:pt>
                <c:pt idx="25">
                  <c:v>0.19782517774989544</c:v>
                </c:pt>
                <c:pt idx="26">
                  <c:v>0.40970149253731342</c:v>
                </c:pt>
              </c:numCache>
            </c:numRef>
          </c:val>
          <c:smooth val="0"/>
          <c:extLst>
            <c:ext xmlns:c16="http://schemas.microsoft.com/office/drawing/2014/chart" uri="{C3380CC4-5D6E-409C-BE32-E72D297353CC}">
              <c16:uniqueId val="{00000003-B7C1-4A73-9FE9-4CF9E6946E16}"/>
            </c:ext>
          </c:extLst>
        </c:ser>
        <c:ser>
          <c:idx val="4"/>
          <c:order val="4"/>
          <c:tx>
            <c:strRef>
              <c:f>'EU28'!$Y$2</c:f>
              <c:strCache>
                <c:ptCount val="1"/>
                <c:pt idx="0">
                  <c:v>2018*</c:v>
                </c:pt>
              </c:strCache>
            </c:strRef>
          </c:tx>
          <c:spPr>
            <a:ln w="25400" cap="rnd">
              <a:noFill/>
              <a:round/>
            </a:ln>
            <a:effectLst/>
          </c:spPr>
          <c:marker>
            <c:symbol val="circle"/>
            <c:size val="5"/>
            <c:spPr>
              <a:solidFill>
                <a:schemeClr val="accent5"/>
              </a:solidFill>
              <a:ln w="9525">
                <a:solidFill>
                  <a:schemeClr val="accent5"/>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'EU28'!$Y$3:$Y$29</c:f>
              <c:numCache>
                <c:formatCode>0.0%</c:formatCode>
                <c:ptCount val="27"/>
                <c:pt idx="0">
                  <c:v>3.2380796530775052E-2</c:v>
                </c:pt>
                <c:pt idx="1">
                  <c:v>4.1569255404323456E-2</c:v>
                </c:pt>
                <c:pt idx="2">
                  <c:v>3.3394202520481239E-2</c:v>
                </c:pt>
                <c:pt idx="3">
                  <c:v>3.515727909795037E-2</c:v>
                </c:pt>
                <c:pt idx="4">
                  <c:v>3.7639321234107403E-2</c:v>
                </c:pt>
                <c:pt idx="5">
                  <c:v>4.0939098547847268E-2</c:v>
                </c:pt>
                <c:pt idx="6">
                  <c:v>4.009365399875861E-2</c:v>
                </c:pt>
                <c:pt idx="7">
                  <c:v>4.7575491638134557E-2</c:v>
                </c:pt>
                <c:pt idx="8">
                  <c:v>4.2708795156777911E-2</c:v>
                </c:pt>
                <c:pt idx="9">
                  <c:v>5.1307579701401866E-2</c:v>
                </c:pt>
                <c:pt idx="10">
                  <c:v>4.4336163643380937E-2</c:v>
                </c:pt>
                <c:pt idx="11">
                  <c:v>5.6692913385826771E-2</c:v>
                </c:pt>
                <c:pt idx="12">
                  <c:v>5.0187886121903065E-2</c:v>
                </c:pt>
                <c:pt idx="13">
                  <c:v>6.2413183482762973E-2</c:v>
                </c:pt>
                <c:pt idx="14">
                  <c:v>7.0575159766601836E-2</c:v>
                </c:pt>
                <c:pt idx="15">
                  <c:v>6.626522740516691E-2</c:v>
                </c:pt>
                <c:pt idx="16">
                  <c:v>7.3994789668194755E-2</c:v>
                </c:pt>
                <c:pt idx="17">
                  <c:v>7.6498158687646464E-2</c:v>
                </c:pt>
                <c:pt idx="18">
                  <c:v>7.1327819452458807E-2</c:v>
                </c:pt>
                <c:pt idx="19">
                  <c:v>7.8681003584229386E-2</c:v>
                </c:pt>
                <c:pt idx="20">
                  <c:v>7.4783683559950562E-2</c:v>
                </c:pt>
                <c:pt idx="21">
                  <c:v>0.12025994429765051</c:v>
                </c:pt>
                <c:pt idx="22">
                  <c:v>0.12224921902117321</c:v>
                </c:pt>
                <c:pt idx="23">
                  <c:v>0.13475808845354706</c:v>
                </c:pt>
                <c:pt idx="24">
                  <c:v>0.14823043961275989</c:v>
                </c:pt>
                <c:pt idx="25">
                  <c:v>0.17586783772480133</c:v>
                </c:pt>
                <c:pt idx="26">
                  <c:v>0.45820895522388061</c:v>
                </c:pt>
              </c:numCache>
            </c:numRef>
          </c:val>
          <c:smooth val="0"/>
          <c:extLst>
            <c:ext xmlns:c16="http://schemas.microsoft.com/office/drawing/2014/chart" uri="{C3380CC4-5D6E-409C-BE32-E72D297353CC}">
              <c16:uniqueId val="{00000004-B7C1-4A73-9FE9-4CF9E6946E16}"/>
            </c:ext>
          </c:extLst>
        </c:ser>
        <c:ser>
          <c:idx val="5"/>
          <c:order val="5"/>
          <c:tx>
            <c:strRef>
              <c:f>'EU28'!$Z$2</c:f>
              <c:strCache>
                <c:ptCount val="1"/>
                <c:pt idx="0">
                  <c:v>2019*</c:v>
                </c:pt>
              </c:strCache>
            </c:strRef>
          </c:tx>
          <c:spPr>
            <a:ln w="25400" cap="rnd">
              <a:noFill/>
              <a:round/>
            </a:ln>
            <a:effectLst/>
          </c:spPr>
          <c:marker>
            <c:symbol val="circle"/>
            <c:size val="5"/>
            <c:spPr>
              <a:solidFill>
                <a:schemeClr val="accent6"/>
              </a:solidFill>
              <a:ln w="9525">
                <a:solidFill>
                  <a:schemeClr val="accent6"/>
                </a:solidFill>
              </a:ln>
              <a:effectLst/>
            </c:spPr>
          </c:marker>
          <c:cat>
            <c:strRef>
              <c:f>'EU28'!$T$3:$T$29</c:f>
              <c:strCache>
                <c:ptCount val="27"/>
                <c:pt idx="0">
                  <c:v>NL</c:v>
                </c:pt>
                <c:pt idx="1">
                  <c:v>IE</c:v>
                </c:pt>
                <c:pt idx="2">
                  <c:v>IT</c:v>
                </c:pt>
                <c:pt idx="3">
                  <c:v>FI</c:v>
                </c:pt>
                <c:pt idx="4">
                  <c:v>FR</c:v>
                </c:pt>
                <c:pt idx="5">
                  <c:v>ES</c:v>
                </c:pt>
                <c:pt idx="6">
                  <c:v>RO</c:v>
                </c:pt>
                <c:pt idx="7">
                  <c:v>BE</c:v>
                </c:pt>
                <c:pt idx="8">
                  <c:v>DE</c:v>
                </c:pt>
                <c:pt idx="9">
                  <c:v>PL</c:v>
                </c:pt>
                <c:pt idx="10">
                  <c:v>AT</c:v>
                </c:pt>
                <c:pt idx="11">
                  <c:v>MT</c:v>
                </c:pt>
                <c:pt idx="12">
                  <c:v>HR</c:v>
                </c:pt>
                <c:pt idx="13">
                  <c:v>CZ</c:v>
                </c:pt>
                <c:pt idx="14">
                  <c:v>LU</c:v>
                </c:pt>
                <c:pt idx="15">
                  <c:v>PT</c:v>
                </c:pt>
                <c:pt idx="16">
                  <c:v>HU</c:v>
                </c:pt>
                <c:pt idx="17">
                  <c:v>SK</c:v>
                </c:pt>
                <c:pt idx="18">
                  <c:v>DK</c:v>
                </c:pt>
                <c:pt idx="19">
                  <c:v>SE</c:v>
                </c:pt>
                <c:pt idx="20">
                  <c:v>EL</c:v>
                </c:pt>
                <c:pt idx="21">
                  <c:v>SI</c:v>
                </c:pt>
                <c:pt idx="22">
                  <c:v>LT</c:v>
                </c:pt>
                <c:pt idx="23">
                  <c:v>BG</c:v>
                </c:pt>
                <c:pt idx="24">
                  <c:v>LV</c:v>
                </c:pt>
                <c:pt idx="25">
                  <c:v>EE</c:v>
                </c:pt>
                <c:pt idx="26">
                  <c:v>CY</c:v>
                </c:pt>
              </c:strCache>
            </c:strRef>
          </c:cat>
          <c:val>
            <c:numRef>
              <c:f>'EU28'!$Z$3:$Z$29</c:f>
              <c:numCache>
                <c:formatCode>0.0%</c:formatCode>
                <c:ptCount val="27"/>
                <c:pt idx="0">
                  <c:v>3.1514853982994799E-2</c:v>
                </c:pt>
                <c:pt idx="1">
                  <c:v>3.9871897518014413E-2</c:v>
                </c:pt>
                <c:pt idx="2">
                  <c:v>3.7096042881721233E-2</c:v>
                </c:pt>
                <c:pt idx="3">
                  <c:v>4.0031086990884659E-2</c:v>
                </c:pt>
                <c:pt idx="4">
                  <c:v>3.962877220019298E-2</c:v>
                </c:pt>
                <c:pt idx="5">
                  <c:v>4.5864592317748594E-2</c:v>
                </c:pt>
                <c:pt idx="6">
                  <c:v>4.3157836844048808E-2</c:v>
                </c:pt>
                <c:pt idx="7">
                  <c:v>4.2050356599878866E-2</c:v>
                </c:pt>
                <c:pt idx="8">
                  <c:v>4.9095335646909544E-2</c:v>
                </c:pt>
                <c:pt idx="9">
                  <c:v>5.7795908724651013E-2</c:v>
                </c:pt>
                <c:pt idx="10">
                  <c:v>5.6433326900810495E-2</c:v>
                </c:pt>
                <c:pt idx="11">
                  <c:v>6.5354330708661423E-2</c:v>
                </c:pt>
                <c:pt idx="12">
                  <c:v>5.5251257881663587E-2</c:v>
                </c:pt>
                <c:pt idx="13">
                  <c:v>6.8064149513827499E-2</c:v>
                </c:pt>
                <c:pt idx="14">
                  <c:v>5.3903862183939985E-2</c:v>
                </c:pt>
                <c:pt idx="15">
                  <c:v>7.3396786635957487E-2</c:v>
                </c:pt>
                <c:pt idx="16">
                  <c:v>7.7044247430175489E-2</c:v>
                </c:pt>
                <c:pt idx="17">
                  <c:v>8.2607967860729825E-2</c:v>
                </c:pt>
                <c:pt idx="18">
                  <c:v>8.5304866320446246E-2</c:v>
                </c:pt>
                <c:pt idx="19">
                  <c:v>9.1956989247311827E-2</c:v>
                </c:pt>
                <c:pt idx="20">
                  <c:v>7.8812434189442837E-2</c:v>
                </c:pt>
                <c:pt idx="21">
                  <c:v>0.11704634721131187</c:v>
                </c:pt>
                <c:pt idx="22">
                  <c:v>0.12231863936133287</c:v>
                </c:pt>
                <c:pt idx="23">
                  <c:v>0.16574651231819532</c:v>
                </c:pt>
                <c:pt idx="24">
                  <c:v>0.19044596095857799</c:v>
                </c:pt>
                <c:pt idx="25">
                  <c:v>0.17858636553743204</c:v>
                </c:pt>
                <c:pt idx="26">
                  <c:v>0.4917910447761194</c:v>
                </c:pt>
              </c:numCache>
            </c:numRef>
          </c:val>
          <c:smooth val="0"/>
          <c:extLst>
            <c:ext xmlns:c16="http://schemas.microsoft.com/office/drawing/2014/chart" uri="{C3380CC4-5D6E-409C-BE32-E72D297353CC}">
              <c16:uniqueId val="{00000005-B7C1-4A73-9FE9-4CF9E6946E16}"/>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01008128"/>
        <c:axId val="101009664"/>
      </c:lineChart>
      <c:catAx>
        <c:axId val="10100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09664"/>
        <c:crosses val="autoZero"/>
        <c:auto val="1"/>
        <c:lblAlgn val="ctr"/>
        <c:lblOffset val="100"/>
        <c:noMultiLvlLbl val="0"/>
      </c:catAx>
      <c:valAx>
        <c:axId val="101009664"/>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08128"/>
        <c:crosses val="autoZero"/>
        <c:crossBetween val="between"/>
      </c:valAx>
      <c:spPr>
        <a:noFill/>
        <a:ln>
          <a:noFill/>
        </a:ln>
        <a:effectLst/>
      </c:spPr>
    </c:plotArea>
    <c:legend>
      <c:legendPos val="b"/>
      <c:layout>
        <c:manualLayout>
          <c:xMode val="edge"/>
          <c:yMode val="edge"/>
          <c:x val="0.16143815356413785"/>
          <c:y val="0.23757280468212383"/>
          <c:w val="0.6161273243622325"/>
          <c:h val="3.585839352844290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732397-83D3-4537-B37C-CFE976BF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35293</Words>
  <Characters>202584</Characters>
  <Application>Microsoft Office Word</Application>
  <DocSecurity>0</DocSecurity>
  <Lines>3492</Lines>
  <Paragraphs>1132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2020-06-26T12:56:00Z</dcterms:created>
  <dcterms:modified xsi:type="dcterms:W3CDTF">2020-06-30T20:33:00Z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CP-025</vt:lpwstr>
  </property>
</Properties>
</file>