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14A" w:rsidRDefault="004E7270">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955CE39-A640-48E4-B963-7B5436B8D117" style="width:450.4pt;height:424.35pt">
            <v:imagedata r:id="rId11" o:title=""/>
          </v:shape>
        </w:pict>
      </w:r>
    </w:p>
    <w:p w:rsidR="00FA714A" w:rsidRDefault="00FA714A">
      <w:pPr>
        <w:rPr>
          <w:noProof/>
        </w:rPr>
        <w:sectPr w:rsidR="00FA714A">
          <w:footerReference w:type="default" r:id="rId12"/>
          <w:pgSz w:w="11907" w:h="16839"/>
          <w:pgMar w:top="1134" w:right="1417" w:bottom="1134" w:left="1417" w:header="709" w:footer="709" w:gutter="0"/>
          <w:pgNumType w:start="0"/>
          <w:cols w:space="720"/>
          <w:docGrid w:linePitch="360"/>
        </w:sectPr>
      </w:pPr>
    </w:p>
    <w:p w:rsidR="00FA714A" w:rsidRDefault="004E7270">
      <w:pPr>
        <w:pStyle w:val="Annexetitre"/>
        <w:rPr>
          <w:noProof/>
        </w:rPr>
      </w:pPr>
      <w:r>
        <w:rPr>
          <w:noProof/>
        </w:rPr>
        <w:lastRenderedPageBreak/>
        <w:t>ANNEX  I Relevant legal acts in the field of skills, education and training</w:t>
      </w:r>
    </w:p>
    <w:p w:rsidR="00FA714A" w:rsidRDefault="004E7270">
      <w:pPr>
        <w:pStyle w:val="NumPar1"/>
        <w:numPr>
          <w:ilvl w:val="0"/>
          <w:numId w:val="11"/>
        </w:numPr>
        <w:rPr>
          <w:noProof/>
        </w:rPr>
      </w:pPr>
      <w:r>
        <w:rPr>
          <w:noProof/>
        </w:rPr>
        <w:t xml:space="preserve">Council Decision of 2 April 1963 laying down general principles for </w:t>
      </w:r>
      <w:r>
        <w:rPr>
          <w:noProof/>
        </w:rPr>
        <w:t>implementing a common vocational training policy</w:t>
      </w:r>
      <w:r>
        <w:rPr>
          <w:rStyle w:val="FootnoteReference"/>
          <w:noProof/>
        </w:rPr>
        <w:footnoteReference w:id="1"/>
      </w:r>
      <w:r>
        <w:rPr>
          <w:noProof/>
        </w:rPr>
        <w:t>.</w:t>
      </w:r>
    </w:p>
    <w:p w:rsidR="00FA714A" w:rsidRDefault="004E7270">
      <w:pPr>
        <w:pStyle w:val="NumPar1"/>
        <w:rPr>
          <w:noProof/>
        </w:rPr>
      </w:pPr>
      <w:r>
        <w:rPr>
          <w:noProof/>
        </w:rPr>
        <w:t>Council Recommendation of 20 December 2012 on the validation of non-formal and informal learning</w:t>
      </w:r>
      <w:r>
        <w:rPr>
          <w:rStyle w:val="FootnoteReference"/>
          <w:noProof/>
        </w:rPr>
        <w:footnoteReference w:id="2"/>
      </w:r>
      <w:r>
        <w:rPr>
          <w:noProof/>
        </w:rPr>
        <w:t xml:space="preserve"> calls Member States to have in place arrangements for the validation of non-formal and informal learning wh</w:t>
      </w:r>
      <w:r>
        <w:rPr>
          <w:noProof/>
        </w:rPr>
        <w:t>ich enables individuals to obtain qualifications which comply with agreed standards that are either the same as, or equivalent to, the standards for qualifications obtained through formal education programmes.</w:t>
      </w:r>
    </w:p>
    <w:p w:rsidR="00FA714A" w:rsidRDefault="004E7270">
      <w:pPr>
        <w:pStyle w:val="NumPar1"/>
        <w:rPr>
          <w:noProof/>
        </w:rPr>
      </w:pPr>
      <w:r>
        <w:rPr>
          <w:noProof/>
        </w:rPr>
        <w:t>The Joint Report of the Council and the Commis</w:t>
      </w:r>
      <w:r>
        <w:rPr>
          <w:noProof/>
        </w:rPr>
        <w:t>sion of 15 December 2015 on the implementation of the strategic framework for European cooperation in education and training (ET 2020) prioritised in the area of adult learning, inter alia, the provision of literacy, numeracy and digital skills and of suff</w:t>
      </w:r>
      <w:r>
        <w:rPr>
          <w:noProof/>
        </w:rPr>
        <w:t>icient second-chance opportunities leading to a recognised EQF qualification for those without EQF level 4</w:t>
      </w:r>
      <w:r>
        <w:rPr>
          <w:rStyle w:val="FootnoteReference"/>
          <w:noProof/>
        </w:rPr>
        <w:footnoteReference w:id="3"/>
      </w:r>
      <w:r>
        <w:rPr>
          <w:noProof/>
        </w:rPr>
        <w:t>. That Joint Report also includes medium-term deliverables for vocational education and training, including enhancing access to qualifications for al</w:t>
      </w:r>
      <w:r>
        <w:rPr>
          <w:noProof/>
        </w:rPr>
        <w:t>l through more flexible and permeable vocational education and training systems, in particular by offering efficient and integrated guidance services and making available validation of non-formal and informal learning.</w:t>
      </w:r>
    </w:p>
    <w:p w:rsidR="00FA714A" w:rsidRDefault="004E7270">
      <w:pPr>
        <w:pStyle w:val="NumPar1"/>
        <w:rPr>
          <w:noProof/>
        </w:rPr>
      </w:pPr>
      <w:r>
        <w:rPr>
          <w:noProof/>
        </w:rPr>
        <w:t>The Council Recommendation of 19 Dece</w:t>
      </w:r>
      <w:r>
        <w:rPr>
          <w:noProof/>
        </w:rPr>
        <w:t>mber 2016 on Upskilling Pathways: New Opportunities for Adults</w:t>
      </w:r>
      <w:r>
        <w:rPr>
          <w:rStyle w:val="FootnoteReference"/>
          <w:noProof/>
        </w:rPr>
        <w:footnoteReference w:id="4"/>
      </w:r>
      <w:r>
        <w:rPr>
          <w:noProof/>
        </w:rPr>
        <w:t>, calls on Member States to boost access to and take up of quality learning opportunities offered to adults with low levels of skills in three key steps: skills assessment, tailored learning of</w:t>
      </w:r>
      <w:r>
        <w:rPr>
          <w:noProof/>
        </w:rPr>
        <w:t>fer and validation and recognition of the skills acquired.</w:t>
      </w:r>
    </w:p>
    <w:p w:rsidR="00FA714A" w:rsidRDefault="004E7270">
      <w:pPr>
        <w:pStyle w:val="NumPar1"/>
        <w:rPr>
          <w:noProof/>
        </w:rPr>
      </w:pPr>
      <w:r>
        <w:rPr>
          <w:noProof/>
        </w:rPr>
        <w:t>The Council Recommendation of 22 May 2017 on the European Qualifications Framework (EQF) for lifelong learning</w:t>
      </w:r>
      <w:r>
        <w:rPr>
          <w:rStyle w:val="FootnoteReference"/>
          <w:noProof/>
        </w:rPr>
        <w:footnoteReference w:id="5"/>
      </w:r>
      <w:r>
        <w:rPr>
          <w:noProof/>
        </w:rPr>
        <w:t xml:space="preserve"> ensures that qualifications with an EQF level are underpinned by common principles fo</w:t>
      </w:r>
      <w:r>
        <w:rPr>
          <w:noProof/>
        </w:rPr>
        <w:t xml:space="preserve">r quality assurance (Annex IV of the EQF Recommendation) and that common principles for credit systems are used when qualifications with an EQF level are built on credits (Annex V of the EQF Recommendation). </w:t>
      </w:r>
    </w:p>
    <w:p w:rsidR="00FA714A" w:rsidRDefault="004E7270">
      <w:pPr>
        <w:pStyle w:val="NumPar1"/>
        <w:rPr>
          <w:noProof/>
        </w:rPr>
      </w:pPr>
      <w:r>
        <w:rPr>
          <w:noProof/>
        </w:rPr>
        <w:t xml:space="preserve">The Council Recommendation of 20 November 2017 </w:t>
      </w:r>
      <w:r>
        <w:rPr>
          <w:noProof/>
        </w:rPr>
        <w:t>on tracking graduates</w:t>
      </w:r>
      <w:r>
        <w:rPr>
          <w:rStyle w:val="FootnoteReference"/>
          <w:noProof/>
        </w:rPr>
        <w:footnoteReference w:id="6"/>
      </w:r>
      <w:r>
        <w:rPr>
          <w:noProof/>
        </w:rPr>
        <w:t xml:space="preserve"> calls upon Member States to improve the availability and quality of data about vocational education and training and higher education graduate outcomes by 2020.</w:t>
      </w:r>
    </w:p>
    <w:p w:rsidR="00FA714A" w:rsidRDefault="004E7270">
      <w:pPr>
        <w:pStyle w:val="NumPar1"/>
        <w:rPr>
          <w:noProof/>
        </w:rPr>
      </w:pPr>
      <w:r>
        <w:rPr>
          <w:noProof/>
        </w:rPr>
        <w:t xml:space="preserve">Decision (EU) 2018/646 of the European Parliament and of the Council of </w:t>
      </w:r>
      <w:r>
        <w:rPr>
          <w:noProof/>
        </w:rPr>
        <w:t>18 April 2018 on a common framework for the provision of better services for skills and qualifications (Europass)</w:t>
      </w:r>
      <w:r>
        <w:rPr>
          <w:rStyle w:val="FootnoteReference"/>
          <w:noProof/>
        </w:rPr>
        <w:footnoteReference w:id="7"/>
      </w:r>
      <w:r>
        <w:rPr>
          <w:noProof/>
        </w:rPr>
        <w:t xml:space="preserve"> establishes a platform that will support the documentation and description of skills and qualifications and offers an e-Portfolio tool for us</w:t>
      </w:r>
      <w:r>
        <w:rPr>
          <w:noProof/>
        </w:rPr>
        <w:t>ers (e.g. job-seekers, learners) to store information on their skills and qualifications, create CVs and job applications. It will also serve as a web portal with information on qualifications and qualification systems, guidance, validation, recognition an</w:t>
      </w:r>
      <w:r>
        <w:rPr>
          <w:noProof/>
        </w:rPr>
        <w:t xml:space="preserve">d </w:t>
      </w:r>
      <w:r>
        <w:rPr>
          <w:noProof/>
        </w:rPr>
        <w:lastRenderedPageBreak/>
        <w:t xml:space="preserve">other topics related to skills and qualifications. The new Europass service will also support use of authentication services (e.g. digital signatures/certificates). </w:t>
      </w:r>
    </w:p>
    <w:p w:rsidR="00FA714A" w:rsidRDefault="004E7270">
      <w:pPr>
        <w:pStyle w:val="NumPar1"/>
        <w:rPr>
          <w:noProof/>
        </w:rPr>
      </w:pPr>
      <w:r>
        <w:rPr>
          <w:noProof/>
        </w:rPr>
        <w:t>The Council Recommendation of 22 May 2018 on Key Competences for Lifelong Learning</w:t>
      </w:r>
      <w:r>
        <w:rPr>
          <w:rStyle w:val="FootnoteReference"/>
          <w:noProof/>
        </w:rPr>
        <w:footnoteReference w:id="8"/>
      </w:r>
      <w:r>
        <w:rPr>
          <w:noProof/>
        </w:rPr>
        <w:t xml:space="preserve"> stre</w:t>
      </w:r>
      <w:r>
        <w:rPr>
          <w:noProof/>
        </w:rPr>
        <w:t>sses the need for addressing the development of key competences in a lifelong learning perspective and to ensure support at all levels of education, training and learning including through the further development of initial and continuing vocational educat</w:t>
      </w:r>
      <w:r>
        <w:rPr>
          <w:noProof/>
        </w:rPr>
        <w:t>ion and training.</w:t>
      </w:r>
    </w:p>
    <w:p w:rsidR="00FA714A" w:rsidRDefault="004E7270">
      <w:pPr>
        <w:pStyle w:val="NumPar1"/>
        <w:rPr>
          <w:noProof/>
        </w:rPr>
      </w:pPr>
      <w:r>
        <w:rPr>
          <w:noProof/>
        </w:rPr>
        <w:t>The Council Recommendation of 26 November 2018 on promoting automatic mutual recognition of higher education and upper secondary education and training qualifications and the outcomes of learning periods abroad</w:t>
      </w:r>
      <w:r>
        <w:rPr>
          <w:rStyle w:val="FootnoteReference"/>
          <w:noProof/>
        </w:rPr>
        <w:footnoteReference w:id="9"/>
      </w:r>
      <w:r>
        <w:rPr>
          <w:noProof/>
        </w:rPr>
        <w:t xml:space="preserve"> invites Member States to p</w:t>
      </w:r>
      <w:r>
        <w:rPr>
          <w:noProof/>
        </w:rPr>
        <w:t>ut in place the steps necessary to achieve, by 2025, automatic recognition of higher education and upper secondary qualifications, as well as recognition of the outcomes of learning periods to work towards a European Education Area. This Recommendation str</w:t>
      </w:r>
      <w:r>
        <w:rPr>
          <w:noProof/>
        </w:rPr>
        <w:t>esses the need to further develop quality assurance instruments in vocational education and training in line with the European Framework for Quality Assurance in Vocational Education and Training and its further developments with a view to foster transpare</w:t>
      </w:r>
      <w:r>
        <w:rPr>
          <w:noProof/>
        </w:rPr>
        <w:t>ncy and build trust in each other's secondary education and training systems. To facilitate mobility and recognition of the outcomes of learning periods abroad, the Recommendation also calls on extending the use of the EU tools developed in vocational educ</w:t>
      </w:r>
      <w:r>
        <w:rPr>
          <w:noProof/>
        </w:rPr>
        <w:t>ation and training: such as those made available through the Europass online platform and the Memorandum of Understanding and Learning Agreement that are part of the European Credit System for Vocational Education and Training.</w:t>
      </w:r>
    </w:p>
    <w:p w:rsidR="00FA714A" w:rsidRDefault="004E7270">
      <w:pPr>
        <w:pStyle w:val="NumPar1"/>
        <w:rPr>
          <w:noProof/>
        </w:rPr>
      </w:pPr>
      <w:r>
        <w:rPr>
          <w:noProof/>
        </w:rPr>
        <w:t>The Council Conclusions on m</w:t>
      </w:r>
      <w:r>
        <w:rPr>
          <w:noProof/>
        </w:rPr>
        <w:t>oving towards a vision of a European Education Area</w:t>
      </w:r>
      <w:r>
        <w:rPr>
          <w:rStyle w:val="FootnoteReference"/>
          <w:noProof/>
        </w:rPr>
        <w:footnoteReference w:id="10"/>
      </w:r>
      <w:r>
        <w:rPr>
          <w:noProof/>
        </w:rPr>
        <w:t xml:space="preserve"> stress “that initiatives included in the concept and future actions to be proposed and undertaken as a part of a European Education Area … should include all levels and types of education and training, i</w:t>
      </w:r>
      <w:r>
        <w:rPr>
          <w:noProof/>
        </w:rPr>
        <w:t>ncluding adult education and vocational education and training”.</w:t>
      </w:r>
    </w:p>
    <w:p w:rsidR="00FA714A" w:rsidRDefault="004E7270">
      <w:pPr>
        <w:pStyle w:val="NumPar1"/>
        <w:rPr>
          <w:noProof/>
        </w:rPr>
      </w:pPr>
      <w:r>
        <w:rPr>
          <w:noProof/>
        </w:rPr>
        <w:t>The Council Resolution on further developing the European Education Area</w:t>
      </w:r>
      <w:r>
        <w:rPr>
          <w:rStyle w:val="FootnoteReference"/>
          <w:noProof/>
        </w:rPr>
        <w:footnoteReference w:id="11"/>
      </w:r>
      <w:r>
        <w:rPr>
          <w:noProof/>
        </w:rPr>
        <w:t xml:space="preserve"> to support future-oriented education and training systems recalls that “the area should be underpinned by the life-long learning continuum, from early childhood education and care to school and vocational education and training, to higher education and ad</w:t>
      </w:r>
      <w:r>
        <w:rPr>
          <w:noProof/>
        </w:rPr>
        <w:t>ult learning”.</w:t>
      </w:r>
    </w:p>
    <w:p w:rsidR="00FA714A" w:rsidRDefault="004E7270">
      <w:pPr>
        <w:pStyle w:val="NumPar1"/>
        <w:rPr>
          <w:noProof/>
        </w:rPr>
      </w:pPr>
      <w:r>
        <w:rPr>
          <w:noProof/>
        </w:rPr>
        <w:t>The 2019 Council Conclusions on the implementation of the Council Recommendation on Upskilling Pathways: New Opportunities for Adults</w:t>
      </w:r>
      <w:r>
        <w:rPr>
          <w:rStyle w:val="FootnoteReference"/>
          <w:noProof/>
        </w:rPr>
        <w:footnoteReference w:id="12"/>
      </w:r>
      <w:r>
        <w:rPr>
          <w:noProof/>
        </w:rPr>
        <w:t xml:space="preserve"> stresses the need to put in place sustainable long-term measures for adult upskilling and reskilling as pa</w:t>
      </w:r>
      <w:r>
        <w:rPr>
          <w:noProof/>
        </w:rPr>
        <w:t>rt of a broader strategic approach to lifelong skills development.</w:t>
      </w:r>
    </w:p>
    <w:p w:rsidR="00FA714A" w:rsidRDefault="004E7270">
      <w:pPr>
        <w:pStyle w:val="NumPar1"/>
        <w:rPr>
          <w:noProof/>
        </w:rPr>
      </w:pPr>
      <w:r>
        <w:rPr>
          <w:noProof/>
        </w:rPr>
        <w:t>The 2019 Council conclusions on the Economy of Wellbeing also invites Member States to promote comprehensive, life-long learning policies as well as skills and competence development throug</w:t>
      </w:r>
      <w:r>
        <w:rPr>
          <w:noProof/>
        </w:rPr>
        <w:t>hout life.</w:t>
      </w:r>
    </w:p>
    <w:p w:rsidR="00FA714A" w:rsidRDefault="004E7270">
      <w:pPr>
        <w:pStyle w:val="NumPar1"/>
        <w:ind w:left="851" w:hanging="851"/>
        <w:rPr>
          <w:noProof/>
        </w:rPr>
      </w:pPr>
      <w:r>
        <w:rPr>
          <w:noProof/>
        </w:rPr>
        <w:lastRenderedPageBreak/>
        <w:t>A Commission Communication on ‘Annual Sustainable Growth Strategy 2020’</w:t>
      </w:r>
      <w:r>
        <w:rPr>
          <w:rStyle w:val="FootnoteReference"/>
          <w:noProof/>
        </w:rPr>
        <w:footnoteReference w:id="13"/>
      </w:r>
      <w:r>
        <w:rPr>
          <w:noProof/>
        </w:rPr>
        <w:t xml:space="preserve"> sets the priorities for transforming the Union into a sustainable economy, driving the twin digital and green transition, transforming our Social Market Economy to ensure t</w:t>
      </w:r>
      <w:r>
        <w:rPr>
          <w:noProof/>
        </w:rPr>
        <w:t>hat Europe remains the home of the world’s most advanced welfare systems and is a vibrant hub of innovation and competitive entrepreneurship. It places a strong emphasis on the need to strengthen investment in skills and reforms of education and training s</w:t>
      </w:r>
      <w:r>
        <w:rPr>
          <w:noProof/>
        </w:rPr>
        <w:t>ystems.</w:t>
      </w:r>
    </w:p>
    <w:p w:rsidR="00FA714A" w:rsidRDefault="004E7270">
      <w:pPr>
        <w:pStyle w:val="Text1"/>
        <w:tabs>
          <w:tab w:val="left" w:pos="1792"/>
        </w:tabs>
        <w:rPr>
          <w:noProof/>
        </w:rPr>
      </w:pPr>
      <w:r>
        <w:rPr>
          <w:noProof/>
        </w:rPr>
        <w:tab/>
      </w:r>
    </w:p>
    <w:p w:rsidR="00FA714A" w:rsidRDefault="004E7270">
      <w:pPr>
        <w:tabs>
          <w:tab w:val="left" w:pos="1792"/>
        </w:tabs>
        <w:rPr>
          <w:noProof/>
        </w:rPr>
        <w:sectPr w:rsidR="00FA714A">
          <w:footerReference w:type="default" r:id="rId13"/>
          <w:footerReference w:type="first" r:id="rId14"/>
          <w:pgSz w:w="11907" w:h="16839"/>
          <w:pgMar w:top="1134" w:right="1417" w:bottom="1134" w:left="1417" w:header="709" w:footer="709" w:gutter="0"/>
          <w:cols w:space="720"/>
          <w:docGrid w:linePitch="360"/>
        </w:sectPr>
      </w:pPr>
      <w:r>
        <w:rPr>
          <w:noProof/>
        </w:rPr>
        <w:tab/>
      </w:r>
    </w:p>
    <w:p w:rsidR="00FA714A" w:rsidRDefault="004E7270">
      <w:pPr>
        <w:pStyle w:val="Annexetitre"/>
        <w:rPr>
          <w:noProof/>
        </w:rPr>
      </w:pPr>
      <w:r>
        <w:rPr>
          <w:noProof/>
        </w:rPr>
        <w:lastRenderedPageBreak/>
        <w:t>ANNEX II - The EQAVET Framework</w:t>
      </w:r>
    </w:p>
    <w:p w:rsidR="00FA714A" w:rsidRDefault="004E7270">
      <w:pPr>
        <w:widowControl w:val="0"/>
        <w:tabs>
          <w:tab w:val="left" w:pos="842"/>
        </w:tabs>
        <w:rPr>
          <w:rFonts w:eastAsia="Times New Roman"/>
          <w:b/>
          <w:noProof/>
          <w:szCs w:val="24"/>
          <w:lang w:bidi="en-US"/>
        </w:rPr>
      </w:pPr>
      <w:r>
        <w:rPr>
          <w:rFonts w:eastAsia="Times New Roman"/>
          <w:b/>
          <w:noProof/>
          <w:szCs w:val="24"/>
          <w:lang w:bidi="en-US"/>
        </w:rPr>
        <w:t xml:space="preserve">Part A. EQAVET indicative descriptors </w:t>
      </w:r>
    </w:p>
    <w:p w:rsidR="00FA714A" w:rsidRDefault="004E7270">
      <w:pPr>
        <w:rPr>
          <w:noProof/>
        </w:rPr>
      </w:pPr>
      <w:r>
        <w:rPr>
          <w:noProof/>
        </w:rPr>
        <w:t xml:space="preserve">The EQAVET indicative descriptors aim to support Member States and VET providers when implementing the EQAVET Framework. They are structured by phases of the quality cycle: </w:t>
      </w:r>
      <w:r>
        <w:rPr>
          <w:i/>
          <w:noProof/>
        </w:rPr>
        <w:t>Planning – Implementation – Evaluation – Review</w:t>
      </w:r>
      <w:r>
        <w:rPr>
          <w:noProof/>
        </w:rPr>
        <w:t>. They can be applied to both initia</w:t>
      </w:r>
      <w:r>
        <w:rPr>
          <w:noProof/>
        </w:rPr>
        <w:t>l and continuing VET and are applicable to all learning environments: school based provision and work based learning including apprenticeships schemes.</w:t>
      </w:r>
    </w:p>
    <w:tbl>
      <w:tblPr>
        <w:tblStyle w:val="TableGrid"/>
        <w:tblW w:w="5095" w:type="pct"/>
        <w:tblLook w:val="04A0" w:firstRow="1" w:lastRow="0" w:firstColumn="1" w:lastColumn="0" w:noHBand="0" w:noVBand="1"/>
      </w:tblPr>
      <w:tblGrid>
        <w:gridCol w:w="1951"/>
        <w:gridCol w:w="3878"/>
        <w:gridCol w:w="3634"/>
      </w:tblGrid>
      <w:tr w:rsidR="00FA714A">
        <w:trPr>
          <w:tblHeader/>
        </w:trPr>
        <w:tc>
          <w:tcPr>
            <w:tcW w:w="1031" w:type="pct"/>
            <w:shd w:val="clear" w:color="auto" w:fill="F2F2F2" w:themeFill="background1" w:themeFillShade="F2"/>
            <w:vAlign w:val="center"/>
          </w:tcPr>
          <w:p w:rsidR="00FA714A" w:rsidRDefault="004E7270">
            <w:pPr>
              <w:jc w:val="center"/>
              <w:rPr>
                <w:rFonts w:eastAsia="Times New Roman"/>
                <w:b/>
                <w:noProof/>
                <w:szCs w:val="24"/>
              </w:rPr>
            </w:pPr>
            <w:r>
              <w:rPr>
                <w:rFonts w:eastAsia="Times New Roman"/>
                <w:b/>
                <w:noProof/>
                <w:szCs w:val="24"/>
              </w:rPr>
              <w:t>Quality Criteria</w:t>
            </w:r>
          </w:p>
        </w:tc>
        <w:tc>
          <w:tcPr>
            <w:tcW w:w="2049" w:type="pct"/>
            <w:shd w:val="clear" w:color="auto" w:fill="F2F2F2" w:themeFill="background1" w:themeFillShade="F2"/>
            <w:vAlign w:val="center"/>
          </w:tcPr>
          <w:p w:rsidR="00FA714A" w:rsidRDefault="004E7270">
            <w:pPr>
              <w:jc w:val="center"/>
              <w:rPr>
                <w:rFonts w:eastAsia="Times New Roman"/>
                <w:b/>
                <w:noProof/>
                <w:szCs w:val="24"/>
              </w:rPr>
            </w:pPr>
            <w:r>
              <w:rPr>
                <w:rFonts w:eastAsia="Times New Roman"/>
                <w:b/>
                <w:noProof/>
                <w:szCs w:val="24"/>
              </w:rPr>
              <w:t>Indicative descriptors at VET-system level</w:t>
            </w:r>
          </w:p>
        </w:tc>
        <w:tc>
          <w:tcPr>
            <w:tcW w:w="1920" w:type="pct"/>
            <w:shd w:val="clear" w:color="auto" w:fill="F2F2F2" w:themeFill="background1" w:themeFillShade="F2"/>
            <w:vAlign w:val="center"/>
          </w:tcPr>
          <w:p w:rsidR="00FA714A" w:rsidRDefault="004E7270">
            <w:pPr>
              <w:jc w:val="center"/>
              <w:rPr>
                <w:rFonts w:eastAsia="Times New Roman"/>
                <w:b/>
                <w:noProof/>
                <w:szCs w:val="24"/>
              </w:rPr>
            </w:pPr>
            <w:r>
              <w:rPr>
                <w:rFonts w:eastAsia="Times New Roman"/>
                <w:b/>
                <w:noProof/>
                <w:szCs w:val="24"/>
              </w:rPr>
              <w:t>Indicative descriptors at VET-provider level</w:t>
            </w:r>
          </w:p>
        </w:tc>
      </w:tr>
      <w:tr w:rsidR="00FA714A">
        <w:tc>
          <w:tcPr>
            <w:tcW w:w="1031" w:type="pct"/>
            <w:vAlign w:val="center"/>
          </w:tcPr>
          <w:p w:rsidR="00FA714A" w:rsidRDefault="004E7270">
            <w:pPr>
              <w:jc w:val="left"/>
              <w:rPr>
                <w:noProof/>
              </w:rPr>
            </w:pPr>
            <w:r>
              <w:rPr>
                <w:rFonts w:eastAsia="Times New Roman"/>
                <w:noProof/>
                <w:szCs w:val="24"/>
              </w:rPr>
              <w:t>Planning reflects a strategic vision shared by the relevant stake­ holders and includes explicit goals/objectives, actions and indicators</w:t>
            </w:r>
          </w:p>
        </w:tc>
        <w:tc>
          <w:tcPr>
            <w:tcW w:w="2049" w:type="pct"/>
            <w:vAlign w:val="center"/>
          </w:tcPr>
          <w:p w:rsidR="00FA714A" w:rsidRDefault="004E7270">
            <w:pPr>
              <w:jc w:val="left"/>
              <w:rPr>
                <w:rFonts w:eastAsia="Times New Roman"/>
                <w:noProof/>
                <w:szCs w:val="24"/>
              </w:rPr>
            </w:pPr>
            <w:r>
              <w:rPr>
                <w:rFonts w:eastAsia="Times New Roman"/>
                <w:noProof/>
                <w:szCs w:val="24"/>
              </w:rPr>
              <w:t xml:space="preserve">Goals/objectives of VET are described for the medium and long terms, and linked to European and Sustainable Development Goals taking into account environmental sustainability considerations </w:t>
            </w:r>
          </w:p>
          <w:p w:rsidR="00FA714A" w:rsidRDefault="004E7270">
            <w:pPr>
              <w:jc w:val="left"/>
              <w:rPr>
                <w:rFonts w:eastAsia="Times New Roman"/>
                <w:noProof/>
                <w:szCs w:val="24"/>
              </w:rPr>
            </w:pPr>
            <w:r>
              <w:rPr>
                <w:rFonts w:eastAsia="Times New Roman"/>
                <w:noProof/>
                <w:szCs w:val="24"/>
              </w:rPr>
              <w:t>Social partners and all other relevant stakeholders participate i</w:t>
            </w:r>
            <w:r>
              <w:rPr>
                <w:rFonts w:eastAsia="Times New Roman"/>
                <w:noProof/>
                <w:szCs w:val="24"/>
              </w:rPr>
              <w:t>n setting VET goals and objectives at the different levels</w:t>
            </w:r>
          </w:p>
          <w:p w:rsidR="00FA714A" w:rsidRDefault="004E7270">
            <w:pPr>
              <w:jc w:val="left"/>
              <w:rPr>
                <w:rFonts w:eastAsia="Times New Roman"/>
                <w:noProof/>
                <w:szCs w:val="24"/>
              </w:rPr>
            </w:pPr>
            <w:r>
              <w:rPr>
                <w:rFonts w:eastAsia="Times New Roman"/>
                <w:noProof/>
                <w:szCs w:val="24"/>
              </w:rPr>
              <w:t>Targets are established and monitored through specific indicators (success criteria)</w:t>
            </w:r>
          </w:p>
          <w:p w:rsidR="00FA714A" w:rsidRDefault="004E7270">
            <w:pPr>
              <w:jc w:val="left"/>
              <w:rPr>
                <w:rFonts w:eastAsia="Times New Roman"/>
                <w:noProof/>
                <w:szCs w:val="24"/>
              </w:rPr>
            </w:pPr>
            <w:r>
              <w:rPr>
                <w:rFonts w:eastAsia="Times New Roman"/>
                <w:noProof/>
                <w:szCs w:val="24"/>
              </w:rPr>
              <w:t xml:space="preserve">Mechanisms and procedures have been established to identify the training needs of the labour market and society </w:t>
            </w:r>
          </w:p>
          <w:p w:rsidR="00FA714A" w:rsidRDefault="004E7270">
            <w:pPr>
              <w:jc w:val="left"/>
              <w:rPr>
                <w:rFonts w:eastAsia="Times New Roman"/>
                <w:noProof/>
                <w:szCs w:val="24"/>
              </w:rPr>
            </w:pPr>
            <w:r>
              <w:rPr>
                <w:rFonts w:eastAsia="Times New Roman"/>
                <w:noProof/>
                <w:szCs w:val="24"/>
              </w:rPr>
              <w:t>An information policy has been devised to ensure optimum disclosure of quality results/outcomes subject to national/ regional data protection requirements</w:t>
            </w:r>
          </w:p>
          <w:p w:rsidR="00FA714A" w:rsidRDefault="004E7270">
            <w:pPr>
              <w:jc w:val="left"/>
              <w:rPr>
                <w:rFonts w:eastAsia="Times New Roman"/>
                <w:noProof/>
                <w:szCs w:val="24"/>
              </w:rPr>
            </w:pPr>
            <w:r>
              <w:rPr>
                <w:rFonts w:eastAsia="Times New Roman"/>
                <w:noProof/>
                <w:szCs w:val="24"/>
              </w:rPr>
              <w:t>Standards and guidelines for recognition, validation and certification of competences of individuals</w:t>
            </w:r>
            <w:r>
              <w:rPr>
                <w:rFonts w:eastAsia="Times New Roman"/>
                <w:noProof/>
                <w:szCs w:val="24"/>
              </w:rPr>
              <w:t xml:space="preserve"> have been defined</w:t>
            </w:r>
          </w:p>
          <w:p w:rsidR="00FA714A" w:rsidRDefault="004E7270">
            <w:pPr>
              <w:jc w:val="left"/>
              <w:rPr>
                <w:noProof/>
                <w:szCs w:val="24"/>
              </w:rPr>
            </w:pPr>
            <w:r>
              <w:rPr>
                <w:noProof/>
                <w:szCs w:val="24"/>
              </w:rPr>
              <w:t>VET qualifications are described using learning outcomes</w:t>
            </w:r>
          </w:p>
          <w:p w:rsidR="00FA714A" w:rsidRDefault="004E7270">
            <w:pPr>
              <w:jc w:val="left"/>
              <w:rPr>
                <w:noProof/>
                <w:szCs w:val="24"/>
              </w:rPr>
            </w:pPr>
            <w:r>
              <w:rPr>
                <w:noProof/>
                <w:szCs w:val="24"/>
              </w:rPr>
              <w:t>Mechanisms are established for the quality assurance of the design, assessment and review of qualifications</w:t>
            </w:r>
          </w:p>
          <w:p w:rsidR="00FA714A" w:rsidRDefault="004E7270">
            <w:pPr>
              <w:jc w:val="left"/>
              <w:rPr>
                <w:noProof/>
              </w:rPr>
            </w:pPr>
            <w:r>
              <w:rPr>
                <w:rFonts w:eastAsia="Times New Roman"/>
                <w:noProof/>
                <w:szCs w:val="24"/>
              </w:rPr>
              <w:t>VET programmes are designed to allow flexible learning pathways and to r</w:t>
            </w:r>
            <w:r>
              <w:rPr>
                <w:rFonts w:eastAsia="Times New Roman"/>
                <w:noProof/>
                <w:szCs w:val="24"/>
              </w:rPr>
              <w:t xml:space="preserve">espond quickly to changing labour </w:t>
            </w:r>
            <w:r>
              <w:rPr>
                <w:rFonts w:eastAsia="Times New Roman"/>
                <w:noProof/>
                <w:szCs w:val="24"/>
              </w:rPr>
              <w:lastRenderedPageBreak/>
              <w:t>market needs</w:t>
            </w:r>
          </w:p>
        </w:tc>
        <w:tc>
          <w:tcPr>
            <w:tcW w:w="1920" w:type="pct"/>
            <w:vAlign w:val="center"/>
          </w:tcPr>
          <w:p w:rsidR="00FA714A" w:rsidRDefault="004E7270">
            <w:pPr>
              <w:jc w:val="left"/>
              <w:rPr>
                <w:rFonts w:eastAsia="Times New Roman"/>
                <w:noProof/>
                <w:szCs w:val="24"/>
              </w:rPr>
            </w:pPr>
            <w:r>
              <w:rPr>
                <w:rFonts w:eastAsia="Times New Roman"/>
                <w:noProof/>
                <w:szCs w:val="24"/>
              </w:rPr>
              <w:lastRenderedPageBreak/>
              <w:t>European, national and regional VET policy goals/objectives are reflected in the local targets set by the VET providers</w:t>
            </w:r>
          </w:p>
          <w:p w:rsidR="00FA714A" w:rsidRDefault="004E7270">
            <w:pPr>
              <w:jc w:val="left"/>
              <w:rPr>
                <w:rFonts w:eastAsia="Times New Roman"/>
                <w:noProof/>
                <w:szCs w:val="24"/>
              </w:rPr>
            </w:pPr>
            <w:r>
              <w:rPr>
                <w:rFonts w:eastAsia="Times New Roman"/>
                <w:noProof/>
                <w:szCs w:val="24"/>
              </w:rPr>
              <w:t xml:space="preserve">Explicit goals/objectives and targets are set and monitored, </w:t>
            </w:r>
            <w:r>
              <w:rPr>
                <w:noProof/>
                <w:szCs w:val="24"/>
              </w:rPr>
              <w:t xml:space="preserve">and programmes are designed </w:t>
            </w:r>
            <w:r>
              <w:rPr>
                <w:noProof/>
                <w:szCs w:val="24"/>
              </w:rPr>
              <w:t>to meet them</w:t>
            </w:r>
          </w:p>
          <w:p w:rsidR="00FA714A" w:rsidRDefault="004E7270">
            <w:pPr>
              <w:jc w:val="left"/>
              <w:rPr>
                <w:rFonts w:eastAsia="Times New Roman"/>
                <w:noProof/>
                <w:szCs w:val="24"/>
              </w:rPr>
            </w:pPr>
            <w:r>
              <w:rPr>
                <w:rFonts w:eastAsia="Times New Roman"/>
                <w:noProof/>
                <w:szCs w:val="24"/>
              </w:rPr>
              <w:t>Ongoing</w:t>
            </w:r>
            <w:r>
              <w:rPr>
                <w:rFonts w:eastAsia="Times New Roman"/>
                <w:noProof/>
                <w:spacing w:val="18"/>
                <w:szCs w:val="24"/>
              </w:rPr>
              <w:t xml:space="preserve"> </w:t>
            </w:r>
            <w:r>
              <w:rPr>
                <w:rFonts w:eastAsia="Times New Roman"/>
                <w:noProof/>
                <w:szCs w:val="24"/>
              </w:rPr>
              <w:t>consultation</w:t>
            </w:r>
            <w:r>
              <w:rPr>
                <w:rFonts w:eastAsia="Times New Roman"/>
                <w:noProof/>
                <w:spacing w:val="11"/>
                <w:szCs w:val="24"/>
              </w:rPr>
              <w:t xml:space="preserve"> </w:t>
            </w:r>
            <w:r>
              <w:rPr>
                <w:rFonts w:eastAsia="Times New Roman"/>
                <w:noProof/>
                <w:szCs w:val="24"/>
              </w:rPr>
              <w:t>with</w:t>
            </w:r>
            <w:r>
              <w:rPr>
                <w:rFonts w:eastAsia="Times New Roman"/>
                <w:noProof/>
                <w:spacing w:val="21"/>
                <w:szCs w:val="24"/>
              </w:rPr>
              <w:t xml:space="preserve"> </w:t>
            </w:r>
            <w:r>
              <w:rPr>
                <w:noProof/>
                <w:szCs w:val="24"/>
              </w:rPr>
              <w:t>social partners and all other</w:t>
            </w:r>
            <w:r>
              <w:rPr>
                <w:rFonts w:eastAsia="Times New Roman"/>
                <w:noProof/>
                <w:spacing w:val="21"/>
                <w:szCs w:val="24"/>
              </w:rPr>
              <w:t xml:space="preserve"> </w:t>
            </w:r>
            <w:r>
              <w:rPr>
                <w:rFonts w:eastAsia="Times New Roman"/>
                <w:noProof/>
                <w:szCs w:val="24"/>
              </w:rPr>
              <w:t>relevant stakeholders takes place to identify specific local/ individual needs</w:t>
            </w:r>
          </w:p>
          <w:p w:rsidR="00FA714A" w:rsidRDefault="004E7270">
            <w:pPr>
              <w:jc w:val="left"/>
              <w:rPr>
                <w:rFonts w:eastAsia="Times New Roman"/>
                <w:noProof/>
                <w:szCs w:val="24"/>
              </w:rPr>
            </w:pPr>
            <w:r>
              <w:rPr>
                <w:rFonts w:eastAsia="Times New Roman"/>
                <w:noProof/>
                <w:szCs w:val="24"/>
              </w:rPr>
              <w:t>Responsibilities in quality management and development have been explicitly allocated</w:t>
            </w:r>
          </w:p>
          <w:p w:rsidR="00FA714A" w:rsidRDefault="004E7270">
            <w:pPr>
              <w:jc w:val="left"/>
              <w:rPr>
                <w:rFonts w:eastAsia="Times New Roman"/>
                <w:noProof/>
                <w:szCs w:val="24"/>
              </w:rPr>
            </w:pPr>
            <w:r>
              <w:rPr>
                <w:rFonts w:eastAsia="Times New Roman"/>
                <w:noProof/>
                <w:szCs w:val="24"/>
              </w:rPr>
              <w:t xml:space="preserve">There is an early </w:t>
            </w:r>
            <w:r>
              <w:rPr>
                <w:rFonts w:eastAsia="Times New Roman"/>
                <w:noProof/>
                <w:szCs w:val="24"/>
              </w:rPr>
              <w:t>involvement of staff in planning, including with regard to quality development</w:t>
            </w:r>
          </w:p>
          <w:p w:rsidR="00FA714A" w:rsidRDefault="004E7270">
            <w:pPr>
              <w:jc w:val="left"/>
              <w:rPr>
                <w:rFonts w:eastAsia="Times New Roman"/>
                <w:noProof/>
                <w:szCs w:val="24"/>
              </w:rPr>
            </w:pPr>
            <w:r>
              <w:rPr>
                <w:rFonts w:eastAsia="Times New Roman"/>
                <w:noProof/>
                <w:szCs w:val="24"/>
              </w:rPr>
              <w:t>Providers plan cooperative initiatives with relevant stakeholders</w:t>
            </w:r>
          </w:p>
          <w:p w:rsidR="00FA714A" w:rsidRDefault="004E7270">
            <w:pPr>
              <w:jc w:val="left"/>
              <w:rPr>
                <w:rFonts w:eastAsia="Times New Roman"/>
                <w:noProof/>
                <w:szCs w:val="24"/>
              </w:rPr>
            </w:pPr>
            <w:r>
              <w:rPr>
                <w:rFonts w:eastAsia="Times New Roman"/>
                <w:noProof/>
                <w:szCs w:val="24"/>
              </w:rPr>
              <w:t>The relevant stakeholders participate in the process of analysing local needs</w:t>
            </w:r>
          </w:p>
          <w:p w:rsidR="00FA714A" w:rsidRDefault="004E7270">
            <w:pPr>
              <w:jc w:val="left"/>
              <w:rPr>
                <w:rFonts w:eastAsia="Times New Roman"/>
                <w:noProof/>
                <w:szCs w:val="24"/>
              </w:rPr>
            </w:pPr>
            <w:r>
              <w:rPr>
                <w:rFonts w:eastAsia="Times New Roman"/>
                <w:noProof/>
                <w:szCs w:val="24"/>
              </w:rPr>
              <w:t>VET providers have an explicit an</w:t>
            </w:r>
            <w:r>
              <w:rPr>
                <w:rFonts w:eastAsia="Times New Roman"/>
                <w:noProof/>
                <w:szCs w:val="24"/>
              </w:rPr>
              <w:t xml:space="preserve">d transparent quality assurance system in place </w:t>
            </w:r>
          </w:p>
          <w:p w:rsidR="00FA714A" w:rsidRDefault="004E7270">
            <w:pPr>
              <w:jc w:val="left"/>
              <w:rPr>
                <w:rFonts w:eastAsia="Times New Roman"/>
                <w:noProof/>
                <w:szCs w:val="24"/>
              </w:rPr>
            </w:pPr>
            <w:r>
              <w:rPr>
                <w:noProof/>
                <w:szCs w:val="24"/>
              </w:rPr>
              <w:t xml:space="preserve">Measures are designed to ensure compliance with data protection rules </w:t>
            </w:r>
          </w:p>
          <w:p w:rsidR="00FA714A" w:rsidRDefault="00FA714A">
            <w:pPr>
              <w:jc w:val="left"/>
              <w:rPr>
                <w:noProof/>
              </w:rPr>
            </w:pPr>
          </w:p>
        </w:tc>
      </w:tr>
      <w:tr w:rsidR="00FA714A">
        <w:tc>
          <w:tcPr>
            <w:tcW w:w="1031" w:type="pct"/>
            <w:vAlign w:val="center"/>
          </w:tcPr>
          <w:p w:rsidR="00FA714A" w:rsidRDefault="004E7270">
            <w:pPr>
              <w:jc w:val="left"/>
              <w:rPr>
                <w:noProof/>
              </w:rPr>
            </w:pPr>
            <w:r>
              <w:rPr>
                <w:rFonts w:eastAsia="Times New Roman"/>
                <w:noProof/>
                <w:szCs w:val="24"/>
              </w:rPr>
              <w:t>Implementation plans are devised in consultation with stakeholders and include explicit principles</w:t>
            </w:r>
          </w:p>
        </w:tc>
        <w:tc>
          <w:tcPr>
            <w:tcW w:w="2049" w:type="pct"/>
            <w:vAlign w:val="center"/>
          </w:tcPr>
          <w:p w:rsidR="00FA714A" w:rsidRDefault="004E7270">
            <w:pPr>
              <w:jc w:val="left"/>
              <w:rPr>
                <w:rFonts w:eastAsia="Times New Roman"/>
                <w:noProof/>
                <w:szCs w:val="24"/>
              </w:rPr>
            </w:pPr>
            <w:r>
              <w:rPr>
                <w:rFonts w:eastAsia="Times New Roman"/>
                <w:noProof/>
                <w:szCs w:val="24"/>
              </w:rPr>
              <w:t xml:space="preserve">Implementation plans are </w:t>
            </w:r>
            <w:r>
              <w:rPr>
                <w:rFonts w:eastAsia="Times New Roman"/>
                <w:noProof/>
                <w:szCs w:val="24"/>
              </w:rPr>
              <w:t>established in cooperation with social partners, VET providers and other relevant stakeholders at the different levels</w:t>
            </w:r>
          </w:p>
          <w:p w:rsidR="00FA714A" w:rsidRDefault="004E7270">
            <w:pPr>
              <w:jc w:val="left"/>
              <w:rPr>
                <w:rFonts w:eastAsia="Times New Roman"/>
                <w:noProof/>
                <w:szCs w:val="24"/>
              </w:rPr>
            </w:pPr>
            <w:r>
              <w:rPr>
                <w:rFonts w:eastAsia="Times New Roman"/>
                <w:noProof/>
                <w:szCs w:val="24"/>
              </w:rPr>
              <w:t>Implementation plans include consideration of the resources required, the capacity of the users and the tools and guidelines needed for s</w:t>
            </w:r>
            <w:r>
              <w:rPr>
                <w:rFonts w:eastAsia="Times New Roman"/>
                <w:noProof/>
                <w:szCs w:val="24"/>
              </w:rPr>
              <w:t>upport</w:t>
            </w:r>
          </w:p>
          <w:p w:rsidR="00FA714A" w:rsidRDefault="004E7270">
            <w:pPr>
              <w:jc w:val="left"/>
              <w:rPr>
                <w:rFonts w:eastAsia="Times New Roman"/>
                <w:noProof/>
                <w:szCs w:val="24"/>
              </w:rPr>
            </w:pPr>
            <w:r>
              <w:rPr>
                <w:rFonts w:eastAsia="Times New Roman"/>
                <w:noProof/>
                <w:szCs w:val="24"/>
              </w:rPr>
              <w:t xml:space="preserve">Guidelines and standards have been devised for implementation at different levels. </w:t>
            </w:r>
            <w:r>
              <w:rPr>
                <w:noProof/>
                <w:szCs w:val="24"/>
              </w:rPr>
              <w:t>These guidelines and standards include assessment, validation and certification of qualifications</w:t>
            </w:r>
          </w:p>
          <w:p w:rsidR="00FA714A" w:rsidRDefault="004E7270">
            <w:pPr>
              <w:jc w:val="left"/>
              <w:rPr>
                <w:rFonts w:eastAsia="Times New Roman"/>
                <w:noProof/>
                <w:szCs w:val="24"/>
              </w:rPr>
            </w:pPr>
            <w:r>
              <w:rPr>
                <w:rFonts w:eastAsia="Times New Roman"/>
                <w:noProof/>
                <w:szCs w:val="24"/>
              </w:rPr>
              <w:t>Implementation plans include specific support towards the training o</w:t>
            </w:r>
            <w:r>
              <w:rPr>
                <w:rFonts w:eastAsia="Times New Roman"/>
                <w:noProof/>
                <w:szCs w:val="24"/>
              </w:rPr>
              <w:t>f teachers and trainers, including for digital skills and environmental sustainability</w:t>
            </w:r>
          </w:p>
          <w:p w:rsidR="00FA714A" w:rsidRDefault="004E7270">
            <w:pPr>
              <w:jc w:val="left"/>
              <w:rPr>
                <w:rFonts w:eastAsia="Times New Roman"/>
                <w:noProof/>
                <w:szCs w:val="24"/>
              </w:rPr>
            </w:pPr>
            <w:r>
              <w:rPr>
                <w:rFonts w:eastAsia="Times New Roman"/>
                <w:noProof/>
                <w:szCs w:val="24"/>
              </w:rPr>
              <w:t>VET providers’ responsibilities in the implementation process are explicitly described and made transparent</w:t>
            </w:r>
          </w:p>
          <w:p w:rsidR="00FA714A" w:rsidRDefault="004E7270">
            <w:pPr>
              <w:jc w:val="left"/>
              <w:rPr>
                <w:noProof/>
              </w:rPr>
            </w:pPr>
            <w:r>
              <w:rPr>
                <w:rFonts w:eastAsia="Times New Roman"/>
                <w:noProof/>
                <w:szCs w:val="24"/>
              </w:rPr>
              <w:t>A national and/or regional quality assurance framework has be</w:t>
            </w:r>
            <w:r>
              <w:rPr>
                <w:rFonts w:eastAsia="Times New Roman"/>
                <w:noProof/>
                <w:szCs w:val="24"/>
              </w:rPr>
              <w:t>en devised and includes guidelines and quality standards at VET- provider level to promote continuous improvement and self-regulation</w:t>
            </w:r>
          </w:p>
        </w:tc>
        <w:tc>
          <w:tcPr>
            <w:tcW w:w="1920" w:type="pct"/>
            <w:vAlign w:val="center"/>
          </w:tcPr>
          <w:p w:rsidR="00FA714A" w:rsidRDefault="004E7270">
            <w:pPr>
              <w:jc w:val="left"/>
              <w:rPr>
                <w:rFonts w:eastAsia="Times New Roman"/>
                <w:noProof/>
                <w:szCs w:val="24"/>
              </w:rPr>
            </w:pPr>
            <w:r>
              <w:rPr>
                <w:rFonts w:eastAsia="Times New Roman"/>
                <w:noProof/>
                <w:szCs w:val="24"/>
              </w:rPr>
              <w:t>Resources are</w:t>
            </w:r>
            <w:r>
              <w:rPr>
                <w:rFonts w:eastAsia="Times New Roman"/>
                <w:noProof/>
                <w:spacing w:val="12"/>
                <w:szCs w:val="24"/>
              </w:rPr>
              <w:t xml:space="preserve"> </w:t>
            </w:r>
            <w:r>
              <w:rPr>
                <w:rFonts w:eastAsia="Times New Roman"/>
                <w:noProof/>
                <w:szCs w:val="24"/>
              </w:rPr>
              <w:t>appropriately</w:t>
            </w:r>
            <w:r>
              <w:rPr>
                <w:rFonts w:eastAsia="Times New Roman"/>
                <w:noProof/>
                <w:spacing w:val="-9"/>
                <w:szCs w:val="24"/>
              </w:rPr>
              <w:t xml:space="preserve"> </w:t>
            </w:r>
            <w:r>
              <w:rPr>
                <w:rFonts w:eastAsia="Times New Roman"/>
                <w:noProof/>
                <w:szCs w:val="24"/>
              </w:rPr>
              <w:t>internally</w:t>
            </w:r>
            <w:r>
              <w:rPr>
                <w:rFonts w:eastAsia="Times New Roman"/>
                <w:noProof/>
                <w:spacing w:val="-5"/>
                <w:szCs w:val="24"/>
              </w:rPr>
              <w:t xml:space="preserve"> </w:t>
            </w:r>
            <w:r>
              <w:rPr>
                <w:rFonts w:eastAsia="Times New Roman"/>
                <w:noProof/>
                <w:szCs w:val="24"/>
              </w:rPr>
              <w:t>aligned/assigned</w:t>
            </w:r>
            <w:r>
              <w:rPr>
                <w:rFonts w:eastAsia="Times New Roman"/>
                <w:noProof/>
                <w:spacing w:val="-4"/>
                <w:szCs w:val="24"/>
              </w:rPr>
              <w:t xml:space="preserve"> </w:t>
            </w:r>
            <w:r>
              <w:rPr>
                <w:rFonts w:eastAsia="Times New Roman"/>
                <w:noProof/>
                <w:szCs w:val="24"/>
              </w:rPr>
              <w:t>with</w:t>
            </w:r>
            <w:r>
              <w:rPr>
                <w:rFonts w:eastAsia="Times New Roman"/>
                <w:noProof/>
                <w:spacing w:val="24"/>
                <w:szCs w:val="24"/>
              </w:rPr>
              <w:t xml:space="preserve"> </w:t>
            </w:r>
            <w:r>
              <w:rPr>
                <w:rFonts w:eastAsia="Times New Roman"/>
                <w:noProof/>
                <w:szCs w:val="24"/>
              </w:rPr>
              <w:t>a</w:t>
            </w:r>
            <w:r>
              <w:rPr>
                <w:rFonts w:eastAsia="Times New Roman"/>
                <w:noProof/>
                <w:spacing w:val="28"/>
                <w:szCs w:val="24"/>
              </w:rPr>
              <w:t xml:space="preserve"> </w:t>
            </w:r>
            <w:r>
              <w:rPr>
                <w:rFonts w:eastAsia="Times New Roman"/>
                <w:noProof/>
                <w:szCs w:val="24"/>
              </w:rPr>
              <w:t>view</w:t>
            </w:r>
            <w:r>
              <w:rPr>
                <w:rFonts w:eastAsia="Times New Roman"/>
                <w:noProof/>
                <w:spacing w:val="4"/>
                <w:szCs w:val="24"/>
              </w:rPr>
              <w:t xml:space="preserve"> </w:t>
            </w:r>
            <w:r>
              <w:rPr>
                <w:rFonts w:eastAsia="Times New Roman"/>
                <w:noProof/>
                <w:szCs w:val="24"/>
              </w:rPr>
              <w:t>to</w:t>
            </w:r>
            <w:r>
              <w:rPr>
                <w:rFonts w:eastAsia="Times New Roman"/>
                <w:noProof/>
                <w:spacing w:val="36"/>
                <w:szCs w:val="24"/>
              </w:rPr>
              <w:t xml:space="preserve"> </w:t>
            </w:r>
            <w:r>
              <w:rPr>
                <w:rFonts w:eastAsia="Times New Roman"/>
                <w:noProof/>
                <w:szCs w:val="24"/>
              </w:rPr>
              <w:t>achieving</w:t>
            </w:r>
            <w:r>
              <w:rPr>
                <w:rFonts w:eastAsia="Times New Roman"/>
                <w:noProof/>
                <w:spacing w:val="-10"/>
                <w:szCs w:val="24"/>
              </w:rPr>
              <w:t xml:space="preserve"> </w:t>
            </w:r>
            <w:r>
              <w:rPr>
                <w:rFonts w:eastAsia="Times New Roman"/>
                <w:noProof/>
                <w:szCs w:val="24"/>
              </w:rPr>
              <w:t>the</w:t>
            </w:r>
            <w:r>
              <w:rPr>
                <w:rFonts w:eastAsia="Times New Roman"/>
                <w:noProof/>
                <w:spacing w:val="29"/>
                <w:szCs w:val="24"/>
              </w:rPr>
              <w:t xml:space="preserve"> </w:t>
            </w:r>
            <w:r>
              <w:rPr>
                <w:rFonts w:eastAsia="Times New Roman"/>
                <w:noProof/>
                <w:szCs w:val="24"/>
              </w:rPr>
              <w:t>targets set</w:t>
            </w:r>
            <w:r>
              <w:rPr>
                <w:rFonts w:eastAsia="Times New Roman"/>
                <w:noProof/>
                <w:spacing w:val="16"/>
                <w:szCs w:val="24"/>
              </w:rPr>
              <w:t xml:space="preserve"> </w:t>
            </w:r>
            <w:r>
              <w:rPr>
                <w:rFonts w:eastAsia="Times New Roman"/>
                <w:noProof/>
                <w:szCs w:val="24"/>
              </w:rPr>
              <w:t>in</w:t>
            </w:r>
            <w:r>
              <w:rPr>
                <w:rFonts w:eastAsia="Times New Roman"/>
                <w:noProof/>
                <w:spacing w:val="23"/>
                <w:szCs w:val="24"/>
              </w:rPr>
              <w:t xml:space="preserve"> </w:t>
            </w:r>
            <w:r>
              <w:rPr>
                <w:rFonts w:eastAsia="Times New Roman"/>
                <w:noProof/>
                <w:szCs w:val="24"/>
              </w:rPr>
              <w:t>the</w:t>
            </w:r>
            <w:r>
              <w:rPr>
                <w:rFonts w:eastAsia="Times New Roman"/>
                <w:noProof/>
                <w:spacing w:val="23"/>
                <w:szCs w:val="24"/>
              </w:rPr>
              <w:t xml:space="preserve"> </w:t>
            </w:r>
            <w:r>
              <w:rPr>
                <w:rFonts w:eastAsia="Times New Roman"/>
                <w:noProof/>
                <w:szCs w:val="24"/>
              </w:rPr>
              <w:t>implementation</w:t>
            </w:r>
            <w:r>
              <w:rPr>
                <w:rFonts w:eastAsia="Times New Roman"/>
                <w:noProof/>
                <w:spacing w:val="3"/>
                <w:szCs w:val="24"/>
              </w:rPr>
              <w:t xml:space="preserve"> </w:t>
            </w:r>
            <w:r>
              <w:rPr>
                <w:rFonts w:eastAsia="Times New Roman"/>
                <w:noProof/>
                <w:szCs w:val="24"/>
              </w:rPr>
              <w:t>plans</w:t>
            </w:r>
          </w:p>
          <w:p w:rsidR="00FA714A" w:rsidRDefault="004E7270">
            <w:pPr>
              <w:jc w:val="left"/>
              <w:rPr>
                <w:rFonts w:eastAsia="Times New Roman"/>
                <w:noProof/>
                <w:szCs w:val="24"/>
              </w:rPr>
            </w:pPr>
            <w:r>
              <w:rPr>
                <w:rFonts w:eastAsia="Times New Roman"/>
                <w:noProof/>
                <w:szCs w:val="24"/>
              </w:rPr>
              <w:t>Relevant</w:t>
            </w:r>
            <w:r>
              <w:rPr>
                <w:rFonts w:eastAsia="Times New Roman"/>
                <w:noProof/>
                <w:spacing w:val="3"/>
                <w:szCs w:val="24"/>
              </w:rPr>
              <w:t xml:space="preserve"> </w:t>
            </w:r>
            <w:r>
              <w:rPr>
                <w:rFonts w:eastAsia="Times New Roman"/>
                <w:noProof/>
                <w:szCs w:val="24"/>
              </w:rPr>
              <w:t xml:space="preserve">and inclusive partnerships, </w:t>
            </w:r>
            <w:r>
              <w:rPr>
                <w:noProof/>
                <w:szCs w:val="24"/>
              </w:rPr>
              <w:t>including those between teachers and trainers,</w:t>
            </w:r>
            <w:r>
              <w:rPr>
                <w:rFonts w:eastAsia="Times New Roman"/>
                <w:noProof/>
                <w:spacing w:val="24"/>
                <w:szCs w:val="24"/>
              </w:rPr>
              <w:t xml:space="preserve"> </w:t>
            </w:r>
            <w:r>
              <w:rPr>
                <w:rFonts w:eastAsia="Times New Roman"/>
                <w:noProof/>
                <w:szCs w:val="24"/>
              </w:rPr>
              <w:t xml:space="preserve">are </w:t>
            </w:r>
            <w:r>
              <w:rPr>
                <w:rFonts w:eastAsia="Times New Roman"/>
                <w:noProof/>
                <w:w w:val="93"/>
                <w:szCs w:val="24"/>
              </w:rPr>
              <w:t>explicitly</w:t>
            </w:r>
            <w:r>
              <w:rPr>
                <w:rFonts w:eastAsia="Times New Roman"/>
                <w:noProof/>
                <w:spacing w:val="29"/>
                <w:w w:val="93"/>
                <w:szCs w:val="24"/>
              </w:rPr>
              <w:t xml:space="preserve"> </w:t>
            </w:r>
            <w:r>
              <w:rPr>
                <w:rFonts w:eastAsia="Times New Roman"/>
                <w:noProof/>
                <w:szCs w:val="24"/>
              </w:rPr>
              <w:t>supported</w:t>
            </w:r>
            <w:r>
              <w:rPr>
                <w:rFonts w:eastAsia="Times New Roman"/>
                <w:noProof/>
                <w:spacing w:val="20"/>
                <w:szCs w:val="24"/>
              </w:rPr>
              <w:t xml:space="preserve"> </w:t>
            </w:r>
            <w:r>
              <w:rPr>
                <w:rFonts w:eastAsia="Times New Roman"/>
                <w:noProof/>
                <w:szCs w:val="24"/>
              </w:rPr>
              <w:t>to</w:t>
            </w:r>
            <w:r>
              <w:rPr>
                <w:rFonts w:eastAsia="Times New Roman"/>
                <w:noProof/>
                <w:spacing w:val="33"/>
                <w:szCs w:val="24"/>
              </w:rPr>
              <w:t xml:space="preserve"> </w:t>
            </w:r>
            <w:r>
              <w:rPr>
                <w:rFonts w:eastAsia="Times New Roman"/>
                <w:noProof/>
                <w:szCs w:val="24"/>
              </w:rPr>
              <w:t>implement</w:t>
            </w:r>
            <w:r>
              <w:rPr>
                <w:rFonts w:eastAsia="Times New Roman"/>
                <w:noProof/>
                <w:spacing w:val="15"/>
                <w:szCs w:val="24"/>
              </w:rPr>
              <w:t xml:space="preserve"> </w:t>
            </w:r>
            <w:r>
              <w:rPr>
                <w:rFonts w:eastAsia="Times New Roman"/>
                <w:noProof/>
                <w:szCs w:val="24"/>
              </w:rPr>
              <w:t>the</w:t>
            </w:r>
            <w:r>
              <w:rPr>
                <w:rFonts w:eastAsia="Times New Roman"/>
                <w:noProof/>
                <w:spacing w:val="26"/>
                <w:szCs w:val="24"/>
              </w:rPr>
              <w:t xml:space="preserve"> </w:t>
            </w:r>
            <w:r>
              <w:rPr>
                <w:rFonts w:eastAsia="Times New Roman"/>
                <w:noProof/>
                <w:szCs w:val="24"/>
              </w:rPr>
              <w:t>actions planned</w:t>
            </w:r>
          </w:p>
          <w:p w:rsidR="00FA714A" w:rsidRDefault="004E7270">
            <w:pPr>
              <w:jc w:val="left"/>
              <w:rPr>
                <w:rFonts w:eastAsia="Times New Roman"/>
                <w:noProof/>
                <w:szCs w:val="24"/>
              </w:rPr>
            </w:pPr>
            <w:r>
              <w:rPr>
                <w:rFonts w:eastAsia="Times New Roman"/>
                <w:noProof/>
                <w:szCs w:val="24"/>
              </w:rPr>
              <w:t>The</w:t>
            </w:r>
            <w:r>
              <w:rPr>
                <w:rFonts w:eastAsia="Times New Roman"/>
                <w:noProof/>
                <w:spacing w:val="7"/>
                <w:szCs w:val="24"/>
              </w:rPr>
              <w:t xml:space="preserve"> </w:t>
            </w:r>
            <w:r>
              <w:rPr>
                <w:rFonts w:eastAsia="Times New Roman"/>
                <w:noProof/>
                <w:szCs w:val="24"/>
              </w:rPr>
              <w:t>strategic</w:t>
            </w:r>
            <w:r>
              <w:rPr>
                <w:rFonts w:eastAsia="Times New Roman"/>
                <w:noProof/>
                <w:spacing w:val="-5"/>
                <w:szCs w:val="24"/>
              </w:rPr>
              <w:t xml:space="preserve"> </w:t>
            </w:r>
            <w:r>
              <w:rPr>
                <w:rFonts w:eastAsia="Times New Roman"/>
                <w:noProof/>
                <w:szCs w:val="24"/>
              </w:rPr>
              <w:t>plan</w:t>
            </w:r>
            <w:r>
              <w:rPr>
                <w:rFonts w:eastAsia="Times New Roman"/>
                <w:noProof/>
                <w:spacing w:val="20"/>
                <w:szCs w:val="24"/>
              </w:rPr>
              <w:t xml:space="preserve"> </w:t>
            </w:r>
            <w:r>
              <w:rPr>
                <w:rFonts w:eastAsia="Times New Roman"/>
                <w:noProof/>
                <w:szCs w:val="24"/>
              </w:rPr>
              <w:t>for</w:t>
            </w:r>
            <w:r>
              <w:rPr>
                <w:rFonts w:eastAsia="Times New Roman"/>
                <w:noProof/>
                <w:spacing w:val="20"/>
                <w:szCs w:val="24"/>
              </w:rPr>
              <w:t xml:space="preserve"> </w:t>
            </w:r>
            <w:r>
              <w:rPr>
                <w:rFonts w:eastAsia="Times New Roman"/>
                <w:noProof/>
                <w:szCs w:val="24"/>
              </w:rPr>
              <w:t>staff</w:t>
            </w:r>
            <w:r>
              <w:rPr>
                <w:rFonts w:eastAsia="Times New Roman"/>
                <w:noProof/>
                <w:spacing w:val="1"/>
                <w:szCs w:val="24"/>
              </w:rPr>
              <w:t xml:space="preserve"> </w:t>
            </w:r>
            <w:r>
              <w:rPr>
                <w:rFonts w:eastAsia="Times New Roman"/>
                <w:noProof/>
                <w:szCs w:val="24"/>
              </w:rPr>
              <w:t>competence</w:t>
            </w:r>
            <w:r>
              <w:rPr>
                <w:rFonts w:eastAsia="Times New Roman"/>
                <w:noProof/>
                <w:spacing w:val="8"/>
                <w:szCs w:val="24"/>
              </w:rPr>
              <w:t xml:space="preserve"> </w:t>
            </w:r>
            <w:r>
              <w:rPr>
                <w:rFonts w:eastAsia="Times New Roman"/>
                <w:noProof/>
                <w:szCs w:val="24"/>
              </w:rPr>
              <w:t>deve</w:t>
            </w:r>
            <w:r>
              <w:rPr>
                <w:rFonts w:eastAsia="Times New Roman"/>
                <w:noProof/>
                <w:spacing w:val="1"/>
                <w:szCs w:val="24"/>
              </w:rPr>
              <w:t>l</w:t>
            </w:r>
            <w:r>
              <w:rPr>
                <w:rFonts w:eastAsia="Times New Roman"/>
                <w:noProof/>
                <w:szCs w:val="24"/>
              </w:rPr>
              <w:t>opment specifies</w:t>
            </w:r>
            <w:r>
              <w:rPr>
                <w:rFonts w:eastAsia="Times New Roman"/>
                <w:noProof/>
                <w:spacing w:val="17"/>
                <w:szCs w:val="24"/>
              </w:rPr>
              <w:t xml:space="preserve"> </w:t>
            </w:r>
            <w:r>
              <w:rPr>
                <w:rFonts w:eastAsia="Times New Roman"/>
                <w:noProof/>
                <w:szCs w:val="24"/>
              </w:rPr>
              <w:t>the need for training for teachers</w:t>
            </w:r>
            <w:r>
              <w:rPr>
                <w:rFonts w:eastAsia="Times New Roman"/>
                <w:noProof/>
                <w:spacing w:val="1"/>
                <w:szCs w:val="24"/>
              </w:rPr>
              <w:t xml:space="preserve"> </w:t>
            </w:r>
            <w:r>
              <w:rPr>
                <w:rFonts w:eastAsia="Times New Roman"/>
                <w:noProof/>
                <w:szCs w:val="24"/>
              </w:rPr>
              <w:t>and</w:t>
            </w:r>
            <w:r>
              <w:rPr>
                <w:rFonts w:eastAsia="Times New Roman"/>
                <w:noProof/>
                <w:spacing w:val="22"/>
                <w:szCs w:val="24"/>
              </w:rPr>
              <w:t xml:space="preserve"> </w:t>
            </w:r>
            <w:r>
              <w:rPr>
                <w:rFonts w:eastAsia="Times New Roman"/>
                <w:noProof/>
                <w:szCs w:val="24"/>
              </w:rPr>
              <w:t>trainers</w:t>
            </w:r>
          </w:p>
          <w:p w:rsidR="00FA714A" w:rsidRDefault="004E7270">
            <w:pPr>
              <w:jc w:val="left"/>
              <w:rPr>
                <w:rFonts w:eastAsia="Times New Roman"/>
                <w:noProof/>
                <w:szCs w:val="24"/>
              </w:rPr>
            </w:pPr>
            <w:r>
              <w:rPr>
                <w:rFonts w:eastAsia="Times New Roman"/>
                <w:noProof/>
                <w:szCs w:val="24"/>
              </w:rPr>
              <w:t>Staff</w:t>
            </w:r>
            <w:r>
              <w:rPr>
                <w:rFonts w:eastAsia="Times New Roman"/>
                <w:noProof/>
                <w:spacing w:val="13"/>
                <w:szCs w:val="24"/>
              </w:rPr>
              <w:t xml:space="preserve"> </w:t>
            </w:r>
            <w:r>
              <w:rPr>
                <w:rFonts w:eastAsia="Times New Roman"/>
                <w:noProof/>
                <w:szCs w:val="24"/>
              </w:rPr>
              <w:t>undertake</w:t>
            </w:r>
            <w:r>
              <w:rPr>
                <w:rFonts w:eastAsia="Times New Roman"/>
                <w:noProof/>
                <w:spacing w:val="35"/>
                <w:szCs w:val="24"/>
              </w:rPr>
              <w:t xml:space="preserve"> </w:t>
            </w:r>
            <w:r>
              <w:rPr>
                <w:rFonts w:eastAsia="Times New Roman"/>
                <w:noProof/>
                <w:szCs w:val="24"/>
              </w:rPr>
              <w:t>regular</w:t>
            </w:r>
            <w:r>
              <w:rPr>
                <w:rFonts w:eastAsia="Times New Roman"/>
                <w:noProof/>
                <w:spacing w:val="22"/>
                <w:szCs w:val="24"/>
              </w:rPr>
              <w:t xml:space="preserve"> </w:t>
            </w:r>
            <w:r>
              <w:rPr>
                <w:rFonts w:eastAsia="Times New Roman"/>
                <w:noProof/>
                <w:szCs w:val="24"/>
              </w:rPr>
              <w:t>training</w:t>
            </w:r>
            <w:r>
              <w:rPr>
                <w:rFonts w:eastAsia="Times New Roman"/>
                <w:noProof/>
                <w:spacing w:val="34"/>
                <w:szCs w:val="24"/>
              </w:rPr>
              <w:t xml:space="preserve"> </w:t>
            </w:r>
            <w:r>
              <w:rPr>
                <w:rFonts w:eastAsia="Times New Roman"/>
                <w:noProof/>
                <w:szCs w:val="24"/>
              </w:rPr>
              <w:t>and develop cooperation</w:t>
            </w:r>
            <w:r>
              <w:rPr>
                <w:rFonts w:eastAsia="Times New Roman"/>
                <w:noProof/>
                <w:spacing w:val="20"/>
                <w:szCs w:val="24"/>
              </w:rPr>
              <w:t xml:space="preserve"> </w:t>
            </w:r>
            <w:r>
              <w:rPr>
                <w:rFonts w:eastAsia="Times New Roman"/>
                <w:noProof/>
                <w:szCs w:val="24"/>
              </w:rPr>
              <w:t>with</w:t>
            </w:r>
            <w:r>
              <w:rPr>
                <w:rFonts w:eastAsia="Times New Roman"/>
                <w:noProof/>
                <w:spacing w:val="23"/>
                <w:szCs w:val="24"/>
              </w:rPr>
              <w:t xml:space="preserve"> </w:t>
            </w:r>
            <w:r>
              <w:rPr>
                <w:rFonts w:eastAsia="Times New Roman"/>
                <w:noProof/>
                <w:szCs w:val="24"/>
              </w:rPr>
              <w:t>relevant external</w:t>
            </w:r>
            <w:r>
              <w:rPr>
                <w:rFonts w:eastAsia="Times New Roman"/>
                <w:noProof/>
                <w:spacing w:val="5"/>
                <w:szCs w:val="24"/>
              </w:rPr>
              <w:t xml:space="preserve"> </w:t>
            </w:r>
            <w:r>
              <w:rPr>
                <w:rFonts w:eastAsia="Times New Roman"/>
                <w:noProof/>
                <w:szCs w:val="24"/>
              </w:rPr>
              <w:t>stak</w:t>
            </w:r>
            <w:r>
              <w:rPr>
                <w:rFonts w:eastAsia="Times New Roman"/>
                <w:noProof/>
                <w:spacing w:val="1"/>
                <w:szCs w:val="24"/>
              </w:rPr>
              <w:t>e</w:t>
            </w:r>
            <w:r>
              <w:rPr>
                <w:rFonts w:eastAsia="Times New Roman"/>
                <w:noProof/>
                <w:szCs w:val="24"/>
              </w:rPr>
              <w:t>holders</w:t>
            </w:r>
            <w:r>
              <w:rPr>
                <w:rFonts w:eastAsia="Times New Roman"/>
                <w:noProof/>
                <w:spacing w:val="17"/>
                <w:szCs w:val="24"/>
              </w:rPr>
              <w:t xml:space="preserve"> </w:t>
            </w:r>
            <w:r>
              <w:rPr>
                <w:rFonts w:eastAsia="Times New Roman"/>
                <w:noProof/>
                <w:szCs w:val="24"/>
              </w:rPr>
              <w:t>to</w:t>
            </w:r>
            <w:r>
              <w:rPr>
                <w:rFonts w:eastAsia="Times New Roman"/>
                <w:noProof/>
                <w:spacing w:val="37"/>
                <w:szCs w:val="24"/>
              </w:rPr>
              <w:t xml:space="preserve"> </w:t>
            </w:r>
            <w:r>
              <w:rPr>
                <w:rFonts w:eastAsia="Times New Roman"/>
                <w:noProof/>
                <w:szCs w:val="24"/>
              </w:rPr>
              <w:t>support</w:t>
            </w:r>
            <w:r>
              <w:rPr>
                <w:rFonts w:eastAsia="Times New Roman"/>
                <w:noProof/>
                <w:spacing w:val="36"/>
                <w:szCs w:val="24"/>
              </w:rPr>
              <w:t xml:space="preserve"> </w:t>
            </w:r>
            <w:r>
              <w:rPr>
                <w:rFonts w:eastAsia="Times New Roman"/>
                <w:noProof/>
                <w:szCs w:val="24"/>
              </w:rPr>
              <w:t>capacity building</w:t>
            </w:r>
            <w:r>
              <w:rPr>
                <w:rFonts w:eastAsia="Times New Roman"/>
                <w:noProof/>
                <w:spacing w:val="11"/>
                <w:szCs w:val="24"/>
              </w:rPr>
              <w:t xml:space="preserve"> </w:t>
            </w:r>
            <w:r>
              <w:rPr>
                <w:rFonts w:eastAsia="Times New Roman"/>
                <w:noProof/>
                <w:szCs w:val="24"/>
              </w:rPr>
              <w:t>and quality improvement,</w:t>
            </w:r>
            <w:r>
              <w:rPr>
                <w:rFonts w:eastAsia="Times New Roman"/>
                <w:noProof/>
                <w:spacing w:val="6"/>
                <w:szCs w:val="24"/>
              </w:rPr>
              <w:t xml:space="preserve"> </w:t>
            </w:r>
            <w:r>
              <w:rPr>
                <w:rFonts w:eastAsia="Times New Roman"/>
                <w:noProof/>
                <w:szCs w:val="24"/>
              </w:rPr>
              <w:t>and</w:t>
            </w:r>
            <w:r>
              <w:rPr>
                <w:rFonts w:eastAsia="Times New Roman"/>
                <w:noProof/>
                <w:spacing w:val="24"/>
                <w:szCs w:val="24"/>
              </w:rPr>
              <w:t xml:space="preserve"> </w:t>
            </w:r>
            <w:r>
              <w:rPr>
                <w:rFonts w:eastAsia="Times New Roman"/>
                <w:noProof/>
                <w:szCs w:val="24"/>
              </w:rPr>
              <w:t>to</w:t>
            </w:r>
            <w:r>
              <w:rPr>
                <w:rFonts w:eastAsia="Times New Roman"/>
                <w:noProof/>
                <w:spacing w:val="32"/>
                <w:szCs w:val="24"/>
              </w:rPr>
              <w:t xml:space="preserve"> </w:t>
            </w:r>
            <w:r>
              <w:rPr>
                <w:rFonts w:eastAsia="Times New Roman"/>
                <w:noProof/>
                <w:szCs w:val="24"/>
              </w:rPr>
              <w:t>enhance performance</w:t>
            </w:r>
          </w:p>
          <w:p w:rsidR="00FA714A" w:rsidRDefault="004E7270">
            <w:pPr>
              <w:jc w:val="left"/>
              <w:rPr>
                <w:noProof/>
                <w:szCs w:val="24"/>
              </w:rPr>
            </w:pPr>
            <w:r>
              <w:rPr>
                <w:noProof/>
                <w:szCs w:val="24"/>
              </w:rPr>
              <w:t>VET providers’ programmes enable learners to meet the expected learning o</w:t>
            </w:r>
            <w:r>
              <w:rPr>
                <w:noProof/>
                <w:szCs w:val="24"/>
              </w:rPr>
              <w:t>utcomes and become involved in the learning process</w:t>
            </w:r>
          </w:p>
          <w:p w:rsidR="00FA714A" w:rsidRDefault="004E7270">
            <w:pPr>
              <w:jc w:val="left"/>
              <w:rPr>
                <w:noProof/>
                <w:szCs w:val="24"/>
              </w:rPr>
            </w:pPr>
            <w:r>
              <w:rPr>
                <w:noProof/>
                <w:szCs w:val="24"/>
              </w:rPr>
              <w:t>VET providers respond to the learning needs of individuals by using a learner – centred approach which enable learners to achieve the expected learning outcomes</w:t>
            </w:r>
          </w:p>
          <w:p w:rsidR="00FA714A" w:rsidRDefault="004E7270">
            <w:pPr>
              <w:jc w:val="left"/>
              <w:rPr>
                <w:noProof/>
                <w:szCs w:val="24"/>
              </w:rPr>
            </w:pPr>
            <w:r>
              <w:rPr>
                <w:noProof/>
                <w:szCs w:val="24"/>
              </w:rPr>
              <w:t xml:space="preserve">VET providers promote </w:t>
            </w:r>
            <w:r>
              <w:rPr>
                <w:noProof/>
              </w:rPr>
              <w:t xml:space="preserve">innovation in </w:t>
            </w:r>
            <w:r>
              <w:rPr>
                <w:noProof/>
              </w:rPr>
              <w:t>teaching and learning methods, in school and in the workplace, supported by the use of digital technologies and online-learning tools</w:t>
            </w:r>
          </w:p>
          <w:p w:rsidR="00FA714A" w:rsidRDefault="004E7270">
            <w:pPr>
              <w:jc w:val="left"/>
              <w:rPr>
                <w:noProof/>
              </w:rPr>
            </w:pPr>
            <w:r>
              <w:rPr>
                <w:noProof/>
                <w:szCs w:val="24"/>
              </w:rPr>
              <w:t>VET providers use valid, accurate and reliable methods to assess individuals’ learning outcomes</w:t>
            </w:r>
          </w:p>
        </w:tc>
      </w:tr>
      <w:tr w:rsidR="00FA714A">
        <w:tc>
          <w:tcPr>
            <w:tcW w:w="1031" w:type="pct"/>
            <w:vAlign w:val="center"/>
          </w:tcPr>
          <w:p w:rsidR="00FA714A" w:rsidRDefault="004E7270">
            <w:pPr>
              <w:jc w:val="left"/>
              <w:rPr>
                <w:rFonts w:eastAsia="Times New Roman"/>
                <w:noProof/>
                <w:szCs w:val="24"/>
              </w:rPr>
            </w:pPr>
            <w:r>
              <w:rPr>
                <w:rFonts w:eastAsia="Times New Roman"/>
                <w:noProof/>
                <w:szCs w:val="24"/>
              </w:rPr>
              <w:t>Evaluation of outcomes an</w:t>
            </w:r>
            <w:r>
              <w:rPr>
                <w:rFonts w:eastAsia="Times New Roman"/>
                <w:noProof/>
                <w:szCs w:val="24"/>
              </w:rPr>
              <w:t>d processes is regularly carried out and</w:t>
            </w:r>
          </w:p>
          <w:p w:rsidR="00FA714A" w:rsidRDefault="004E7270">
            <w:pPr>
              <w:jc w:val="left"/>
              <w:rPr>
                <w:noProof/>
              </w:rPr>
            </w:pPr>
            <w:r>
              <w:rPr>
                <w:rFonts w:eastAsia="Times New Roman"/>
                <w:noProof/>
                <w:szCs w:val="24"/>
              </w:rPr>
              <w:t>supported by measurement</w:t>
            </w:r>
          </w:p>
        </w:tc>
        <w:tc>
          <w:tcPr>
            <w:tcW w:w="2049" w:type="pct"/>
            <w:vAlign w:val="center"/>
          </w:tcPr>
          <w:p w:rsidR="00FA714A" w:rsidRDefault="004E7270">
            <w:pPr>
              <w:jc w:val="left"/>
              <w:rPr>
                <w:rFonts w:eastAsia="Times New Roman"/>
                <w:noProof/>
                <w:szCs w:val="24"/>
              </w:rPr>
            </w:pPr>
            <w:r>
              <w:rPr>
                <w:rFonts w:eastAsia="Times New Roman"/>
                <w:noProof/>
                <w:szCs w:val="24"/>
              </w:rPr>
              <w:t>A</w:t>
            </w:r>
            <w:r>
              <w:rPr>
                <w:rFonts w:eastAsia="Times New Roman"/>
                <w:noProof/>
                <w:spacing w:val="19"/>
                <w:szCs w:val="24"/>
              </w:rPr>
              <w:t xml:space="preserve"> </w:t>
            </w:r>
            <w:r>
              <w:rPr>
                <w:rFonts w:eastAsia="Times New Roman"/>
                <w:noProof/>
                <w:szCs w:val="24"/>
              </w:rPr>
              <w:t>methodology</w:t>
            </w:r>
            <w:r>
              <w:rPr>
                <w:rFonts w:eastAsia="Times New Roman"/>
                <w:noProof/>
                <w:spacing w:val="12"/>
                <w:szCs w:val="24"/>
              </w:rPr>
              <w:t xml:space="preserve"> </w:t>
            </w:r>
            <w:r>
              <w:rPr>
                <w:rFonts w:eastAsia="Times New Roman"/>
                <w:noProof/>
                <w:szCs w:val="24"/>
              </w:rPr>
              <w:t>for</w:t>
            </w:r>
            <w:r>
              <w:rPr>
                <w:rFonts w:eastAsia="Times New Roman"/>
                <w:noProof/>
                <w:spacing w:val="23"/>
                <w:szCs w:val="24"/>
              </w:rPr>
              <w:t xml:space="preserve"> </w:t>
            </w:r>
            <w:r>
              <w:rPr>
                <w:rFonts w:eastAsia="Times New Roman"/>
                <w:noProof/>
                <w:szCs w:val="24"/>
              </w:rPr>
              <w:t>evaluation has</w:t>
            </w:r>
            <w:r>
              <w:rPr>
                <w:rFonts w:eastAsia="Times New Roman"/>
                <w:noProof/>
                <w:spacing w:val="23"/>
                <w:szCs w:val="24"/>
              </w:rPr>
              <w:t xml:space="preserve"> </w:t>
            </w:r>
            <w:r>
              <w:rPr>
                <w:rFonts w:eastAsia="Times New Roman"/>
                <w:noProof/>
                <w:szCs w:val="24"/>
              </w:rPr>
              <w:t>been devised, covering</w:t>
            </w:r>
            <w:r>
              <w:rPr>
                <w:rFonts w:eastAsia="Times New Roman"/>
                <w:noProof/>
                <w:spacing w:val="15"/>
                <w:szCs w:val="24"/>
              </w:rPr>
              <w:t xml:space="preserve"> </w:t>
            </w:r>
            <w:r>
              <w:rPr>
                <w:rFonts w:eastAsia="Times New Roman"/>
                <w:noProof/>
                <w:szCs w:val="24"/>
              </w:rPr>
              <w:t>internal</w:t>
            </w:r>
            <w:r>
              <w:rPr>
                <w:rFonts w:eastAsia="Times New Roman"/>
                <w:noProof/>
                <w:spacing w:val="29"/>
                <w:szCs w:val="24"/>
              </w:rPr>
              <w:t xml:space="preserve"> </w:t>
            </w:r>
            <w:r>
              <w:rPr>
                <w:rFonts w:eastAsia="Times New Roman"/>
                <w:noProof/>
                <w:szCs w:val="24"/>
              </w:rPr>
              <w:t>and external evaluation</w:t>
            </w:r>
          </w:p>
          <w:p w:rsidR="00FA714A" w:rsidRDefault="004E7270">
            <w:pPr>
              <w:jc w:val="left"/>
              <w:rPr>
                <w:rFonts w:eastAsia="Times New Roman"/>
                <w:noProof/>
                <w:szCs w:val="24"/>
              </w:rPr>
            </w:pPr>
            <w:r>
              <w:rPr>
                <w:rFonts w:eastAsia="Times New Roman"/>
                <w:noProof/>
                <w:szCs w:val="24"/>
              </w:rPr>
              <w:t>Stakeholder</w:t>
            </w:r>
            <w:r>
              <w:rPr>
                <w:rFonts w:eastAsia="Times New Roman"/>
                <w:noProof/>
                <w:spacing w:val="-12"/>
                <w:szCs w:val="24"/>
              </w:rPr>
              <w:t xml:space="preserve"> </w:t>
            </w:r>
            <w:r>
              <w:rPr>
                <w:rFonts w:eastAsia="Times New Roman"/>
                <w:noProof/>
                <w:szCs w:val="24"/>
              </w:rPr>
              <w:t>involvement</w:t>
            </w:r>
            <w:r>
              <w:rPr>
                <w:rFonts w:eastAsia="Times New Roman"/>
                <w:noProof/>
                <w:spacing w:val="-6"/>
                <w:szCs w:val="24"/>
              </w:rPr>
              <w:t xml:space="preserve"> </w:t>
            </w:r>
            <w:r>
              <w:rPr>
                <w:rFonts w:eastAsia="Times New Roman"/>
                <w:noProof/>
                <w:szCs w:val="24"/>
              </w:rPr>
              <w:t>in</w:t>
            </w:r>
            <w:r>
              <w:rPr>
                <w:rFonts w:eastAsia="Times New Roman"/>
                <w:noProof/>
                <w:spacing w:val="27"/>
                <w:szCs w:val="24"/>
              </w:rPr>
              <w:t xml:space="preserve"> </w:t>
            </w:r>
            <w:r>
              <w:rPr>
                <w:rFonts w:eastAsia="Times New Roman"/>
                <w:noProof/>
                <w:szCs w:val="24"/>
              </w:rPr>
              <w:t>the</w:t>
            </w:r>
            <w:r>
              <w:rPr>
                <w:rFonts w:eastAsia="Times New Roman"/>
                <w:noProof/>
                <w:spacing w:val="26"/>
                <w:szCs w:val="24"/>
              </w:rPr>
              <w:t xml:space="preserve"> </w:t>
            </w:r>
            <w:r>
              <w:rPr>
                <w:rFonts w:eastAsia="Times New Roman"/>
                <w:noProof/>
                <w:szCs w:val="24"/>
              </w:rPr>
              <w:t>monitoring and evaluation process is agreed and clearly described</w:t>
            </w:r>
          </w:p>
          <w:p w:rsidR="00FA714A" w:rsidRDefault="004E7270">
            <w:pPr>
              <w:jc w:val="left"/>
              <w:rPr>
                <w:rFonts w:eastAsia="Times New Roman"/>
                <w:noProof/>
                <w:szCs w:val="24"/>
              </w:rPr>
            </w:pPr>
            <w:r>
              <w:rPr>
                <w:rFonts w:eastAsia="Times New Roman"/>
                <w:noProof/>
                <w:szCs w:val="24"/>
              </w:rPr>
              <w:t xml:space="preserve">The </w:t>
            </w:r>
            <w:r>
              <w:rPr>
                <w:rFonts w:eastAsia="Times New Roman"/>
                <w:noProof/>
                <w:szCs w:val="24"/>
              </w:rPr>
              <w:t>national/regional standards and processes for improving and assuring quality are relevant and proportionate to the needs of the sector</w:t>
            </w:r>
          </w:p>
          <w:p w:rsidR="00FA714A" w:rsidRDefault="004E7270">
            <w:pPr>
              <w:jc w:val="left"/>
              <w:rPr>
                <w:rFonts w:eastAsia="Times New Roman"/>
                <w:noProof/>
                <w:szCs w:val="24"/>
              </w:rPr>
            </w:pPr>
            <w:r>
              <w:rPr>
                <w:rFonts w:eastAsia="Times New Roman"/>
                <w:noProof/>
                <w:szCs w:val="24"/>
              </w:rPr>
              <w:t>Systems are subject to self-evaluation, internal and external review, as appropriate</w:t>
            </w:r>
          </w:p>
          <w:p w:rsidR="00FA714A" w:rsidRDefault="004E7270">
            <w:pPr>
              <w:jc w:val="left"/>
              <w:rPr>
                <w:rFonts w:eastAsia="Times New Roman"/>
                <w:noProof/>
                <w:szCs w:val="24"/>
              </w:rPr>
            </w:pPr>
            <w:r>
              <w:rPr>
                <w:rFonts w:eastAsia="Times New Roman"/>
                <w:noProof/>
                <w:szCs w:val="24"/>
              </w:rPr>
              <w:t>Early warning systems are implemente</w:t>
            </w:r>
            <w:r>
              <w:rPr>
                <w:rFonts w:eastAsia="Times New Roman"/>
                <w:noProof/>
                <w:szCs w:val="24"/>
              </w:rPr>
              <w:t>d</w:t>
            </w:r>
          </w:p>
          <w:p w:rsidR="00FA714A" w:rsidRDefault="004E7270">
            <w:pPr>
              <w:jc w:val="left"/>
              <w:rPr>
                <w:rFonts w:eastAsia="Times New Roman"/>
                <w:noProof/>
                <w:szCs w:val="24"/>
              </w:rPr>
            </w:pPr>
            <w:r>
              <w:rPr>
                <w:rFonts w:eastAsia="Times New Roman"/>
                <w:noProof/>
                <w:szCs w:val="24"/>
              </w:rPr>
              <w:t>Performance indicators are applied</w:t>
            </w:r>
          </w:p>
          <w:p w:rsidR="00FA714A" w:rsidRDefault="004E7270">
            <w:pPr>
              <w:jc w:val="left"/>
              <w:rPr>
                <w:noProof/>
              </w:rPr>
            </w:pPr>
            <w:r>
              <w:rPr>
                <w:rFonts w:eastAsia="Times New Roman"/>
                <w:noProof/>
                <w:szCs w:val="24"/>
              </w:rPr>
              <w:t>Relevant, regular and coherent data collection takes place, in order to measure success and</w:t>
            </w:r>
            <w:r>
              <w:rPr>
                <w:rFonts w:eastAsia="Times New Roman"/>
                <w:noProof/>
                <w:spacing w:val="18"/>
                <w:szCs w:val="24"/>
              </w:rPr>
              <w:t xml:space="preserve"> </w:t>
            </w:r>
            <w:r>
              <w:rPr>
                <w:rFonts w:eastAsia="Times New Roman"/>
                <w:noProof/>
                <w:szCs w:val="24"/>
              </w:rPr>
              <w:t xml:space="preserve">identify areas for improvement. Appropriate data collection methodologies have been devised, e.g. questionnaires and </w:t>
            </w:r>
            <w:r>
              <w:rPr>
                <w:rFonts w:eastAsia="Times New Roman"/>
                <w:noProof/>
                <w:szCs w:val="24"/>
              </w:rPr>
              <w:t>indicators/metrics</w:t>
            </w:r>
          </w:p>
        </w:tc>
        <w:tc>
          <w:tcPr>
            <w:tcW w:w="1920" w:type="pct"/>
            <w:vAlign w:val="center"/>
          </w:tcPr>
          <w:p w:rsidR="00FA714A" w:rsidRDefault="004E7270">
            <w:pPr>
              <w:jc w:val="left"/>
              <w:rPr>
                <w:rFonts w:eastAsia="Times New Roman"/>
                <w:noProof/>
                <w:szCs w:val="24"/>
              </w:rPr>
            </w:pPr>
            <w:r>
              <w:rPr>
                <w:rFonts w:eastAsia="Times New Roman"/>
                <w:noProof/>
                <w:szCs w:val="24"/>
              </w:rPr>
              <w:t xml:space="preserve">Self-assessment/self-evaluation is periodically carried out under national and regional regulations/frameworks or at the initiative of VET providers, covering also the digital readiness and environmental sustainability of VET </w:t>
            </w:r>
            <w:r>
              <w:rPr>
                <w:rFonts w:eastAsia="Times New Roman"/>
                <w:noProof/>
                <w:szCs w:val="24"/>
              </w:rPr>
              <w:t>institutions</w:t>
            </w:r>
          </w:p>
          <w:p w:rsidR="00FA714A" w:rsidRDefault="004E7270">
            <w:pPr>
              <w:jc w:val="left"/>
              <w:rPr>
                <w:rFonts w:eastAsia="Times New Roman"/>
                <w:noProof/>
                <w:szCs w:val="24"/>
              </w:rPr>
            </w:pPr>
            <w:r>
              <w:rPr>
                <w:rFonts w:eastAsia="Times New Roman"/>
                <w:noProof/>
                <w:szCs w:val="24"/>
              </w:rPr>
              <w:t>Evaluation and review covers processes and results/outcomes of education and training including the assessment of learner satisfaction as well as staff performance and satisfaction</w:t>
            </w:r>
          </w:p>
          <w:p w:rsidR="00FA714A" w:rsidRDefault="004E7270">
            <w:pPr>
              <w:jc w:val="left"/>
              <w:rPr>
                <w:rFonts w:eastAsia="Times New Roman"/>
                <w:noProof/>
                <w:szCs w:val="24"/>
              </w:rPr>
            </w:pPr>
            <w:r>
              <w:rPr>
                <w:rFonts w:eastAsia="Times New Roman"/>
                <w:noProof/>
                <w:szCs w:val="24"/>
              </w:rPr>
              <w:t>Evaluation</w:t>
            </w:r>
            <w:r>
              <w:rPr>
                <w:rFonts w:eastAsia="Times New Roman"/>
                <w:noProof/>
                <w:spacing w:val="-7"/>
                <w:szCs w:val="24"/>
              </w:rPr>
              <w:t xml:space="preserve"> </w:t>
            </w:r>
            <w:r>
              <w:rPr>
                <w:rFonts w:eastAsia="Times New Roman"/>
                <w:noProof/>
                <w:szCs w:val="24"/>
              </w:rPr>
              <w:t>and</w:t>
            </w:r>
            <w:r>
              <w:rPr>
                <w:rFonts w:eastAsia="Times New Roman"/>
                <w:noProof/>
                <w:spacing w:val="39"/>
                <w:szCs w:val="24"/>
              </w:rPr>
              <w:t xml:space="preserve"> </w:t>
            </w:r>
            <w:r>
              <w:rPr>
                <w:rFonts w:eastAsia="Times New Roman"/>
                <w:noProof/>
                <w:szCs w:val="24"/>
              </w:rPr>
              <w:t>review</w:t>
            </w:r>
            <w:r>
              <w:rPr>
                <w:rFonts w:eastAsia="Times New Roman"/>
                <w:noProof/>
                <w:spacing w:val="5"/>
                <w:szCs w:val="24"/>
              </w:rPr>
              <w:t xml:space="preserve"> </w:t>
            </w:r>
            <w:r>
              <w:rPr>
                <w:rFonts w:eastAsia="Times New Roman"/>
                <w:noProof/>
                <w:szCs w:val="24"/>
              </w:rPr>
              <w:t>includes</w:t>
            </w:r>
            <w:r>
              <w:rPr>
                <w:rFonts w:eastAsia="Times New Roman"/>
                <w:noProof/>
                <w:spacing w:val="11"/>
                <w:szCs w:val="24"/>
              </w:rPr>
              <w:t xml:space="preserve"> </w:t>
            </w:r>
            <w:r>
              <w:rPr>
                <w:noProof/>
                <w:szCs w:val="24"/>
              </w:rPr>
              <w:t>the collection and use of data,</w:t>
            </w:r>
            <w:r>
              <w:rPr>
                <w:noProof/>
                <w:szCs w:val="24"/>
              </w:rPr>
              <w:t xml:space="preserve"> and</w:t>
            </w:r>
            <w:r>
              <w:rPr>
                <w:rFonts w:eastAsia="Times New Roman"/>
                <w:noProof/>
                <w:spacing w:val="11"/>
                <w:szCs w:val="24"/>
              </w:rPr>
              <w:t xml:space="preserve"> </w:t>
            </w:r>
            <w:r>
              <w:rPr>
                <w:rFonts w:eastAsia="Times New Roman"/>
                <w:noProof/>
                <w:szCs w:val="24"/>
              </w:rPr>
              <w:t>adequate</w:t>
            </w:r>
            <w:r>
              <w:rPr>
                <w:rFonts w:eastAsia="Times New Roman"/>
                <w:noProof/>
                <w:spacing w:val="13"/>
                <w:szCs w:val="24"/>
              </w:rPr>
              <w:t xml:space="preserve"> </w:t>
            </w:r>
            <w:r>
              <w:rPr>
                <w:rFonts w:eastAsia="Times New Roman"/>
                <w:noProof/>
                <w:szCs w:val="24"/>
              </w:rPr>
              <w:t>and effective</w:t>
            </w:r>
            <w:r>
              <w:rPr>
                <w:rFonts w:eastAsia="Times New Roman"/>
                <w:noProof/>
                <w:spacing w:val="-14"/>
                <w:szCs w:val="24"/>
              </w:rPr>
              <w:t xml:space="preserve"> </w:t>
            </w:r>
            <w:r>
              <w:rPr>
                <w:rFonts w:eastAsia="Times New Roman"/>
                <w:noProof/>
                <w:szCs w:val="24"/>
              </w:rPr>
              <w:t>mechanisms</w:t>
            </w:r>
            <w:r>
              <w:rPr>
                <w:rFonts w:eastAsia="Times New Roman"/>
                <w:noProof/>
                <w:spacing w:val="14"/>
                <w:szCs w:val="24"/>
              </w:rPr>
              <w:t xml:space="preserve"> </w:t>
            </w:r>
            <w:r>
              <w:rPr>
                <w:rFonts w:eastAsia="Times New Roman"/>
                <w:noProof/>
                <w:szCs w:val="24"/>
              </w:rPr>
              <w:t>to involve</w:t>
            </w:r>
            <w:r>
              <w:rPr>
                <w:rFonts w:eastAsia="Times New Roman"/>
                <w:noProof/>
                <w:spacing w:val="9"/>
                <w:szCs w:val="24"/>
              </w:rPr>
              <w:t xml:space="preserve"> </w:t>
            </w:r>
            <w:r>
              <w:rPr>
                <w:rFonts w:eastAsia="Times New Roman"/>
                <w:noProof/>
                <w:szCs w:val="24"/>
              </w:rPr>
              <w:t>internal</w:t>
            </w:r>
            <w:r>
              <w:rPr>
                <w:rFonts w:eastAsia="Times New Roman"/>
                <w:noProof/>
                <w:spacing w:val="26"/>
                <w:szCs w:val="24"/>
              </w:rPr>
              <w:t xml:space="preserve"> </w:t>
            </w:r>
            <w:r>
              <w:rPr>
                <w:rFonts w:eastAsia="Times New Roman"/>
                <w:noProof/>
                <w:szCs w:val="24"/>
              </w:rPr>
              <w:t>and external</w:t>
            </w:r>
            <w:r>
              <w:rPr>
                <w:rFonts w:eastAsia="Times New Roman"/>
                <w:noProof/>
                <w:spacing w:val="2"/>
                <w:szCs w:val="24"/>
              </w:rPr>
              <w:t xml:space="preserve"> </w:t>
            </w:r>
            <w:r>
              <w:rPr>
                <w:rFonts w:eastAsia="Times New Roman"/>
                <w:noProof/>
                <w:szCs w:val="24"/>
              </w:rPr>
              <w:t>stakeholders</w:t>
            </w:r>
          </w:p>
          <w:p w:rsidR="00FA714A" w:rsidRDefault="004E7270">
            <w:pPr>
              <w:jc w:val="left"/>
              <w:rPr>
                <w:noProof/>
              </w:rPr>
            </w:pPr>
            <w:r>
              <w:rPr>
                <w:rFonts w:eastAsia="Times New Roman"/>
                <w:noProof/>
                <w:szCs w:val="24"/>
              </w:rPr>
              <w:t>Early warning systems are implemented</w:t>
            </w:r>
          </w:p>
        </w:tc>
      </w:tr>
      <w:tr w:rsidR="00FA714A">
        <w:tc>
          <w:tcPr>
            <w:tcW w:w="1031" w:type="pct"/>
            <w:vAlign w:val="center"/>
          </w:tcPr>
          <w:p w:rsidR="00FA714A" w:rsidRDefault="004E7270">
            <w:pPr>
              <w:jc w:val="left"/>
              <w:rPr>
                <w:noProof/>
                <w:szCs w:val="24"/>
              </w:rPr>
            </w:pPr>
            <w:r>
              <w:rPr>
                <w:rFonts w:eastAsia="Times New Roman"/>
                <w:noProof/>
                <w:szCs w:val="24"/>
              </w:rPr>
              <w:t>Review</w:t>
            </w:r>
          </w:p>
        </w:tc>
        <w:tc>
          <w:tcPr>
            <w:tcW w:w="2049" w:type="pct"/>
            <w:vAlign w:val="center"/>
          </w:tcPr>
          <w:p w:rsidR="00FA714A" w:rsidRDefault="004E7270">
            <w:pPr>
              <w:tabs>
                <w:tab w:val="left" w:pos="1047"/>
              </w:tabs>
              <w:jc w:val="left"/>
              <w:rPr>
                <w:rFonts w:eastAsia="Times New Roman"/>
                <w:noProof/>
                <w:szCs w:val="24"/>
              </w:rPr>
            </w:pPr>
            <w:r>
              <w:rPr>
                <w:rFonts w:eastAsia="Times New Roman"/>
                <w:noProof/>
                <w:szCs w:val="24"/>
              </w:rPr>
              <w:t>Procedures, mechanisms and instruments for undertaking reviews are defined and used to improve the quality of provision at al</w:t>
            </w:r>
            <w:r>
              <w:rPr>
                <w:rFonts w:eastAsia="Times New Roman"/>
                <w:noProof/>
                <w:szCs w:val="24"/>
              </w:rPr>
              <w:t>l levels</w:t>
            </w:r>
          </w:p>
          <w:p w:rsidR="00FA714A" w:rsidRDefault="004E7270">
            <w:pPr>
              <w:jc w:val="left"/>
              <w:rPr>
                <w:rFonts w:eastAsia="Times New Roman"/>
                <w:noProof/>
                <w:szCs w:val="24"/>
              </w:rPr>
            </w:pPr>
            <w:r>
              <w:rPr>
                <w:rFonts w:eastAsia="Times New Roman"/>
                <w:noProof/>
                <w:szCs w:val="24"/>
              </w:rPr>
              <w:t>Processes are regularly reviewed and action plans for change devised. Systems are adjusted accordingly</w:t>
            </w:r>
          </w:p>
          <w:p w:rsidR="00FA714A" w:rsidRDefault="004E7270">
            <w:pPr>
              <w:jc w:val="left"/>
              <w:rPr>
                <w:noProof/>
                <w:szCs w:val="24"/>
              </w:rPr>
            </w:pPr>
            <w:r>
              <w:rPr>
                <w:rFonts w:eastAsia="Times New Roman"/>
                <w:noProof/>
                <w:szCs w:val="24"/>
              </w:rPr>
              <w:t>Information on the outcomes of evaluation is made publicly available</w:t>
            </w:r>
          </w:p>
        </w:tc>
        <w:tc>
          <w:tcPr>
            <w:tcW w:w="1920" w:type="pct"/>
            <w:vAlign w:val="center"/>
          </w:tcPr>
          <w:p w:rsidR="00FA714A" w:rsidRDefault="004E7270">
            <w:pPr>
              <w:tabs>
                <w:tab w:val="left" w:pos="1047"/>
              </w:tabs>
              <w:jc w:val="left"/>
              <w:rPr>
                <w:rFonts w:eastAsia="Times New Roman"/>
                <w:noProof/>
                <w:szCs w:val="24"/>
              </w:rPr>
            </w:pPr>
            <w:r>
              <w:rPr>
                <w:rFonts w:eastAsia="Times New Roman"/>
                <w:noProof/>
                <w:szCs w:val="24"/>
              </w:rPr>
              <w:t xml:space="preserve">Learners’ feedback is gathered on their individual learning experience and </w:t>
            </w:r>
            <w:r>
              <w:rPr>
                <w:rFonts w:eastAsia="Times New Roman"/>
                <w:noProof/>
                <w:szCs w:val="24"/>
              </w:rPr>
              <w:t>on the learning and teaching environment. Together with teachers’</w:t>
            </w:r>
            <w:r>
              <w:rPr>
                <w:noProof/>
                <w:szCs w:val="24"/>
              </w:rPr>
              <w:t xml:space="preserve">, trainers' and all other relevant stakeholders’ </w:t>
            </w:r>
            <w:r>
              <w:rPr>
                <w:rFonts w:eastAsia="Times New Roman"/>
                <w:noProof/>
                <w:szCs w:val="24"/>
              </w:rPr>
              <w:t>feedback this is used to inform further actions</w:t>
            </w:r>
          </w:p>
          <w:p w:rsidR="00FA714A" w:rsidRDefault="004E7270">
            <w:pPr>
              <w:tabs>
                <w:tab w:val="left" w:pos="1047"/>
              </w:tabs>
              <w:jc w:val="left"/>
              <w:rPr>
                <w:rFonts w:eastAsia="Times New Roman"/>
                <w:noProof/>
                <w:szCs w:val="24"/>
              </w:rPr>
            </w:pPr>
            <w:r>
              <w:rPr>
                <w:rFonts w:eastAsia="Times New Roman"/>
                <w:noProof/>
                <w:szCs w:val="24"/>
              </w:rPr>
              <w:t>Information on the outcomes of the review is widely and publicly available</w:t>
            </w:r>
          </w:p>
          <w:p w:rsidR="00FA714A" w:rsidRDefault="004E7270">
            <w:pPr>
              <w:tabs>
                <w:tab w:val="left" w:pos="1047"/>
              </w:tabs>
              <w:jc w:val="left"/>
              <w:rPr>
                <w:noProof/>
                <w:szCs w:val="24"/>
              </w:rPr>
            </w:pPr>
            <w:r>
              <w:rPr>
                <w:rFonts w:eastAsia="Times New Roman"/>
                <w:noProof/>
                <w:szCs w:val="24"/>
              </w:rPr>
              <w:t>Procedures on feedb</w:t>
            </w:r>
            <w:r>
              <w:rPr>
                <w:rFonts w:eastAsia="Times New Roman"/>
                <w:noProof/>
                <w:szCs w:val="24"/>
              </w:rPr>
              <w:t>ack and review are part of a strategic learning process in the</w:t>
            </w:r>
            <w:r>
              <w:rPr>
                <w:noProof/>
                <w:szCs w:val="24"/>
              </w:rPr>
              <w:t xml:space="preserve"> organisation, support the development of high quality provision, and improve opportunities for learners.</w:t>
            </w:r>
          </w:p>
          <w:p w:rsidR="00FA714A" w:rsidRDefault="004E7270">
            <w:pPr>
              <w:jc w:val="left"/>
              <w:rPr>
                <w:noProof/>
              </w:rPr>
            </w:pPr>
            <w:r>
              <w:rPr>
                <w:rFonts w:eastAsia="Times New Roman"/>
                <w:noProof/>
                <w:szCs w:val="24"/>
              </w:rPr>
              <w:t xml:space="preserve">Results/outcomes of the evaluation process are discussed with relevant stakeholders and </w:t>
            </w:r>
            <w:r>
              <w:rPr>
                <w:rFonts w:eastAsia="Times New Roman"/>
                <w:noProof/>
                <w:szCs w:val="24"/>
              </w:rPr>
              <w:t>appropriate action plans are put in place</w:t>
            </w:r>
          </w:p>
        </w:tc>
      </w:tr>
    </w:tbl>
    <w:p w:rsidR="00FA714A" w:rsidRDefault="004E7270">
      <w:pPr>
        <w:pageBreakBefore/>
        <w:widowControl w:val="0"/>
        <w:tabs>
          <w:tab w:val="left" w:pos="842"/>
        </w:tabs>
        <w:rPr>
          <w:rFonts w:eastAsia="Times New Roman"/>
          <w:b/>
          <w:noProof/>
          <w:szCs w:val="24"/>
          <w:lang w:bidi="en-US"/>
        </w:rPr>
      </w:pPr>
      <w:r>
        <w:rPr>
          <w:rFonts w:eastAsia="Times New Roman"/>
          <w:b/>
          <w:noProof/>
          <w:szCs w:val="24"/>
          <w:lang w:bidi="en-US"/>
        </w:rPr>
        <w:t>Part B. The reference set of EQAVET Indicators</w:t>
      </w:r>
    </w:p>
    <w:p w:rsidR="00FA714A" w:rsidRDefault="004E7270">
      <w:pPr>
        <w:widowControl w:val="0"/>
        <w:tabs>
          <w:tab w:val="left" w:pos="842"/>
        </w:tabs>
        <w:rPr>
          <w:rFonts w:eastAsia="Times New Roman"/>
          <w:noProof/>
          <w:szCs w:val="24"/>
          <w:lang w:bidi="en-US"/>
        </w:rPr>
      </w:pPr>
      <w:r>
        <w:rPr>
          <w:rFonts w:eastAsia="Times New Roman"/>
          <w:noProof/>
          <w:szCs w:val="24"/>
          <w:lang w:bidi="en-US"/>
        </w:rPr>
        <w:t xml:space="preserve">This section defines a set of reference indicators which can be used to support the evaluation and quality improvement of national/regional VET systems and/or VET providers when implementing the EQAVET framework. </w:t>
      </w:r>
    </w:p>
    <w:tbl>
      <w:tblPr>
        <w:tblStyle w:val="TableGrid"/>
        <w:tblW w:w="9289" w:type="dxa"/>
        <w:tblLayout w:type="fixed"/>
        <w:tblLook w:val="04A0" w:firstRow="1" w:lastRow="0" w:firstColumn="1" w:lastColumn="0" w:noHBand="0" w:noVBand="1"/>
      </w:tblPr>
      <w:tblGrid>
        <w:gridCol w:w="3652"/>
        <w:gridCol w:w="2126"/>
        <w:gridCol w:w="3511"/>
      </w:tblGrid>
      <w:tr w:rsidR="00FA714A">
        <w:trPr>
          <w:trHeight w:val="20"/>
          <w:tblHeader/>
        </w:trPr>
        <w:tc>
          <w:tcPr>
            <w:tcW w:w="3652" w:type="dxa"/>
            <w:shd w:val="clear" w:color="auto" w:fill="F2F2F2" w:themeFill="background1" w:themeFillShade="F2"/>
            <w:vAlign w:val="center"/>
          </w:tcPr>
          <w:p w:rsidR="00FA714A" w:rsidRDefault="004E7270">
            <w:pPr>
              <w:jc w:val="center"/>
              <w:rPr>
                <w:b/>
                <w:bCs/>
                <w:noProof/>
                <w:szCs w:val="24"/>
              </w:rPr>
            </w:pPr>
            <w:r>
              <w:rPr>
                <w:b/>
                <w:noProof/>
                <w:w w:val="110"/>
                <w:szCs w:val="24"/>
              </w:rPr>
              <w:t>Indicator</w:t>
            </w:r>
          </w:p>
        </w:tc>
        <w:tc>
          <w:tcPr>
            <w:tcW w:w="2126" w:type="dxa"/>
            <w:shd w:val="clear" w:color="auto" w:fill="F2F2F2" w:themeFill="background1" w:themeFillShade="F2"/>
            <w:vAlign w:val="center"/>
          </w:tcPr>
          <w:p w:rsidR="00FA714A" w:rsidRDefault="004E7270">
            <w:pPr>
              <w:jc w:val="center"/>
              <w:rPr>
                <w:b/>
                <w:bCs/>
                <w:noProof/>
                <w:szCs w:val="24"/>
              </w:rPr>
            </w:pPr>
            <w:r>
              <w:rPr>
                <w:b/>
                <w:noProof/>
                <w:w w:val="110"/>
                <w:szCs w:val="24"/>
              </w:rPr>
              <w:t>Type of Indicator</w:t>
            </w:r>
          </w:p>
        </w:tc>
        <w:tc>
          <w:tcPr>
            <w:tcW w:w="3511" w:type="dxa"/>
            <w:shd w:val="clear" w:color="auto" w:fill="F2F2F2" w:themeFill="background1" w:themeFillShade="F2"/>
            <w:vAlign w:val="center"/>
          </w:tcPr>
          <w:p w:rsidR="00FA714A" w:rsidRDefault="004E7270">
            <w:pPr>
              <w:jc w:val="center"/>
              <w:rPr>
                <w:b/>
                <w:bCs/>
                <w:noProof/>
                <w:szCs w:val="24"/>
              </w:rPr>
            </w:pPr>
            <w:r>
              <w:rPr>
                <w:b/>
                <w:noProof/>
                <w:w w:val="110"/>
                <w:szCs w:val="24"/>
              </w:rPr>
              <w:t>Purpose of the</w:t>
            </w:r>
            <w:r>
              <w:rPr>
                <w:b/>
                <w:noProof/>
                <w:w w:val="110"/>
                <w:szCs w:val="24"/>
              </w:rPr>
              <w:t xml:space="preserve"> Policy</w:t>
            </w:r>
          </w:p>
        </w:tc>
      </w:tr>
      <w:tr w:rsidR="00FA714A">
        <w:trPr>
          <w:trHeight w:val="20"/>
        </w:trPr>
        <w:tc>
          <w:tcPr>
            <w:tcW w:w="9289" w:type="dxa"/>
            <w:gridSpan w:val="3"/>
            <w:vAlign w:val="center"/>
          </w:tcPr>
          <w:p w:rsidR="00FA714A" w:rsidRDefault="004E7270">
            <w:pPr>
              <w:jc w:val="left"/>
              <w:rPr>
                <w:b/>
                <w:bCs/>
                <w:noProof/>
                <w:szCs w:val="24"/>
              </w:rPr>
            </w:pPr>
            <w:r>
              <w:rPr>
                <w:rFonts w:eastAsia="Times New Roman"/>
                <w:b/>
                <w:noProof/>
                <w:szCs w:val="24"/>
                <w:lang w:bidi="en-US"/>
              </w:rPr>
              <w:t>Overarching Indicators for Quality Assurance</w:t>
            </w:r>
          </w:p>
        </w:tc>
      </w:tr>
      <w:tr w:rsidR="00FA714A">
        <w:trPr>
          <w:trHeight w:val="20"/>
        </w:trPr>
        <w:tc>
          <w:tcPr>
            <w:tcW w:w="9289" w:type="dxa"/>
            <w:gridSpan w:val="3"/>
            <w:vAlign w:val="center"/>
          </w:tcPr>
          <w:p w:rsidR="00FA714A" w:rsidRDefault="004E7270">
            <w:pPr>
              <w:jc w:val="left"/>
              <w:rPr>
                <w:rFonts w:cstheme="minorBidi"/>
                <w:b/>
                <w:i/>
                <w:noProof/>
              </w:rPr>
            </w:pPr>
            <w:r>
              <w:rPr>
                <w:rFonts w:cstheme="minorBidi"/>
                <w:b/>
                <w:i/>
                <w:noProof/>
              </w:rPr>
              <w:t xml:space="preserve">Number 1 </w:t>
            </w:r>
          </w:p>
        </w:tc>
      </w:tr>
      <w:tr w:rsidR="00FA714A">
        <w:trPr>
          <w:trHeight w:val="20"/>
        </w:trPr>
        <w:tc>
          <w:tcPr>
            <w:tcW w:w="3652" w:type="dxa"/>
            <w:vAlign w:val="center"/>
          </w:tcPr>
          <w:p w:rsidR="00FA714A" w:rsidRDefault="004E7270">
            <w:pPr>
              <w:tabs>
                <w:tab w:val="left" w:pos="1047"/>
              </w:tabs>
              <w:jc w:val="left"/>
              <w:rPr>
                <w:rFonts w:eastAsia="Times New Roman"/>
                <w:noProof/>
                <w:szCs w:val="24"/>
                <w:lang w:bidi="en-US"/>
              </w:rPr>
            </w:pPr>
            <w:r>
              <w:rPr>
                <w:rFonts w:eastAsia="Times New Roman"/>
                <w:noProof/>
                <w:szCs w:val="24"/>
                <w:lang w:bidi="en-US"/>
              </w:rPr>
              <w:t>Relevance of quality assurance systems for VET providers:</w:t>
            </w:r>
          </w:p>
          <w:p w:rsidR="00FA714A" w:rsidRDefault="004E7270">
            <w:pPr>
              <w:tabs>
                <w:tab w:val="left" w:pos="426"/>
              </w:tabs>
              <w:ind w:left="426" w:hanging="426"/>
              <w:jc w:val="left"/>
              <w:rPr>
                <w:rFonts w:eastAsia="Times New Roman"/>
                <w:noProof/>
                <w:szCs w:val="24"/>
                <w:lang w:bidi="en-US"/>
              </w:rPr>
            </w:pPr>
            <w:r>
              <w:rPr>
                <w:rFonts w:eastAsia="Times New Roman"/>
                <w:noProof/>
                <w:szCs w:val="24"/>
                <w:lang w:bidi="en-US"/>
              </w:rPr>
              <w:t>(a)</w:t>
            </w:r>
            <w:r>
              <w:rPr>
                <w:rFonts w:eastAsia="Times New Roman"/>
                <w:noProof/>
                <w:szCs w:val="24"/>
                <w:lang w:bidi="en-US"/>
              </w:rPr>
              <w:tab/>
              <w:t>share of VET providers applying internal quality assurance systems defined by law/at own initiative</w:t>
            </w:r>
          </w:p>
          <w:p w:rsidR="00FA714A" w:rsidRDefault="004E7270">
            <w:pPr>
              <w:tabs>
                <w:tab w:val="left" w:pos="426"/>
              </w:tabs>
              <w:ind w:left="426" w:hanging="426"/>
              <w:jc w:val="left"/>
              <w:rPr>
                <w:rFonts w:eastAsia="Times New Roman"/>
                <w:noProof/>
                <w:szCs w:val="24"/>
                <w:lang w:bidi="en-US"/>
              </w:rPr>
            </w:pPr>
            <w:r>
              <w:rPr>
                <w:rFonts w:eastAsia="Times New Roman"/>
                <w:noProof/>
                <w:szCs w:val="24"/>
                <w:lang w:bidi="en-US"/>
              </w:rPr>
              <w:t>(b)</w:t>
            </w:r>
            <w:r>
              <w:rPr>
                <w:rFonts w:eastAsia="Times New Roman"/>
                <w:noProof/>
                <w:szCs w:val="24"/>
                <w:lang w:bidi="en-US"/>
              </w:rPr>
              <w:tab/>
              <w:t xml:space="preserve">share of accredited VET </w:t>
            </w:r>
            <w:r>
              <w:rPr>
                <w:rFonts w:eastAsia="Times New Roman"/>
                <w:noProof/>
                <w:szCs w:val="24"/>
                <w:lang w:bidi="en-US"/>
              </w:rPr>
              <w:t>providers</w:t>
            </w:r>
          </w:p>
        </w:tc>
        <w:tc>
          <w:tcPr>
            <w:tcW w:w="2126" w:type="dxa"/>
            <w:vAlign w:val="center"/>
          </w:tcPr>
          <w:p w:rsidR="00FA714A" w:rsidRDefault="004E7270">
            <w:pPr>
              <w:jc w:val="left"/>
              <w:rPr>
                <w:noProof/>
                <w:w w:val="105"/>
                <w:szCs w:val="24"/>
              </w:rPr>
            </w:pPr>
            <w:r>
              <w:rPr>
                <w:rFonts w:eastAsia="Times New Roman"/>
                <w:noProof/>
                <w:szCs w:val="24"/>
                <w:lang w:bidi="en-US"/>
              </w:rPr>
              <w:t>Context/Input indicator</w:t>
            </w:r>
          </w:p>
        </w:tc>
        <w:tc>
          <w:tcPr>
            <w:tcW w:w="3511" w:type="dxa"/>
            <w:vAlign w:val="center"/>
          </w:tcPr>
          <w:p w:rsidR="00FA714A" w:rsidRDefault="004E7270">
            <w:pPr>
              <w:jc w:val="left"/>
              <w:rPr>
                <w:rFonts w:eastAsia="Times New Roman"/>
                <w:noProof/>
                <w:szCs w:val="24"/>
                <w:lang w:bidi="en-US"/>
              </w:rPr>
            </w:pPr>
            <w:r>
              <w:rPr>
                <w:rFonts w:eastAsia="Times New Roman"/>
                <w:noProof/>
                <w:szCs w:val="24"/>
                <w:lang w:bidi="en-US"/>
              </w:rPr>
              <w:t>Promote a quality improvement culture at VET-provider level</w:t>
            </w:r>
          </w:p>
          <w:p w:rsidR="00FA714A" w:rsidRDefault="004E7270">
            <w:pPr>
              <w:jc w:val="left"/>
              <w:rPr>
                <w:rFonts w:eastAsia="Times New Roman"/>
                <w:noProof/>
                <w:szCs w:val="24"/>
                <w:lang w:bidi="en-US"/>
              </w:rPr>
            </w:pPr>
            <w:r>
              <w:rPr>
                <w:rFonts w:eastAsia="Times New Roman"/>
                <w:noProof/>
                <w:szCs w:val="24"/>
                <w:lang w:bidi="en-US"/>
              </w:rPr>
              <w:t>Increase the transparency of quality of training</w:t>
            </w:r>
          </w:p>
          <w:p w:rsidR="00FA714A" w:rsidRDefault="004E7270">
            <w:pPr>
              <w:jc w:val="left"/>
              <w:rPr>
                <w:noProof/>
                <w:w w:val="105"/>
                <w:szCs w:val="24"/>
              </w:rPr>
            </w:pPr>
            <w:r>
              <w:rPr>
                <w:rFonts w:eastAsia="Times New Roman"/>
                <w:noProof/>
                <w:szCs w:val="24"/>
                <w:lang w:bidi="en-US"/>
              </w:rPr>
              <w:t>Improve mutual trust on training provision</w:t>
            </w:r>
          </w:p>
        </w:tc>
      </w:tr>
      <w:tr w:rsidR="00FA714A">
        <w:trPr>
          <w:trHeight w:val="20"/>
        </w:trPr>
        <w:tc>
          <w:tcPr>
            <w:tcW w:w="9289" w:type="dxa"/>
            <w:gridSpan w:val="3"/>
            <w:vAlign w:val="center"/>
          </w:tcPr>
          <w:p w:rsidR="00FA714A" w:rsidRDefault="004E7270">
            <w:pPr>
              <w:jc w:val="left"/>
              <w:rPr>
                <w:rFonts w:cstheme="minorBidi"/>
                <w:b/>
                <w:i/>
                <w:noProof/>
              </w:rPr>
            </w:pPr>
            <w:r>
              <w:rPr>
                <w:rFonts w:cstheme="minorBidi"/>
                <w:b/>
                <w:i/>
                <w:noProof/>
              </w:rPr>
              <w:t>Number 2</w:t>
            </w:r>
          </w:p>
        </w:tc>
      </w:tr>
      <w:tr w:rsidR="00FA714A">
        <w:trPr>
          <w:trHeight w:val="20"/>
        </w:trPr>
        <w:tc>
          <w:tcPr>
            <w:tcW w:w="3652" w:type="dxa"/>
            <w:vAlign w:val="center"/>
          </w:tcPr>
          <w:p w:rsidR="00FA714A" w:rsidRDefault="004E7270">
            <w:pPr>
              <w:jc w:val="left"/>
              <w:rPr>
                <w:rFonts w:eastAsia="Times New Roman"/>
                <w:noProof/>
                <w:szCs w:val="24"/>
                <w:lang w:bidi="en-US"/>
              </w:rPr>
            </w:pPr>
            <w:r>
              <w:rPr>
                <w:rFonts w:eastAsia="Times New Roman"/>
                <w:noProof/>
                <w:szCs w:val="24"/>
                <w:lang w:bidi="en-US"/>
              </w:rPr>
              <w:t>Investment in training of teachers and trainers:</w:t>
            </w:r>
          </w:p>
          <w:p w:rsidR="00FA714A" w:rsidRDefault="004E7270">
            <w:pPr>
              <w:ind w:left="426" w:hanging="426"/>
              <w:jc w:val="left"/>
              <w:rPr>
                <w:rFonts w:eastAsia="Times New Roman"/>
                <w:noProof/>
                <w:szCs w:val="24"/>
                <w:lang w:bidi="en-US"/>
              </w:rPr>
            </w:pPr>
            <w:r>
              <w:rPr>
                <w:rFonts w:eastAsia="Times New Roman"/>
                <w:noProof/>
                <w:szCs w:val="24"/>
                <w:lang w:bidi="en-US"/>
              </w:rPr>
              <w:t>(a)</w:t>
            </w:r>
            <w:r>
              <w:rPr>
                <w:rFonts w:eastAsia="Times New Roman"/>
                <w:noProof/>
                <w:szCs w:val="24"/>
                <w:lang w:bidi="en-US"/>
              </w:rPr>
              <w:tab/>
              <w:t xml:space="preserve">share </w:t>
            </w:r>
            <w:r>
              <w:rPr>
                <w:rFonts w:eastAsia="Times New Roman"/>
                <w:noProof/>
                <w:szCs w:val="24"/>
                <w:lang w:bidi="en-US"/>
              </w:rPr>
              <w:t>of teachers and trainers participating in further training</w:t>
            </w:r>
          </w:p>
          <w:p w:rsidR="00FA714A" w:rsidRDefault="00FA714A">
            <w:pPr>
              <w:ind w:left="426" w:hanging="426"/>
              <w:jc w:val="left"/>
              <w:rPr>
                <w:rFonts w:eastAsia="Times New Roman"/>
                <w:noProof/>
                <w:szCs w:val="24"/>
                <w:lang w:bidi="en-US"/>
              </w:rPr>
            </w:pPr>
          </w:p>
          <w:p w:rsidR="00FA714A" w:rsidRDefault="004E7270">
            <w:pPr>
              <w:ind w:left="426" w:hanging="426"/>
              <w:jc w:val="left"/>
              <w:rPr>
                <w:rFonts w:eastAsia="Times New Roman"/>
                <w:noProof/>
                <w:szCs w:val="24"/>
                <w:lang w:bidi="en-US"/>
              </w:rPr>
            </w:pPr>
            <w:r>
              <w:rPr>
                <w:rFonts w:eastAsia="Times New Roman"/>
                <w:noProof/>
                <w:szCs w:val="24"/>
                <w:lang w:bidi="en-US"/>
              </w:rPr>
              <w:t>(b)</w:t>
            </w:r>
            <w:r>
              <w:rPr>
                <w:rFonts w:eastAsia="Times New Roman"/>
                <w:noProof/>
                <w:szCs w:val="24"/>
                <w:lang w:bidi="en-US"/>
              </w:rPr>
              <w:tab/>
              <w:t>amount of funds invested, including for digital skills</w:t>
            </w:r>
          </w:p>
        </w:tc>
        <w:tc>
          <w:tcPr>
            <w:tcW w:w="2126" w:type="dxa"/>
            <w:vAlign w:val="center"/>
          </w:tcPr>
          <w:p w:rsidR="00FA714A" w:rsidRDefault="004E7270">
            <w:pPr>
              <w:jc w:val="left"/>
              <w:rPr>
                <w:noProof/>
                <w:szCs w:val="24"/>
              </w:rPr>
            </w:pPr>
            <w:r>
              <w:rPr>
                <w:rFonts w:eastAsia="Times New Roman"/>
                <w:noProof/>
                <w:szCs w:val="24"/>
                <w:lang w:bidi="en-US"/>
              </w:rPr>
              <w:t>Input/Process indicator</w:t>
            </w:r>
          </w:p>
        </w:tc>
        <w:tc>
          <w:tcPr>
            <w:tcW w:w="3511" w:type="dxa"/>
            <w:vAlign w:val="center"/>
          </w:tcPr>
          <w:p w:rsidR="00FA714A" w:rsidRDefault="004E7270">
            <w:pPr>
              <w:jc w:val="left"/>
              <w:rPr>
                <w:rFonts w:eastAsia="Times New Roman"/>
                <w:noProof/>
                <w:szCs w:val="24"/>
                <w:lang w:bidi="en-US"/>
              </w:rPr>
            </w:pPr>
            <w:r>
              <w:rPr>
                <w:rFonts w:eastAsia="Times New Roman"/>
                <w:noProof/>
                <w:szCs w:val="24"/>
                <w:lang w:bidi="en-US"/>
              </w:rPr>
              <w:t>Promote ownership of teachers and trainers in the process of quality development in VET</w:t>
            </w:r>
          </w:p>
          <w:p w:rsidR="00FA714A" w:rsidRDefault="004E7270">
            <w:pPr>
              <w:jc w:val="left"/>
              <w:rPr>
                <w:rFonts w:eastAsia="Times New Roman"/>
                <w:noProof/>
                <w:szCs w:val="24"/>
                <w:lang w:bidi="en-US"/>
              </w:rPr>
            </w:pPr>
            <w:r>
              <w:rPr>
                <w:rFonts w:eastAsia="Times New Roman"/>
                <w:noProof/>
                <w:szCs w:val="24"/>
                <w:lang w:bidi="en-US"/>
              </w:rPr>
              <w:t xml:space="preserve">Improve the </w:t>
            </w:r>
            <w:r>
              <w:rPr>
                <w:rFonts w:eastAsia="Times New Roman"/>
                <w:noProof/>
                <w:szCs w:val="24"/>
                <w:lang w:bidi="en-US"/>
              </w:rPr>
              <w:t>responsiveness of VET to changing demands of labour market</w:t>
            </w:r>
          </w:p>
          <w:p w:rsidR="00FA714A" w:rsidRDefault="004E7270">
            <w:pPr>
              <w:jc w:val="left"/>
              <w:rPr>
                <w:rFonts w:eastAsia="Times New Roman"/>
                <w:noProof/>
                <w:szCs w:val="24"/>
                <w:lang w:bidi="en-US"/>
              </w:rPr>
            </w:pPr>
            <w:r>
              <w:rPr>
                <w:rFonts w:eastAsia="Times New Roman"/>
                <w:noProof/>
                <w:szCs w:val="24"/>
                <w:lang w:bidi="en-US"/>
              </w:rPr>
              <w:t>Increase individual learning capacity building</w:t>
            </w:r>
          </w:p>
          <w:p w:rsidR="00FA714A" w:rsidRDefault="004E7270">
            <w:pPr>
              <w:jc w:val="left"/>
              <w:rPr>
                <w:noProof/>
                <w:szCs w:val="24"/>
              </w:rPr>
            </w:pPr>
            <w:r>
              <w:rPr>
                <w:rFonts w:eastAsia="Times New Roman"/>
                <w:noProof/>
                <w:szCs w:val="24"/>
                <w:lang w:bidi="en-US"/>
              </w:rPr>
              <w:t>Improve learners’ achievement</w:t>
            </w:r>
          </w:p>
        </w:tc>
      </w:tr>
      <w:tr w:rsidR="00FA714A">
        <w:trPr>
          <w:trHeight w:val="20"/>
        </w:trPr>
        <w:tc>
          <w:tcPr>
            <w:tcW w:w="9289" w:type="dxa"/>
            <w:gridSpan w:val="3"/>
            <w:vAlign w:val="center"/>
          </w:tcPr>
          <w:p w:rsidR="00FA714A" w:rsidRDefault="004E7270">
            <w:pPr>
              <w:jc w:val="left"/>
              <w:rPr>
                <w:b/>
                <w:bCs/>
                <w:noProof/>
                <w:szCs w:val="24"/>
              </w:rPr>
            </w:pPr>
            <w:r>
              <w:rPr>
                <w:rFonts w:eastAsia="Times New Roman"/>
                <w:b/>
                <w:noProof/>
                <w:szCs w:val="24"/>
                <w:lang w:bidi="en-US"/>
              </w:rPr>
              <w:t>Indicators supporting quality objectives for VET policies</w:t>
            </w:r>
          </w:p>
        </w:tc>
      </w:tr>
      <w:tr w:rsidR="00FA714A">
        <w:trPr>
          <w:trHeight w:val="20"/>
        </w:trPr>
        <w:tc>
          <w:tcPr>
            <w:tcW w:w="9289" w:type="dxa"/>
            <w:gridSpan w:val="3"/>
            <w:vAlign w:val="center"/>
          </w:tcPr>
          <w:p w:rsidR="00FA714A" w:rsidRDefault="004E7270">
            <w:pPr>
              <w:jc w:val="left"/>
              <w:rPr>
                <w:rFonts w:cstheme="minorBidi"/>
                <w:b/>
                <w:i/>
                <w:noProof/>
              </w:rPr>
            </w:pPr>
            <w:r>
              <w:rPr>
                <w:rFonts w:cstheme="minorBidi"/>
                <w:b/>
                <w:i/>
                <w:noProof/>
              </w:rPr>
              <w:t>Number 3</w:t>
            </w:r>
          </w:p>
        </w:tc>
      </w:tr>
      <w:tr w:rsidR="00FA714A">
        <w:trPr>
          <w:trHeight w:val="20"/>
        </w:trPr>
        <w:tc>
          <w:tcPr>
            <w:tcW w:w="3652" w:type="dxa"/>
            <w:vAlign w:val="center"/>
          </w:tcPr>
          <w:p w:rsidR="00FA714A" w:rsidRDefault="004E7270">
            <w:pPr>
              <w:jc w:val="left"/>
              <w:rPr>
                <w:rFonts w:eastAsia="Times New Roman"/>
                <w:noProof/>
                <w:szCs w:val="24"/>
                <w:lang w:bidi="en-US"/>
              </w:rPr>
            </w:pPr>
            <w:r>
              <w:rPr>
                <w:rFonts w:eastAsia="Times New Roman"/>
                <w:noProof/>
                <w:szCs w:val="24"/>
                <w:lang w:bidi="en-US"/>
              </w:rPr>
              <w:t>Participation rate in VET programmes:</w:t>
            </w:r>
          </w:p>
          <w:p w:rsidR="00FA714A" w:rsidRDefault="004E7270">
            <w:pPr>
              <w:jc w:val="left"/>
              <w:rPr>
                <w:rFonts w:eastAsia="Times New Roman"/>
                <w:noProof/>
                <w:szCs w:val="24"/>
                <w:lang w:bidi="en-US"/>
              </w:rPr>
            </w:pPr>
            <w:r>
              <w:rPr>
                <w:rFonts w:eastAsia="Times New Roman"/>
                <w:noProof/>
                <w:szCs w:val="24"/>
                <w:lang w:bidi="en-US"/>
              </w:rPr>
              <w:t xml:space="preserve">Number of </w:t>
            </w:r>
            <w:r>
              <w:rPr>
                <w:rFonts w:eastAsia="Times New Roman"/>
                <w:noProof/>
                <w:szCs w:val="24"/>
                <w:lang w:bidi="en-US"/>
              </w:rPr>
              <w:t>participants in VET programmes</w:t>
            </w:r>
            <w:r>
              <w:rPr>
                <w:rStyle w:val="FootnoteReference"/>
                <w:noProof/>
              </w:rPr>
              <w:footnoteReference w:id="14"/>
            </w:r>
            <w:r>
              <w:rPr>
                <w:rFonts w:eastAsia="Times New Roman"/>
                <w:noProof/>
                <w:szCs w:val="24"/>
                <w:lang w:bidi="en-US"/>
              </w:rPr>
              <w:t>, according to the type of programme and the individual criteria</w:t>
            </w:r>
            <w:r>
              <w:rPr>
                <w:rStyle w:val="FootnoteReference"/>
                <w:noProof/>
              </w:rPr>
              <w:footnoteReference w:id="15"/>
            </w:r>
          </w:p>
        </w:tc>
        <w:tc>
          <w:tcPr>
            <w:tcW w:w="2126" w:type="dxa"/>
            <w:vAlign w:val="center"/>
          </w:tcPr>
          <w:p w:rsidR="00FA714A" w:rsidRDefault="004E7270">
            <w:pPr>
              <w:jc w:val="left"/>
              <w:rPr>
                <w:rFonts w:eastAsia="Times New Roman"/>
                <w:noProof/>
                <w:szCs w:val="24"/>
                <w:lang w:bidi="en-US"/>
              </w:rPr>
            </w:pPr>
            <w:r>
              <w:rPr>
                <w:rFonts w:eastAsia="Times New Roman"/>
                <w:noProof/>
                <w:szCs w:val="24"/>
                <w:lang w:bidi="en-US"/>
              </w:rPr>
              <w:t>Input/Process/Output indicator</w:t>
            </w:r>
          </w:p>
        </w:tc>
        <w:tc>
          <w:tcPr>
            <w:tcW w:w="3511" w:type="dxa"/>
            <w:vAlign w:val="center"/>
          </w:tcPr>
          <w:p w:rsidR="00FA714A" w:rsidRDefault="004E7270">
            <w:pPr>
              <w:jc w:val="left"/>
              <w:rPr>
                <w:rFonts w:eastAsia="Times New Roman"/>
                <w:noProof/>
                <w:szCs w:val="24"/>
                <w:lang w:bidi="en-US"/>
              </w:rPr>
            </w:pPr>
            <w:r>
              <w:rPr>
                <w:rFonts w:eastAsia="Times New Roman"/>
                <w:noProof/>
                <w:szCs w:val="24"/>
                <w:lang w:bidi="en-US"/>
              </w:rPr>
              <w:t>Obtain basic information at VET- system and VET-provider levels on the attractiveness of VET</w:t>
            </w:r>
          </w:p>
          <w:p w:rsidR="00FA714A" w:rsidRDefault="004E7270">
            <w:pPr>
              <w:jc w:val="left"/>
              <w:rPr>
                <w:rFonts w:eastAsia="Times New Roman"/>
                <w:noProof/>
                <w:szCs w:val="24"/>
                <w:lang w:bidi="en-US"/>
              </w:rPr>
            </w:pPr>
            <w:r>
              <w:rPr>
                <w:rFonts w:eastAsia="Times New Roman"/>
                <w:noProof/>
                <w:szCs w:val="24"/>
                <w:lang w:bidi="en-US"/>
              </w:rPr>
              <w:t xml:space="preserve">Target support to increase access </w:t>
            </w:r>
            <w:r>
              <w:rPr>
                <w:rFonts w:eastAsia="Times New Roman"/>
                <w:noProof/>
                <w:szCs w:val="24"/>
                <w:lang w:bidi="en-US"/>
              </w:rPr>
              <w:t>to VET, including for disadvantaged groups</w:t>
            </w:r>
          </w:p>
        </w:tc>
      </w:tr>
      <w:tr w:rsidR="00FA714A">
        <w:trPr>
          <w:trHeight w:val="20"/>
        </w:trPr>
        <w:tc>
          <w:tcPr>
            <w:tcW w:w="9289" w:type="dxa"/>
            <w:gridSpan w:val="3"/>
            <w:vAlign w:val="center"/>
          </w:tcPr>
          <w:p w:rsidR="00FA714A" w:rsidRDefault="004E7270">
            <w:pPr>
              <w:jc w:val="left"/>
              <w:rPr>
                <w:rFonts w:cstheme="minorBidi"/>
                <w:b/>
                <w:i/>
                <w:noProof/>
              </w:rPr>
            </w:pPr>
            <w:r>
              <w:rPr>
                <w:rFonts w:cstheme="minorBidi"/>
                <w:b/>
                <w:i/>
                <w:noProof/>
              </w:rPr>
              <w:t>Number 4</w:t>
            </w:r>
          </w:p>
        </w:tc>
      </w:tr>
      <w:tr w:rsidR="00FA714A">
        <w:trPr>
          <w:trHeight w:val="20"/>
        </w:trPr>
        <w:tc>
          <w:tcPr>
            <w:tcW w:w="3652" w:type="dxa"/>
            <w:vAlign w:val="center"/>
          </w:tcPr>
          <w:p w:rsidR="00FA714A" w:rsidRDefault="004E7270">
            <w:pPr>
              <w:jc w:val="left"/>
              <w:rPr>
                <w:rFonts w:eastAsia="Times New Roman"/>
                <w:noProof/>
                <w:szCs w:val="24"/>
                <w:lang w:bidi="en-US"/>
              </w:rPr>
            </w:pPr>
            <w:r>
              <w:rPr>
                <w:rFonts w:eastAsia="Times New Roman"/>
                <w:noProof/>
                <w:szCs w:val="24"/>
                <w:lang w:bidi="en-US"/>
              </w:rPr>
              <w:t>Completion rate in VET programmes:</w:t>
            </w:r>
          </w:p>
          <w:p w:rsidR="00FA714A" w:rsidRDefault="004E7270">
            <w:pPr>
              <w:jc w:val="left"/>
              <w:rPr>
                <w:rFonts w:eastAsia="Times New Roman"/>
                <w:noProof/>
                <w:szCs w:val="24"/>
                <w:lang w:bidi="en-US"/>
              </w:rPr>
            </w:pPr>
            <w:r>
              <w:rPr>
                <w:rFonts w:eastAsia="Times New Roman"/>
                <w:noProof/>
                <w:szCs w:val="24"/>
                <w:lang w:bidi="en-US"/>
              </w:rPr>
              <w:t>Number of persons having successfully completed/abandoned VET programmes, according to the type of programme and the individual criteria</w:t>
            </w:r>
          </w:p>
        </w:tc>
        <w:tc>
          <w:tcPr>
            <w:tcW w:w="2126" w:type="dxa"/>
            <w:vAlign w:val="center"/>
          </w:tcPr>
          <w:p w:rsidR="00FA714A" w:rsidRDefault="004E7270">
            <w:pPr>
              <w:jc w:val="left"/>
              <w:rPr>
                <w:rFonts w:eastAsia="Times New Roman"/>
                <w:noProof/>
                <w:szCs w:val="24"/>
                <w:lang w:bidi="en-US"/>
              </w:rPr>
            </w:pPr>
            <w:r>
              <w:rPr>
                <w:rFonts w:eastAsia="Times New Roman"/>
                <w:noProof/>
                <w:szCs w:val="24"/>
                <w:lang w:bidi="en-US"/>
              </w:rPr>
              <w:t>Process/Output/Outcome indicat</w:t>
            </w:r>
            <w:r>
              <w:rPr>
                <w:rFonts w:eastAsia="Times New Roman"/>
                <w:noProof/>
                <w:szCs w:val="24"/>
                <w:lang w:bidi="en-US"/>
              </w:rPr>
              <w:t>or</w:t>
            </w:r>
          </w:p>
        </w:tc>
        <w:tc>
          <w:tcPr>
            <w:tcW w:w="3511" w:type="dxa"/>
            <w:vAlign w:val="center"/>
          </w:tcPr>
          <w:p w:rsidR="00FA714A" w:rsidRDefault="004E7270">
            <w:pPr>
              <w:jc w:val="left"/>
              <w:rPr>
                <w:rFonts w:eastAsia="Times New Roman"/>
                <w:noProof/>
                <w:szCs w:val="24"/>
                <w:lang w:bidi="en-US"/>
              </w:rPr>
            </w:pPr>
            <w:r>
              <w:rPr>
                <w:rFonts w:eastAsia="Times New Roman"/>
                <w:noProof/>
                <w:szCs w:val="24"/>
                <w:lang w:bidi="en-US"/>
              </w:rPr>
              <w:t>Obtain basic information on educational achievements and the quality of training processes</w:t>
            </w:r>
          </w:p>
          <w:p w:rsidR="00FA714A" w:rsidRDefault="004E7270">
            <w:pPr>
              <w:jc w:val="left"/>
              <w:rPr>
                <w:rFonts w:eastAsia="Times New Roman"/>
                <w:noProof/>
                <w:szCs w:val="24"/>
                <w:lang w:bidi="en-US"/>
              </w:rPr>
            </w:pPr>
            <w:r>
              <w:rPr>
                <w:rFonts w:eastAsia="Times New Roman"/>
                <w:noProof/>
                <w:szCs w:val="24"/>
                <w:lang w:bidi="en-US"/>
              </w:rPr>
              <w:t>Calculate drop-out rates compared to participation rate</w:t>
            </w:r>
          </w:p>
          <w:p w:rsidR="00FA714A" w:rsidRDefault="004E7270">
            <w:pPr>
              <w:jc w:val="left"/>
              <w:rPr>
                <w:rFonts w:eastAsia="Times New Roman"/>
                <w:noProof/>
                <w:szCs w:val="24"/>
                <w:lang w:bidi="en-US"/>
              </w:rPr>
            </w:pPr>
            <w:r>
              <w:rPr>
                <w:rFonts w:eastAsia="Times New Roman"/>
                <w:noProof/>
                <w:szCs w:val="24"/>
                <w:lang w:bidi="en-US"/>
              </w:rPr>
              <w:t>Support successful completion as one of the main objectives for quality in VET</w:t>
            </w:r>
          </w:p>
          <w:p w:rsidR="00FA714A" w:rsidRDefault="004E7270">
            <w:pPr>
              <w:jc w:val="left"/>
              <w:rPr>
                <w:rFonts w:eastAsia="Times New Roman"/>
                <w:noProof/>
                <w:szCs w:val="24"/>
                <w:lang w:bidi="en-US"/>
              </w:rPr>
            </w:pPr>
            <w:r>
              <w:rPr>
                <w:rFonts w:eastAsia="Times New Roman"/>
                <w:noProof/>
                <w:szCs w:val="24"/>
                <w:lang w:bidi="en-US"/>
              </w:rPr>
              <w:t>Support adapted training pr</w:t>
            </w:r>
            <w:r>
              <w:rPr>
                <w:rFonts w:eastAsia="Times New Roman"/>
                <w:noProof/>
                <w:szCs w:val="24"/>
                <w:lang w:bidi="en-US"/>
              </w:rPr>
              <w:t>ovision, including for disadvantaged groups</w:t>
            </w:r>
          </w:p>
        </w:tc>
      </w:tr>
      <w:tr w:rsidR="00FA714A">
        <w:trPr>
          <w:trHeight w:val="20"/>
        </w:trPr>
        <w:tc>
          <w:tcPr>
            <w:tcW w:w="9289" w:type="dxa"/>
            <w:gridSpan w:val="3"/>
            <w:vAlign w:val="center"/>
          </w:tcPr>
          <w:p w:rsidR="00FA714A" w:rsidRDefault="004E7270">
            <w:pPr>
              <w:jc w:val="left"/>
              <w:rPr>
                <w:rFonts w:cstheme="minorBidi"/>
                <w:b/>
                <w:i/>
                <w:noProof/>
              </w:rPr>
            </w:pPr>
            <w:r>
              <w:rPr>
                <w:rFonts w:cstheme="minorBidi"/>
                <w:b/>
                <w:i/>
                <w:noProof/>
              </w:rPr>
              <w:t>Number 5</w:t>
            </w:r>
          </w:p>
        </w:tc>
      </w:tr>
      <w:tr w:rsidR="00FA714A">
        <w:trPr>
          <w:trHeight w:val="20"/>
        </w:trPr>
        <w:tc>
          <w:tcPr>
            <w:tcW w:w="3652" w:type="dxa"/>
            <w:vAlign w:val="center"/>
          </w:tcPr>
          <w:p w:rsidR="00FA714A" w:rsidRDefault="004E7270">
            <w:pPr>
              <w:jc w:val="left"/>
              <w:rPr>
                <w:rFonts w:eastAsia="Times New Roman"/>
                <w:noProof/>
                <w:szCs w:val="24"/>
                <w:lang w:bidi="en-US"/>
              </w:rPr>
            </w:pPr>
            <w:r>
              <w:rPr>
                <w:rFonts w:eastAsia="Times New Roman"/>
                <w:noProof/>
                <w:szCs w:val="24"/>
                <w:lang w:bidi="en-US"/>
              </w:rPr>
              <w:t>Placement rate in VET programmes:</w:t>
            </w:r>
          </w:p>
          <w:p w:rsidR="00FA714A" w:rsidRDefault="004E7270">
            <w:pPr>
              <w:ind w:left="426" w:hanging="426"/>
              <w:jc w:val="left"/>
              <w:rPr>
                <w:rFonts w:eastAsia="Times New Roman"/>
                <w:noProof/>
                <w:szCs w:val="24"/>
                <w:lang w:bidi="en-US"/>
              </w:rPr>
            </w:pPr>
            <w:r>
              <w:rPr>
                <w:rFonts w:eastAsia="Times New Roman"/>
                <w:noProof/>
                <w:szCs w:val="24"/>
                <w:lang w:bidi="en-US"/>
              </w:rPr>
              <w:t>(a)</w:t>
            </w:r>
            <w:r>
              <w:rPr>
                <w:rFonts w:eastAsia="Times New Roman"/>
                <w:noProof/>
                <w:szCs w:val="24"/>
                <w:lang w:bidi="en-US"/>
              </w:rPr>
              <w:tab/>
              <w:t>destination of VET learners at a designated point in time after completion of training, according to the type of programme and the individual criteria</w:t>
            </w:r>
            <w:r>
              <w:rPr>
                <w:rStyle w:val="FootnoteReference"/>
                <w:noProof/>
              </w:rPr>
              <w:footnoteReference w:id="16"/>
            </w:r>
          </w:p>
          <w:p w:rsidR="00FA714A" w:rsidRDefault="004E7270">
            <w:pPr>
              <w:ind w:left="426" w:hanging="426"/>
              <w:jc w:val="left"/>
              <w:rPr>
                <w:rFonts w:eastAsia="Times New Roman"/>
                <w:noProof/>
                <w:szCs w:val="24"/>
                <w:lang w:bidi="en-US"/>
              </w:rPr>
            </w:pPr>
            <w:r>
              <w:rPr>
                <w:rFonts w:eastAsia="Times New Roman"/>
                <w:noProof/>
                <w:szCs w:val="24"/>
                <w:lang w:bidi="en-US"/>
              </w:rPr>
              <w:t>(b)</w:t>
            </w:r>
            <w:r>
              <w:rPr>
                <w:rFonts w:eastAsia="Times New Roman"/>
                <w:noProof/>
                <w:szCs w:val="24"/>
                <w:lang w:bidi="en-US"/>
              </w:rPr>
              <w:tab/>
              <w:t xml:space="preserve">share </w:t>
            </w:r>
            <w:r>
              <w:rPr>
                <w:rFonts w:eastAsia="Times New Roman"/>
                <w:noProof/>
                <w:szCs w:val="24"/>
                <w:lang w:bidi="en-US"/>
              </w:rPr>
              <w:t>of employed learners at a designated point in time after completion of training, according to the type of programme and the individual criteria</w:t>
            </w:r>
          </w:p>
        </w:tc>
        <w:tc>
          <w:tcPr>
            <w:tcW w:w="2126" w:type="dxa"/>
            <w:vAlign w:val="center"/>
          </w:tcPr>
          <w:p w:rsidR="00FA714A" w:rsidRDefault="004E7270">
            <w:pPr>
              <w:jc w:val="left"/>
              <w:rPr>
                <w:noProof/>
                <w:w w:val="105"/>
                <w:szCs w:val="24"/>
              </w:rPr>
            </w:pPr>
            <w:r>
              <w:rPr>
                <w:rFonts w:eastAsia="Times New Roman"/>
                <w:noProof/>
                <w:szCs w:val="24"/>
                <w:lang w:bidi="en-US"/>
              </w:rPr>
              <w:t>Outcome indicator</w:t>
            </w:r>
          </w:p>
        </w:tc>
        <w:tc>
          <w:tcPr>
            <w:tcW w:w="3511" w:type="dxa"/>
            <w:vAlign w:val="center"/>
          </w:tcPr>
          <w:p w:rsidR="00FA714A" w:rsidRDefault="004E7270">
            <w:pPr>
              <w:jc w:val="left"/>
              <w:rPr>
                <w:rFonts w:eastAsia="Times New Roman"/>
                <w:noProof/>
                <w:szCs w:val="24"/>
                <w:lang w:bidi="en-US"/>
              </w:rPr>
            </w:pPr>
            <w:r>
              <w:rPr>
                <w:rFonts w:eastAsia="Times New Roman"/>
                <w:noProof/>
                <w:szCs w:val="24"/>
                <w:lang w:bidi="en-US"/>
              </w:rPr>
              <w:t>Support employability</w:t>
            </w:r>
          </w:p>
          <w:p w:rsidR="00FA714A" w:rsidRDefault="004E7270">
            <w:pPr>
              <w:jc w:val="left"/>
              <w:rPr>
                <w:rFonts w:eastAsia="Times New Roman"/>
                <w:noProof/>
                <w:szCs w:val="24"/>
                <w:lang w:bidi="en-US"/>
              </w:rPr>
            </w:pPr>
            <w:r>
              <w:rPr>
                <w:rFonts w:eastAsia="Times New Roman"/>
                <w:noProof/>
                <w:szCs w:val="24"/>
                <w:lang w:bidi="en-US"/>
              </w:rPr>
              <w:t>Improve responsiveness of VET to the changing demands in the labour mark</w:t>
            </w:r>
            <w:r>
              <w:rPr>
                <w:rFonts w:eastAsia="Times New Roman"/>
                <w:noProof/>
                <w:szCs w:val="24"/>
                <w:lang w:bidi="en-US"/>
              </w:rPr>
              <w:t>et</w:t>
            </w:r>
          </w:p>
          <w:p w:rsidR="00FA714A" w:rsidRDefault="004E7270">
            <w:pPr>
              <w:jc w:val="left"/>
              <w:rPr>
                <w:noProof/>
                <w:szCs w:val="24"/>
              </w:rPr>
            </w:pPr>
            <w:r>
              <w:rPr>
                <w:rFonts w:eastAsia="Times New Roman"/>
                <w:noProof/>
                <w:szCs w:val="24"/>
                <w:lang w:bidi="en-US"/>
              </w:rPr>
              <w:t>Support adapted training provision, including for disadvantaged groups</w:t>
            </w:r>
          </w:p>
        </w:tc>
      </w:tr>
      <w:tr w:rsidR="00FA714A">
        <w:trPr>
          <w:trHeight w:val="20"/>
        </w:trPr>
        <w:tc>
          <w:tcPr>
            <w:tcW w:w="9289" w:type="dxa"/>
            <w:gridSpan w:val="3"/>
            <w:vAlign w:val="center"/>
          </w:tcPr>
          <w:p w:rsidR="00FA714A" w:rsidRDefault="004E7270">
            <w:pPr>
              <w:jc w:val="left"/>
              <w:rPr>
                <w:rFonts w:cstheme="minorBidi"/>
                <w:b/>
                <w:i/>
                <w:noProof/>
              </w:rPr>
            </w:pPr>
            <w:r>
              <w:rPr>
                <w:rFonts w:cstheme="minorBidi"/>
                <w:b/>
                <w:i/>
                <w:noProof/>
              </w:rPr>
              <w:t>Number 6</w:t>
            </w:r>
          </w:p>
        </w:tc>
      </w:tr>
      <w:tr w:rsidR="00FA714A">
        <w:trPr>
          <w:trHeight w:val="20"/>
        </w:trPr>
        <w:tc>
          <w:tcPr>
            <w:tcW w:w="3652" w:type="dxa"/>
            <w:vAlign w:val="center"/>
          </w:tcPr>
          <w:p w:rsidR="00FA714A" w:rsidRDefault="004E7270">
            <w:pPr>
              <w:ind w:left="426" w:hanging="426"/>
              <w:jc w:val="left"/>
              <w:rPr>
                <w:rFonts w:eastAsia="Times New Roman"/>
                <w:noProof/>
                <w:szCs w:val="24"/>
                <w:lang w:bidi="en-US"/>
              </w:rPr>
            </w:pPr>
            <w:r>
              <w:rPr>
                <w:rFonts w:eastAsia="Times New Roman"/>
                <w:noProof/>
                <w:szCs w:val="24"/>
                <w:lang w:bidi="en-US"/>
              </w:rPr>
              <w:t>Utilisation of acquired skills at the workplace:</w:t>
            </w:r>
          </w:p>
          <w:p w:rsidR="00FA714A" w:rsidRDefault="004E7270">
            <w:pPr>
              <w:ind w:left="426" w:hanging="426"/>
              <w:jc w:val="left"/>
              <w:rPr>
                <w:rFonts w:eastAsia="Times New Roman"/>
                <w:noProof/>
                <w:szCs w:val="24"/>
                <w:lang w:bidi="en-US"/>
              </w:rPr>
            </w:pPr>
            <w:r>
              <w:rPr>
                <w:rFonts w:eastAsia="Times New Roman"/>
                <w:noProof/>
                <w:szCs w:val="24"/>
                <w:lang w:bidi="en-US"/>
              </w:rPr>
              <w:t>(a)</w:t>
            </w:r>
            <w:r>
              <w:rPr>
                <w:rFonts w:eastAsia="Times New Roman"/>
                <w:noProof/>
                <w:szCs w:val="24"/>
                <w:lang w:bidi="en-US"/>
              </w:rPr>
              <w:tab/>
              <w:t xml:space="preserve">information on occupation obtained by individuals after completion of training, according to type of training and </w:t>
            </w:r>
            <w:r>
              <w:rPr>
                <w:rFonts w:eastAsia="Times New Roman"/>
                <w:noProof/>
                <w:szCs w:val="24"/>
                <w:lang w:bidi="en-US"/>
              </w:rPr>
              <w:t>individual criteria</w:t>
            </w:r>
          </w:p>
          <w:p w:rsidR="00FA714A" w:rsidRDefault="004E7270">
            <w:pPr>
              <w:ind w:left="426" w:hanging="426"/>
              <w:jc w:val="left"/>
              <w:rPr>
                <w:rFonts w:eastAsia="Times New Roman"/>
                <w:noProof/>
                <w:szCs w:val="24"/>
                <w:lang w:bidi="en-US"/>
              </w:rPr>
            </w:pPr>
            <w:r>
              <w:rPr>
                <w:rFonts w:eastAsia="Times New Roman"/>
                <w:noProof/>
                <w:szCs w:val="24"/>
                <w:lang w:bidi="en-US"/>
              </w:rPr>
              <w:t>(b)</w:t>
            </w:r>
            <w:r>
              <w:rPr>
                <w:rFonts w:eastAsia="Times New Roman"/>
                <w:noProof/>
                <w:szCs w:val="24"/>
                <w:lang w:bidi="en-US"/>
              </w:rPr>
              <w:tab/>
              <w:t>satisfaction rate of individuals and employers with acquired skills/competences</w:t>
            </w:r>
          </w:p>
        </w:tc>
        <w:tc>
          <w:tcPr>
            <w:tcW w:w="2126" w:type="dxa"/>
            <w:vAlign w:val="center"/>
          </w:tcPr>
          <w:p w:rsidR="00FA714A" w:rsidRDefault="004E7270">
            <w:pPr>
              <w:jc w:val="left"/>
              <w:rPr>
                <w:rFonts w:eastAsia="Times New Roman"/>
                <w:noProof/>
                <w:szCs w:val="24"/>
                <w:lang w:bidi="en-US"/>
              </w:rPr>
            </w:pPr>
            <w:r>
              <w:rPr>
                <w:rFonts w:eastAsia="Times New Roman"/>
                <w:noProof/>
                <w:szCs w:val="24"/>
                <w:lang w:bidi="en-US"/>
              </w:rPr>
              <w:t>Outcome indicator</w:t>
            </w:r>
          </w:p>
          <w:p w:rsidR="00FA714A" w:rsidRDefault="004E7270">
            <w:pPr>
              <w:jc w:val="left"/>
              <w:rPr>
                <w:b/>
                <w:bCs/>
                <w:noProof/>
                <w:szCs w:val="24"/>
              </w:rPr>
            </w:pPr>
            <w:r>
              <w:rPr>
                <w:rFonts w:eastAsia="Times New Roman"/>
                <w:noProof/>
                <w:szCs w:val="24"/>
                <w:lang w:bidi="en-US"/>
              </w:rPr>
              <w:t>(mix of qualitative and quantitative data)</w:t>
            </w:r>
          </w:p>
        </w:tc>
        <w:tc>
          <w:tcPr>
            <w:tcW w:w="3511" w:type="dxa"/>
            <w:vAlign w:val="center"/>
          </w:tcPr>
          <w:p w:rsidR="00FA714A" w:rsidRDefault="004E7270">
            <w:pPr>
              <w:jc w:val="left"/>
              <w:rPr>
                <w:rFonts w:eastAsia="Times New Roman"/>
                <w:noProof/>
                <w:szCs w:val="24"/>
                <w:lang w:bidi="en-US"/>
              </w:rPr>
            </w:pPr>
            <w:r>
              <w:rPr>
                <w:rFonts w:eastAsia="Times New Roman"/>
                <w:noProof/>
                <w:szCs w:val="24"/>
                <w:lang w:bidi="en-US"/>
              </w:rPr>
              <w:t>Increase employability</w:t>
            </w:r>
          </w:p>
          <w:p w:rsidR="00FA714A" w:rsidRDefault="004E7270">
            <w:pPr>
              <w:jc w:val="left"/>
              <w:rPr>
                <w:rFonts w:eastAsia="Times New Roman"/>
                <w:noProof/>
                <w:szCs w:val="24"/>
                <w:lang w:bidi="en-US"/>
              </w:rPr>
            </w:pPr>
            <w:r>
              <w:rPr>
                <w:rFonts w:eastAsia="Times New Roman"/>
                <w:noProof/>
                <w:szCs w:val="24"/>
                <w:lang w:bidi="en-US"/>
              </w:rPr>
              <w:t xml:space="preserve">Improve responsiveness of VET to changing demands in the labour </w:t>
            </w:r>
            <w:r>
              <w:rPr>
                <w:rFonts w:eastAsia="Times New Roman"/>
                <w:noProof/>
                <w:szCs w:val="24"/>
                <w:lang w:bidi="en-US"/>
              </w:rPr>
              <w:t>market</w:t>
            </w:r>
          </w:p>
          <w:p w:rsidR="00FA714A" w:rsidRDefault="004E7270">
            <w:pPr>
              <w:jc w:val="left"/>
              <w:rPr>
                <w:b/>
                <w:bCs/>
                <w:noProof/>
                <w:szCs w:val="24"/>
              </w:rPr>
            </w:pPr>
            <w:r>
              <w:rPr>
                <w:rFonts w:eastAsia="Times New Roman"/>
                <w:noProof/>
                <w:szCs w:val="24"/>
                <w:lang w:bidi="en-US"/>
              </w:rPr>
              <w:t>Support adapted training provision, including for disadvantaged groups</w:t>
            </w:r>
          </w:p>
        </w:tc>
      </w:tr>
      <w:tr w:rsidR="00FA714A">
        <w:trPr>
          <w:trHeight w:val="20"/>
        </w:trPr>
        <w:tc>
          <w:tcPr>
            <w:tcW w:w="9289" w:type="dxa"/>
            <w:gridSpan w:val="3"/>
            <w:vAlign w:val="center"/>
          </w:tcPr>
          <w:p w:rsidR="00FA714A" w:rsidRDefault="004E7270">
            <w:pPr>
              <w:jc w:val="left"/>
              <w:rPr>
                <w:b/>
                <w:bCs/>
                <w:noProof/>
                <w:szCs w:val="24"/>
              </w:rPr>
            </w:pPr>
            <w:r>
              <w:rPr>
                <w:rFonts w:eastAsia="Times New Roman"/>
                <w:b/>
                <w:noProof/>
                <w:szCs w:val="24"/>
                <w:lang w:bidi="en-US"/>
              </w:rPr>
              <w:t>Context information</w:t>
            </w:r>
          </w:p>
        </w:tc>
      </w:tr>
      <w:tr w:rsidR="00FA714A">
        <w:trPr>
          <w:trHeight w:val="20"/>
        </w:trPr>
        <w:tc>
          <w:tcPr>
            <w:tcW w:w="9289" w:type="dxa"/>
            <w:gridSpan w:val="3"/>
            <w:vAlign w:val="center"/>
          </w:tcPr>
          <w:p w:rsidR="00FA714A" w:rsidRDefault="004E7270">
            <w:pPr>
              <w:jc w:val="left"/>
              <w:rPr>
                <w:rFonts w:cstheme="minorBidi"/>
                <w:b/>
                <w:i/>
                <w:noProof/>
              </w:rPr>
            </w:pPr>
            <w:r>
              <w:rPr>
                <w:rFonts w:cstheme="minorBidi"/>
                <w:b/>
                <w:i/>
                <w:noProof/>
              </w:rPr>
              <w:t>Number 7</w:t>
            </w:r>
          </w:p>
        </w:tc>
      </w:tr>
      <w:tr w:rsidR="00FA714A">
        <w:trPr>
          <w:trHeight w:val="20"/>
        </w:trPr>
        <w:tc>
          <w:tcPr>
            <w:tcW w:w="3652" w:type="dxa"/>
            <w:vAlign w:val="center"/>
          </w:tcPr>
          <w:p w:rsidR="00FA714A" w:rsidRDefault="004E7270">
            <w:pPr>
              <w:jc w:val="left"/>
              <w:rPr>
                <w:rFonts w:eastAsia="Times New Roman"/>
                <w:noProof/>
                <w:szCs w:val="24"/>
                <w:lang w:bidi="en-US"/>
              </w:rPr>
            </w:pPr>
            <w:r>
              <w:rPr>
                <w:rFonts w:eastAsia="Times New Roman"/>
                <w:noProof/>
                <w:szCs w:val="24"/>
                <w:lang w:bidi="en-US"/>
              </w:rPr>
              <w:t>Unemployment rate</w:t>
            </w:r>
            <w:r>
              <w:rPr>
                <w:rStyle w:val="FootnoteReference"/>
                <w:noProof/>
              </w:rPr>
              <w:footnoteReference w:id="17"/>
            </w:r>
            <w:r>
              <w:rPr>
                <w:noProof/>
                <w:w w:val="105"/>
                <w:szCs w:val="24"/>
              </w:rPr>
              <w:t xml:space="preserve"> </w:t>
            </w:r>
            <w:r>
              <w:rPr>
                <w:rFonts w:eastAsia="Times New Roman"/>
                <w:noProof/>
                <w:szCs w:val="24"/>
                <w:lang w:bidi="en-US"/>
              </w:rPr>
              <w:t>according to individual criteria</w:t>
            </w:r>
          </w:p>
        </w:tc>
        <w:tc>
          <w:tcPr>
            <w:tcW w:w="2126" w:type="dxa"/>
            <w:vAlign w:val="center"/>
          </w:tcPr>
          <w:p w:rsidR="00FA714A" w:rsidRDefault="004E7270">
            <w:pPr>
              <w:jc w:val="left"/>
              <w:rPr>
                <w:noProof/>
                <w:w w:val="105"/>
                <w:szCs w:val="24"/>
              </w:rPr>
            </w:pPr>
            <w:r>
              <w:rPr>
                <w:rFonts w:eastAsia="Times New Roman"/>
                <w:noProof/>
                <w:szCs w:val="24"/>
                <w:lang w:bidi="en-US"/>
              </w:rPr>
              <w:t>Context indicator</w:t>
            </w:r>
          </w:p>
        </w:tc>
        <w:tc>
          <w:tcPr>
            <w:tcW w:w="3511" w:type="dxa"/>
            <w:vAlign w:val="center"/>
          </w:tcPr>
          <w:p w:rsidR="00FA714A" w:rsidRDefault="004E7270">
            <w:pPr>
              <w:jc w:val="left"/>
              <w:rPr>
                <w:noProof/>
                <w:szCs w:val="24"/>
              </w:rPr>
            </w:pPr>
            <w:r>
              <w:rPr>
                <w:rFonts w:eastAsia="Times New Roman"/>
                <w:noProof/>
                <w:szCs w:val="24"/>
                <w:lang w:bidi="en-US"/>
              </w:rPr>
              <w:t>Background information for policy decision-making at VET-system level</w:t>
            </w:r>
          </w:p>
        </w:tc>
      </w:tr>
      <w:tr w:rsidR="00FA714A">
        <w:trPr>
          <w:trHeight w:val="20"/>
        </w:trPr>
        <w:tc>
          <w:tcPr>
            <w:tcW w:w="9289" w:type="dxa"/>
            <w:gridSpan w:val="3"/>
            <w:vAlign w:val="center"/>
          </w:tcPr>
          <w:p w:rsidR="00FA714A" w:rsidRDefault="004E7270">
            <w:pPr>
              <w:jc w:val="left"/>
              <w:rPr>
                <w:rFonts w:cstheme="minorBidi"/>
                <w:b/>
                <w:i/>
                <w:noProof/>
              </w:rPr>
            </w:pPr>
            <w:r>
              <w:rPr>
                <w:rFonts w:cstheme="minorBidi"/>
                <w:b/>
                <w:i/>
                <w:noProof/>
              </w:rPr>
              <w:t>Numbe</w:t>
            </w:r>
            <w:r>
              <w:rPr>
                <w:rFonts w:cstheme="minorBidi"/>
                <w:b/>
                <w:i/>
                <w:noProof/>
              </w:rPr>
              <w:t>r 8</w:t>
            </w:r>
          </w:p>
        </w:tc>
      </w:tr>
      <w:tr w:rsidR="00FA714A">
        <w:trPr>
          <w:trHeight w:val="20"/>
        </w:trPr>
        <w:tc>
          <w:tcPr>
            <w:tcW w:w="3652" w:type="dxa"/>
            <w:vAlign w:val="center"/>
          </w:tcPr>
          <w:p w:rsidR="00FA714A" w:rsidRDefault="004E7270">
            <w:pPr>
              <w:jc w:val="left"/>
              <w:rPr>
                <w:rFonts w:eastAsia="Times New Roman"/>
                <w:noProof/>
                <w:szCs w:val="24"/>
                <w:lang w:bidi="en-US"/>
              </w:rPr>
            </w:pPr>
            <w:r>
              <w:rPr>
                <w:rFonts w:eastAsia="Times New Roman"/>
                <w:noProof/>
                <w:szCs w:val="24"/>
                <w:lang w:bidi="en-US"/>
              </w:rPr>
              <w:t>Prevalence of vulnerable groups:</w:t>
            </w:r>
          </w:p>
          <w:p w:rsidR="00FA714A" w:rsidRDefault="004E7270">
            <w:pPr>
              <w:ind w:left="426" w:hanging="426"/>
              <w:jc w:val="left"/>
              <w:rPr>
                <w:rFonts w:eastAsia="Times New Roman"/>
                <w:noProof/>
                <w:szCs w:val="24"/>
                <w:lang w:bidi="en-US"/>
              </w:rPr>
            </w:pPr>
            <w:r>
              <w:rPr>
                <w:rFonts w:eastAsia="Times New Roman"/>
                <w:noProof/>
                <w:szCs w:val="24"/>
                <w:lang w:bidi="en-US"/>
              </w:rPr>
              <w:t>(a)</w:t>
            </w:r>
            <w:r>
              <w:rPr>
                <w:rFonts w:eastAsia="Times New Roman"/>
                <w:noProof/>
                <w:szCs w:val="24"/>
                <w:lang w:bidi="en-US"/>
              </w:rPr>
              <w:tab/>
              <w:t>percentage of participants in VET classified as disadvantaged groups (in a defined region or catchment area) according to age and gender</w:t>
            </w:r>
          </w:p>
          <w:p w:rsidR="00FA714A" w:rsidRDefault="004E7270">
            <w:pPr>
              <w:ind w:left="426" w:hanging="426"/>
              <w:jc w:val="left"/>
              <w:rPr>
                <w:rFonts w:eastAsia="Times New Roman"/>
                <w:noProof/>
                <w:szCs w:val="24"/>
                <w:lang w:bidi="en-US"/>
              </w:rPr>
            </w:pPr>
            <w:r>
              <w:rPr>
                <w:rFonts w:eastAsia="Times New Roman"/>
                <w:noProof/>
                <w:szCs w:val="24"/>
                <w:lang w:bidi="en-US"/>
              </w:rPr>
              <w:t>(b)</w:t>
            </w:r>
            <w:r>
              <w:rPr>
                <w:rFonts w:eastAsia="Times New Roman"/>
                <w:noProof/>
                <w:szCs w:val="24"/>
                <w:lang w:bidi="en-US"/>
              </w:rPr>
              <w:tab/>
              <w:t>success rate of disadvantaged groups according to age and gender</w:t>
            </w:r>
          </w:p>
        </w:tc>
        <w:tc>
          <w:tcPr>
            <w:tcW w:w="2126" w:type="dxa"/>
            <w:vAlign w:val="center"/>
          </w:tcPr>
          <w:p w:rsidR="00FA714A" w:rsidRDefault="004E7270">
            <w:pPr>
              <w:jc w:val="left"/>
              <w:rPr>
                <w:rFonts w:eastAsia="Times New Roman"/>
                <w:noProof/>
                <w:szCs w:val="24"/>
                <w:lang w:bidi="en-US"/>
              </w:rPr>
            </w:pPr>
            <w:r>
              <w:rPr>
                <w:rFonts w:eastAsia="Times New Roman"/>
                <w:noProof/>
                <w:szCs w:val="24"/>
                <w:lang w:bidi="en-US"/>
              </w:rPr>
              <w:t xml:space="preserve">Context </w:t>
            </w:r>
            <w:r>
              <w:rPr>
                <w:rFonts w:eastAsia="Times New Roman"/>
                <w:noProof/>
                <w:szCs w:val="24"/>
                <w:lang w:bidi="en-US"/>
              </w:rPr>
              <w:t>indicator</w:t>
            </w:r>
          </w:p>
        </w:tc>
        <w:tc>
          <w:tcPr>
            <w:tcW w:w="3511" w:type="dxa"/>
            <w:vAlign w:val="center"/>
          </w:tcPr>
          <w:p w:rsidR="00FA714A" w:rsidRDefault="004E7270">
            <w:pPr>
              <w:jc w:val="left"/>
              <w:rPr>
                <w:rFonts w:eastAsia="Times New Roman"/>
                <w:noProof/>
                <w:szCs w:val="24"/>
                <w:lang w:bidi="en-US"/>
              </w:rPr>
            </w:pPr>
            <w:r>
              <w:rPr>
                <w:rFonts w:eastAsia="Times New Roman"/>
                <w:noProof/>
                <w:szCs w:val="24"/>
                <w:lang w:bidi="en-US"/>
              </w:rPr>
              <w:t>Background information for policy decision-making at VET-system level</w:t>
            </w:r>
          </w:p>
          <w:p w:rsidR="00FA714A" w:rsidRDefault="004E7270">
            <w:pPr>
              <w:jc w:val="left"/>
              <w:rPr>
                <w:rFonts w:eastAsia="Times New Roman"/>
                <w:noProof/>
                <w:szCs w:val="24"/>
                <w:lang w:bidi="en-US"/>
              </w:rPr>
            </w:pPr>
            <w:r>
              <w:rPr>
                <w:rFonts w:eastAsia="Times New Roman"/>
                <w:noProof/>
                <w:szCs w:val="24"/>
                <w:lang w:bidi="en-US"/>
              </w:rPr>
              <w:t>Support access</w:t>
            </w:r>
            <w:r>
              <w:rPr>
                <w:rFonts w:eastAsia="Times New Roman"/>
                <w:noProof/>
                <w:szCs w:val="24"/>
                <w:lang w:bidi="en-US"/>
              </w:rPr>
              <w:tab/>
              <w:t>to VET for disadvantaged groups</w:t>
            </w:r>
          </w:p>
          <w:p w:rsidR="00FA714A" w:rsidRDefault="004E7270">
            <w:pPr>
              <w:jc w:val="left"/>
              <w:rPr>
                <w:noProof/>
                <w:szCs w:val="24"/>
              </w:rPr>
            </w:pPr>
            <w:r>
              <w:rPr>
                <w:rFonts w:eastAsia="Times New Roman"/>
                <w:noProof/>
                <w:szCs w:val="24"/>
                <w:lang w:bidi="en-US"/>
              </w:rPr>
              <w:t>Support adapted training provision for disadvantaged groups</w:t>
            </w:r>
          </w:p>
        </w:tc>
      </w:tr>
      <w:tr w:rsidR="00FA714A">
        <w:trPr>
          <w:trHeight w:val="20"/>
        </w:trPr>
        <w:tc>
          <w:tcPr>
            <w:tcW w:w="9289" w:type="dxa"/>
            <w:gridSpan w:val="3"/>
            <w:vAlign w:val="center"/>
          </w:tcPr>
          <w:p w:rsidR="00FA714A" w:rsidRDefault="004E7270">
            <w:pPr>
              <w:jc w:val="left"/>
              <w:rPr>
                <w:rFonts w:cstheme="minorBidi"/>
                <w:b/>
                <w:i/>
                <w:noProof/>
              </w:rPr>
            </w:pPr>
            <w:r>
              <w:rPr>
                <w:rFonts w:cstheme="minorBidi"/>
                <w:b/>
                <w:i/>
                <w:noProof/>
              </w:rPr>
              <w:t>Number 9</w:t>
            </w:r>
          </w:p>
        </w:tc>
      </w:tr>
      <w:tr w:rsidR="00FA714A">
        <w:trPr>
          <w:trHeight w:val="20"/>
        </w:trPr>
        <w:tc>
          <w:tcPr>
            <w:tcW w:w="3652" w:type="dxa"/>
            <w:vAlign w:val="center"/>
          </w:tcPr>
          <w:p w:rsidR="00FA714A" w:rsidRDefault="004E7270">
            <w:pPr>
              <w:jc w:val="left"/>
              <w:rPr>
                <w:rFonts w:eastAsia="Times New Roman"/>
                <w:noProof/>
                <w:szCs w:val="24"/>
                <w:lang w:bidi="en-US"/>
              </w:rPr>
            </w:pPr>
            <w:r>
              <w:rPr>
                <w:rFonts w:eastAsia="Times New Roman"/>
                <w:noProof/>
                <w:szCs w:val="24"/>
                <w:lang w:bidi="en-US"/>
              </w:rPr>
              <w:t>Mechanisms to identify training needs in the labour market</w:t>
            </w:r>
            <w:r>
              <w:rPr>
                <w:rFonts w:eastAsia="Times New Roman"/>
                <w:noProof/>
                <w:szCs w:val="24"/>
                <w:lang w:bidi="en-US"/>
              </w:rPr>
              <w:t>:</w:t>
            </w:r>
          </w:p>
          <w:p w:rsidR="00FA714A" w:rsidRDefault="004E7270">
            <w:pPr>
              <w:numPr>
                <w:ilvl w:val="0"/>
                <w:numId w:val="2"/>
              </w:numPr>
              <w:spacing w:before="0" w:after="0"/>
              <w:ind w:left="426" w:hanging="426"/>
              <w:contextualSpacing/>
              <w:jc w:val="left"/>
              <w:rPr>
                <w:rFonts w:eastAsia="Times New Roman"/>
                <w:noProof/>
                <w:szCs w:val="24"/>
                <w:lang w:bidi="en-US"/>
              </w:rPr>
            </w:pPr>
            <w:r>
              <w:rPr>
                <w:rFonts w:eastAsia="Times New Roman"/>
                <w:noProof/>
                <w:szCs w:val="24"/>
                <w:lang w:bidi="en-US"/>
              </w:rPr>
              <w:t>information on mechanisms set up to identify changing demands at different levels</w:t>
            </w:r>
          </w:p>
          <w:p w:rsidR="00FA714A" w:rsidRDefault="004E7270">
            <w:pPr>
              <w:numPr>
                <w:ilvl w:val="0"/>
                <w:numId w:val="2"/>
              </w:numPr>
              <w:spacing w:before="0" w:after="0"/>
              <w:ind w:left="426" w:hanging="426"/>
              <w:contextualSpacing/>
              <w:jc w:val="left"/>
              <w:rPr>
                <w:rFonts w:eastAsia="Times New Roman"/>
                <w:noProof/>
                <w:szCs w:val="24"/>
                <w:lang w:bidi="en-US"/>
              </w:rPr>
            </w:pPr>
            <w:r>
              <w:rPr>
                <w:rFonts w:eastAsia="Times New Roman"/>
                <w:noProof/>
                <w:szCs w:val="24"/>
                <w:lang w:bidi="en-US"/>
              </w:rPr>
              <w:t>evidence of the use of such mechanisms and their effectiveness</w:t>
            </w:r>
          </w:p>
        </w:tc>
        <w:tc>
          <w:tcPr>
            <w:tcW w:w="2126" w:type="dxa"/>
            <w:vAlign w:val="center"/>
          </w:tcPr>
          <w:p w:rsidR="00FA714A" w:rsidRDefault="004E7270">
            <w:pPr>
              <w:jc w:val="left"/>
              <w:rPr>
                <w:noProof/>
                <w:w w:val="105"/>
                <w:szCs w:val="24"/>
              </w:rPr>
            </w:pPr>
            <w:r>
              <w:rPr>
                <w:rFonts w:eastAsia="Times New Roman"/>
                <w:noProof/>
                <w:szCs w:val="24"/>
                <w:lang w:bidi="en-US"/>
              </w:rPr>
              <w:t>Context/Input indicator (qualitative information)</w:t>
            </w:r>
          </w:p>
        </w:tc>
        <w:tc>
          <w:tcPr>
            <w:tcW w:w="3511" w:type="dxa"/>
            <w:vAlign w:val="center"/>
          </w:tcPr>
          <w:p w:rsidR="00FA714A" w:rsidRDefault="004E7270">
            <w:pPr>
              <w:jc w:val="left"/>
              <w:rPr>
                <w:rFonts w:eastAsia="Times New Roman"/>
                <w:noProof/>
                <w:szCs w:val="24"/>
                <w:lang w:bidi="en-US"/>
              </w:rPr>
            </w:pPr>
            <w:r>
              <w:rPr>
                <w:rFonts w:eastAsia="Times New Roman"/>
                <w:noProof/>
                <w:szCs w:val="24"/>
                <w:lang w:bidi="en-US"/>
              </w:rPr>
              <w:t xml:space="preserve">Improve responsiveness of VET to changing demands in the </w:t>
            </w:r>
            <w:r>
              <w:rPr>
                <w:rFonts w:eastAsia="Times New Roman"/>
                <w:noProof/>
                <w:szCs w:val="24"/>
                <w:lang w:bidi="en-US"/>
              </w:rPr>
              <w:t>labour market</w:t>
            </w:r>
          </w:p>
          <w:p w:rsidR="00FA714A" w:rsidRDefault="004E7270">
            <w:pPr>
              <w:jc w:val="left"/>
              <w:rPr>
                <w:noProof/>
                <w:szCs w:val="24"/>
              </w:rPr>
            </w:pPr>
            <w:r>
              <w:rPr>
                <w:rFonts w:eastAsia="Times New Roman"/>
                <w:noProof/>
                <w:szCs w:val="24"/>
                <w:lang w:bidi="en-US"/>
              </w:rPr>
              <w:t>Support employability</w:t>
            </w:r>
          </w:p>
        </w:tc>
      </w:tr>
      <w:tr w:rsidR="00FA714A">
        <w:trPr>
          <w:trHeight w:val="387"/>
        </w:trPr>
        <w:tc>
          <w:tcPr>
            <w:tcW w:w="9289" w:type="dxa"/>
            <w:gridSpan w:val="3"/>
            <w:vAlign w:val="center"/>
          </w:tcPr>
          <w:p w:rsidR="00FA714A" w:rsidRDefault="004E7270">
            <w:pPr>
              <w:jc w:val="left"/>
              <w:rPr>
                <w:rFonts w:cstheme="minorBidi"/>
                <w:b/>
                <w:i/>
                <w:noProof/>
              </w:rPr>
            </w:pPr>
            <w:r>
              <w:rPr>
                <w:rFonts w:cstheme="minorBidi"/>
                <w:b/>
                <w:i/>
                <w:noProof/>
              </w:rPr>
              <w:t>Number 10</w:t>
            </w:r>
          </w:p>
        </w:tc>
      </w:tr>
      <w:tr w:rsidR="00FA714A">
        <w:trPr>
          <w:trHeight w:val="2138"/>
        </w:trPr>
        <w:tc>
          <w:tcPr>
            <w:tcW w:w="3652" w:type="dxa"/>
            <w:vAlign w:val="center"/>
          </w:tcPr>
          <w:p w:rsidR="00FA714A" w:rsidRDefault="004E7270">
            <w:pPr>
              <w:jc w:val="left"/>
              <w:rPr>
                <w:rFonts w:eastAsia="Times New Roman"/>
                <w:noProof/>
                <w:szCs w:val="24"/>
                <w:lang w:bidi="en-US"/>
              </w:rPr>
            </w:pPr>
            <w:r>
              <w:rPr>
                <w:rFonts w:eastAsia="Times New Roman"/>
                <w:noProof/>
                <w:szCs w:val="24"/>
                <w:lang w:bidi="en-US"/>
              </w:rPr>
              <w:t>Schemes used to promote better access to VET and provide guidance to (potential) VET learners:</w:t>
            </w:r>
          </w:p>
          <w:p w:rsidR="00FA714A" w:rsidRDefault="004E7270">
            <w:pPr>
              <w:ind w:left="426" w:hanging="426"/>
              <w:jc w:val="left"/>
              <w:rPr>
                <w:rFonts w:eastAsia="Times New Roman"/>
                <w:noProof/>
                <w:szCs w:val="24"/>
                <w:lang w:bidi="en-US"/>
              </w:rPr>
            </w:pPr>
            <w:r>
              <w:rPr>
                <w:rFonts w:eastAsia="Times New Roman"/>
                <w:noProof/>
                <w:szCs w:val="24"/>
                <w:lang w:bidi="en-US"/>
              </w:rPr>
              <w:t>(a)</w:t>
            </w:r>
            <w:r>
              <w:rPr>
                <w:rFonts w:eastAsia="Times New Roman"/>
                <w:noProof/>
                <w:szCs w:val="24"/>
                <w:lang w:bidi="en-US"/>
              </w:rPr>
              <w:tab/>
              <w:t>information on existing schemes at different levels</w:t>
            </w:r>
          </w:p>
          <w:p w:rsidR="00FA714A" w:rsidRDefault="004E7270">
            <w:pPr>
              <w:ind w:left="426" w:hanging="426"/>
              <w:jc w:val="left"/>
              <w:rPr>
                <w:rFonts w:eastAsia="Times New Roman"/>
                <w:noProof/>
                <w:szCs w:val="24"/>
                <w:lang w:bidi="en-US"/>
              </w:rPr>
            </w:pPr>
            <w:r>
              <w:rPr>
                <w:rFonts w:eastAsia="Times New Roman"/>
                <w:noProof/>
                <w:szCs w:val="24"/>
                <w:lang w:bidi="en-US"/>
              </w:rPr>
              <w:t>(b)</w:t>
            </w:r>
            <w:r>
              <w:rPr>
                <w:rFonts w:eastAsia="Times New Roman"/>
                <w:noProof/>
                <w:szCs w:val="24"/>
                <w:lang w:bidi="en-US"/>
              </w:rPr>
              <w:tab/>
              <w:t>evidence of their effectiveness</w:t>
            </w:r>
          </w:p>
        </w:tc>
        <w:tc>
          <w:tcPr>
            <w:tcW w:w="2126" w:type="dxa"/>
            <w:vAlign w:val="center"/>
          </w:tcPr>
          <w:p w:rsidR="00FA714A" w:rsidRDefault="004E7270">
            <w:pPr>
              <w:jc w:val="left"/>
              <w:rPr>
                <w:noProof/>
                <w:szCs w:val="24"/>
              </w:rPr>
            </w:pPr>
            <w:r>
              <w:rPr>
                <w:rFonts w:eastAsia="Times New Roman"/>
                <w:noProof/>
                <w:szCs w:val="24"/>
                <w:lang w:bidi="en-US"/>
              </w:rPr>
              <w:t>Process indicator (qu</w:t>
            </w:r>
            <w:r>
              <w:rPr>
                <w:rFonts w:eastAsia="Times New Roman"/>
                <w:noProof/>
                <w:szCs w:val="24"/>
                <w:lang w:bidi="en-US"/>
              </w:rPr>
              <w:t>alitative information)</w:t>
            </w:r>
          </w:p>
        </w:tc>
        <w:tc>
          <w:tcPr>
            <w:tcW w:w="3511" w:type="dxa"/>
            <w:vAlign w:val="center"/>
          </w:tcPr>
          <w:p w:rsidR="00FA714A" w:rsidRDefault="004E7270">
            <w:pPr>
              <w:jc w:val="left"/>
              <w:rPr>
                <w:rFonts w:eastAsia="Times New Roman"/>
                <w:noProof/>
                <w:szCs w:val="24"/>
                <w:lang w:bidi="en-US"/>
              </w:rPr>
            </w:pPr>
            <w:r>
              <w:rPr>
                <w:rFonts w:eastAsia="Times New Roman"/>
                <w:noProof/>
                <w:szCs w:val="24"/>
                <w:lang w:bidi="en-US"/>
              </w:rPr>
              <w:t>Promote access to VET, including for disadvantaged groups</w:t>
            </w:r>
          </w:p>
          <w:p w:rsidR="00FA714A" w:rsidRDefault="004E7270">
            <w:pPr>
              <w:jc w:val="left"/>
              <w:rPr>
                <w:rFonts w:eastAsia="Times New Roman"/>
                <w:noProof/>
                <w:szCs w:val="24"/>
                <w:lang w:bidi="en-US"/>
              </w:rPr>
            </w:pPr>
            <w:r>
              <w:rPr>
                <w:rFonts w:eastAsia="Times New Roman"/>
                <w:noProof/>
                <w:szCs w:val="24"/>
                <w:lang w:bidi="en-US"/>
              </w:rPr>
              <w:t xml:space="preserve">Provide guidance to (potential) VET learners </w:t>
            </w:r>
          </w:p>
          <w:p w:rsidR="00FA714A" w:rsidRDefault="004E7270">
            <w:pPr>
              <w:jc w:val="left"/>
              <w:rPr>
                <w:noProof/>
                <w:szCs w:val="24"/>
              </w:rPr>
            </w:pPr>
            <w:r>
              <w:rPr>
                <w:rFonts w:eastAsia="Times New Roman"/>
                <w:noProof/>
                <w:szCs w:val="24"/>
                <w:lang w:bidi="en-US"/>
              </w:rPr>
              <w:t>Support adapted training provision</w:t>
            </w:r>
          </w:p>
        </w:tc>
      </w:tr>
    </w:tbl>
    <w:p w:rsidR="00FA714A" w:rsidRDefault="00FA714A" w:rsidP="004E7270">
      <w:pPr>
        <w:pStyle w:val="Annexetitre"/>
        <w:rPr>
          <w:noProof/>
        </w:rPr>
      </w:pPr>
    </w:p>
    <w:sectPr w:rsidR="00FA714A" w:rsidSect="004E7270">
      <w:pgSz w:w="11907" w:h="16839"/>
      <w:pgMar w:top="851" w:right="1418" w:bottom="851"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4A" w:rsidRDefault="004E7270">
      <w:pPr>
        <w:spacing w:before="0" w:after="0"/>
      </w:pPr>
      <w:r>
        <w:separator/>
      </w:r>
    </w:p>
  </w:endnote>
  <w:endnote w:type="continuationSeparator" w:id="0">
    <w:p w:rsidR="00FA714A" w:rsidRDefault="004E72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4A" w:rsidRDefault="004E7270">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4A" w:rsidRDefault="004E7270">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14A" w:rsidRDefault="00FA7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4A" w:rsidRDefault="004E7270">
      <w:pPr>
        <w:spacing w:before="0" w:after="0"/>
      </w:pPr>
      <w:r>
        <w:separator/>
      </w:r>
    </w:p>
  </w:footnote>
  <w:footnote w:type="continuationSeparator" w:id="0">
    <w:p w:rsidR="00FA714A" w:rsidRDefault="004E7270">
      <w:pPr>
        <w:spacing w:before="0" w:after="0"/>
      </w:pPr>
      <w:r>
        <w:continuationSeparator/>
      </w:r>
    </w:p>
  </w:footnote>
  <w:footnote w:id="1">
    <w:p w:rsidR="00FA714A" w:rsidRDefault="004E7270">
      <w:pPr>
        <w:pStyle w:val="FootnoteText"/>
      </w:pPr>
      <w:r>
        <w:rPr>
          <w:rStyle w:val="FootnoteReference"/>
        </w:rPr>
        <w:footnoteRef/>
      </w:r>
      <w:r>
        <w:tab/>
        <w:t>OJ : JOP_1963_063_R_1338_01</w:t>
      </w:r>
    </w:p>
  </w:footnote>
  <w:footnote w:id="2">
    <w:p w:rsidR="00FA714A" w:rsidRDefault="004E7270">
      <w:pPr>
        <w:pStyle w:val="FootnoteText"/>
      </w:pPr>
      <w:r>
        <w:rPr>
          <w:rStyle w:val="FootnoteReference"/>
        </w:rPr>
        <w:footnoteRef/>
      </w:r>
      <w:r>
        <w:tab/>
      </w:r>
      <w:r>
        <w:rPr>
          <w:iCs/>
        </w:rPr>
        <w:t>OJ C 398, 22.12.2012</w:t>
      </w:r>
    </w:p>
  </w:footnote>
  <w:footnote w:id="3">
    <w:p w:rsidR="00FA714A" w:rsidRDefault="004E7270">
      <w:pPr>
        <w:pStyle w:val="FootnoteText"/>
      </w:pPr>
      <w:r>
        <w:rPr>
          <w:rStyle w:val="FootnoteReference"/>
        </w:rPr>
        <w:footnoteRef/>
      </w:r>
      <w:r>
        <w:tab/>
        <w:t>See Annex II of the EQF on Descriptors defining levels in the European Qualifications Framework</w:t>
      </w:r>
    </w:p>
  </w:footnote>
  <w:footnote w:id="4">
    <w:p w:rsidR="00FA714A" w:rsidRDefault="004E7270">
      <w:pPr>
        <w:pStyle w:val="FootnoteText"/>
        <w:rPr>
          <w:lang w:val="pl-PL"/>
        </w:rPr>
      </w:pPr>
      <w:r>
        <w:rPr>
          <w:rStyle w:val="FootnoteReference"/>
        </w:rPr>
        <w:footnoteRef/>
      </w:r>
      <w:r>
        <w:rPr>
          <w:lang w:val="pl-PL"/>
        </w:rPr>
        <w:tab/>
        <w:t xml:space="preserve">OJ C 484, 24.12.2016 </w:t>
      </w:r>
    </w:p>
  </w:footnote>
  <w:footnote w:id="5">
    <w:p w:rsidR="00FA714A" w:rsidRDefault="004E7270">
      <w:pPr>
        <w:pStyle w:val="FootnoteText"/>
        <w:rPr>
          <w:lang w:val="pl-PL"/>
        </w:rPr>
      </w:pPr>
      <w:r>
        <w:rPr>
          <w:rStyle w:val="FootnoteReference"/>
        </w:rPr>
        <w:footnoteRef/>
      </w:r>
      <w:r>
        <w:rPr>
          <w:lang w:val="pl-PL"/>
        </w:rPr>
        <w:tab/>
        <w:t>OJ C 189, 15.6.2017</w:t>
      </w:r>
    </w:p>
  </w:footnote>
  <w:footnote w:id="6">
    <w:p w:rsidR="00FA714A" w:rsidRDefault="004E7270">
      <w:pPr>
        <w:pStyle w:val="FootnoteText"/>
        <w:rPr>
          <w:lang w:val="pl-PL"/>
        </w:rPr>
      </w:pPr>
      <w:r>
        <w:rPr>
          <w:rStyle w:val="FootnoteReference"/>
        </w:rPr>
        <w:footnoteRef/>
      </w:r>
      <w:r>
        <w:rPr>
          <w:lang w:val="pl-PL"/>
        </w:rPr>
        <w:tab/>
        <w:t>OJ C 423, 9.12.2017</w:t>
      </w:r>
    </w:p>
  </w:footnote>
  <w:footnote w:id="7">
    <w:p w:rsidR="00FA714A" w:rsidRDefault="004E7270">
      <w:pPr>
        <w:pStyle w:val="FootnoteText"/>
        <w:rPr>
          <w:lang w:val="pl-PL"/>
        </w:rPr>
      </w:pPr>
      <w:r>
        <w:rPr>
          <w:rStyle w:val="FootnoteReference"/>
        </w:rPr>
        <w:footnoteRef/>
      </w:r>
      <w:r>
        <w:rPr>
          <w:lang w:val="pl-PL"/>
        </w:rPr>
        <w:tab/>
        <w:t>OJ L 112, 2.5.2018</w:t>
      </w:r>
    </w:p>
  </w:footnote>
  <w:footnote w:id="8">
    <w:p w:rsidR="00FA714A" w:rsidRDefault="004E7270">
      <w:pPr>
        <w:pStyle w:val="FootnoteText"/>
        <w:rPr>
          <w:lang w:val="pl-PL"/>
        </w:rPr>
      </w:pPr>
      <w:r>
        <w:rPr>
          <w:rStyle w:val="FootnoteReference"/>
        </w:rPr>
        <w:footnoteRef/>
      </w:r>
      <w:r>
        <w:rPr>
          <w:lang w:val="pl-PL"/>
        </w:rPr>
        <w:tab/>
        <w:t>OJ C 189,</w:t>
      </w:r>
      <w:r>
        <w:rPr>
          <w:lang w:val="pl-PL"/>
        </w:rPr>
        <w:t xml:space="preserve"> 4.6.2018</w:t>
      </w:r>
    </w:p>
  </w:footnote>
  <w:footnote w:id="9">
    <w:p w:rsidR="00FA714A" w:rsidRDefault="004E7270">
      <w:pPr>
        <w:pStyle w:val="FootnoteText"/>
        <w:rPr>
          <w:lang w:val="pl-PL"/>
        </w:rPr>
      </w:pPr>
      <w:r>
        <w:rPr>
          <w:rStyle w:val="FootnoteReference"/>
        </w:rPr>
        <w:footnoteRef/>
      </w:r>
      <w:r>
        <w:rPr>
          <w:lang w:val="pl-PL"/>
        </w:rPr>
        <w:tab/>
        <w:t>OJ C 444, 10.12.2018</w:t>
      </w:r>
    </w:p>
  </w:footnote>
  <w:footnote w:id="10">
    <w:p w:rsidR="00FA714A" w:rsidRDefault="004E7270">
      <w:pPr>
        <w:pStyle w:val="FootnoteText"/>
        <w:rPr>
          <w:lang w:val="pl-PL"/>
        </w:rPr>
      </w:pPr>
      <w:r>
        <w:rPr>
          <w:rStyle w:val="FootnoteReference"/>
        </w:rPr>
        <w:footnoteRef/>
      </w:r>
      <w:r>
        <w:rPr>
          <w:lang w:val="pl-PL"/>
        </w:rPr>
        <w:tab/>
        <w:t>OJ C 195, 7.6.2018, p. 7-10</w:t>
      </w:r>
    </w:p>
  </w:footnote>
  <w:footnote w:id="11">
    <w:p w:rsidR="00FA714A" w:rsidRDefault="004E7270">
      <w:pPr>
        <w:pStyle w:val="FootnoteText"/>
        <w:rPr>
          <w:lang w:val="pt-PT"/>
        </w:rPr>
      </w:pPr>
      <w:r>
        <w:rPr>
          <w:rStyle w:val="FootnoteReference"/>
        </w:rPr>
        <w:footnoteRef/>
      </w:r>
      <w:r>
        <w:rPr>
          <w:lang w:val="pt-PT"/>
        </w:rPr>
        <w:tab/>
        <w:t>OJ C 389, 18.11.2019, p. 1-6</w:t>
      </w:r>
    </w:p>
  </w:footnote>
  <w:footnote w:id="12">
    <w:p w:rsidR="00FA714A" w:rsidRDefault="004E7270">
      <w:pPr>
        <w:pStyle w:val="FootnoteText"/>
        <w:rPr>
          <w:lang w:val="pt-PT"/>
        </w:rPr>
      </w:pPr>
      <w:r>
        <w:rPr>
          <w:rStyle w:val="FootnoteReference"/>
        </w:rPr>
        <w:footnoteRef/>
      </w:r>
      <w:r>
        <w:rPr>
          <w:lang w:val="pt-PT"/>
        </w:rPr>
        <w:tab/>
        <w:t>OJ C 189, 5.6.2019</w:t>
      </w:r>
    </w:p>
  </w:footnote>
  <w:footnote w:id="13">
    <w:p w:rsidR="00FA714A" w:rsidRDefault="004E7270">
      <w:pPr>
        <w:pStyle w:val="FootnoteText"/>
        <w:rPr>
          <w:lang w:val="pt-PT"/>
        </w:rPr>
      </w:pPr>
      <w:r>
        <w:rPr>
          <w:rStyle w:val="FootnoteReference"/>
        </w:rPr>
        <w:footnoteRef/>
      </w:r>
      <w:r>
        <w:rPr>
          <w:lang w:val="pt-PT"/>
        </w:rPr>
        <w:tab/>
        <w:t>COM(2019) 650 final</w:t>
      </w:r>
    </w:p>
  </w:footnote>
  <w:footnote w:id="14">
    <w:p w:rsidR="00FA714A" w:rsidRDefault="004E7270">
      <w:pPr>
        <w:pStyle w:val="FootnoteText"/>
      </w:pPr>
      <w:r>
        <w:rPr>
          <w:rStyle w:val="FootnoteReference"/>
        </w:rPr>
        <w:footnoteRef/>
      </w:r>
      <w:r>
        <w:tab/>
        <w:t xml:space="preserve">For IVT: a period of 6 weeks of training is needed before a learner is counted as a participant. For lifelong </w:t>
      </w:r>
      <w:r>
        <w:t>learning: percentage of population admitted to formal VET programmes.</w:t>
      </w:r>
    </w:p>
  </w:footnote>
  <w:footnote w:id="15">
    <w:p w:rsidR="00FA714A" w:rsidRDefault="004E7270">
      <w:pPr>
        <w:pStyle w:val="FootnoteText"/>
      </w:pPr>
      <w:r>
        <w:rPr>
          <w:rStyle w:val="FootnoteReference"/>
        </w:rPr>
        <w:footnoteRef/>
      </w:r>
      <w:r>
        <w:tab/>
        <w:t>Besides basic information on gender and age, other social criteria might be applied, e.g. early school leavers, highest educational achievement, migrants, persons with disabilities, le</w:t>
      </w:r>
      <w:r>
        <w:t>ngth of unemployment.</w:t>
      </w:r>
    </w:p>
  </w:footnote>
  <w:footnote w:id="16">
    <w:p w:rsidR="00FA714A" w:rsidRDefault="004E7270">
      <w:pPr>
        <w:pStyle w:val="FootnoteText"/>
      </w:pPr>
      <w:r>
        <w:rPr>
          <w:rStyle w:val="FootnoteReference"/>
        </w:rPr>
        <w:footnoteRef/>
      </w:r>
      <w:r>
        <w:tab/>
        <w:t>For IVT: including information on the destination of learners who have dropped out.</w:t>
      </w:r>
    </w:p>
  </w:footnote>
  <w:footnote w:id="17">
    <w:p w:rsidR="00FA714A" w:rsidRDefault="004E7270">
      <w:pPr>
        <w:pStyle w:val="FootnoteText"/>
      </w:pPr>
      <w:r>
        <w:rPr>
          <w:rStyle w:val="FootnoteReference"/>
        </w:rPr>
        <w:footnoteRef/>
      </w:r>
      <w:r>
        <w:tab/>
        <w:t>Definition according to ILO: individuals aged 15-74 without work, actively seeking employment and ready to start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EF2A95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1FC524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90C7F7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89A741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C42922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4F049A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FEEC94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A3C94E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1AB7459"/>
    <w:multiLevelType w:val="hybridMultilevel"/>
    <w:tmpl w:val="E60A9DE2"/>
    <w:lvl w:ilvl="0" w:tplc="FAD43C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0F3096"/>
    <w:multiLevelType w:val="hybridMultilevel"/>
    <w:tmpl w:val="5D6A270C"/>
    <w:lvl w:ilvl="0" w:tplc="586823CE">
      <w:start w:val="1"/>
      <w:numFmt w:val="decimal"/>
      <w:pStyle w:val="NumPar0"/>
      <w:lvlText w:val="%1)"/>
      <w:lvlJc w:val="left"/>
      <w:pPr>
        <w:ind w:left="2062" w:hanging="360"/>
      </w:p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8"/>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num>
  <w:num w:numId="14">
    <w:abstractNumId w:val="22"/>
  </w:num>
  <w:num w:numId="15">
    <w:abstractNumId w:val="12"/>
  </w:num>
  <w:num w:numId="16">
    <w:abstractNumId w:val="14"/>
  </w:num>
  <w:num w:numId="17">
    <w:abstractNumId w:val="10"/>
  </w:num>
  <w:num w:numId="18">
    <w:abstractNumId w:val="21"/>
  </w:num>
  <w:num w:numId="19">
    <w:abstractNumId w:val="9"/>
  </w:num>
  <w:num w:numId="20">
    <w:abstractNumId w:val="15"/>
  </w:num>
  <w:num w:numId="21">
    <w:abstractNumId w:val="18"/>
  </w:num>
  <w:num w:numId="22">
    <w:abstractNumId w:val="19"/>
  </w:num>
  <w:num w:numId="23">
    <w:abstractNumId w:val="11"/>
  </w:num>
  <w:num w:numId="24">
    <w:abstractNumId w:val="17"/>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6-23 10:03:2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ACCOMPAGNANT" w:val="to the Proposal for a"/>
    <w:docVar w:name="LW_ACCOMPAGNANT.CP" w:val="to the Proposal for a"/>
    <w:docVar w:name="LW_ANNEX_NBR_FIRST" w:val="1"/>
    <w:docVar w:name="LW_ANNEX_NBR_LAST" w:val="2"/>
    <w:docVar w:name="LW_ANNEX_UNIQUE" w:val="0"/>
    <w:docVar w:name="LW_CORRIGENDUM" w:val="&lt;UNUSED&gt;"/>
    <w:docVar w:name="LW_COVERPAGE_EXISTS" w:val="True"/>
    <w:docVar w:name="LW_COVERPAGE_GUID" w:val="8955CE39-A640-48E4-B963-7B5436B8D117"/>
    <w:docVar w:name="LW_COVERPAGE_TYPE" w:val="1"/>
    <w:docVar w:name="LW_CROSSREFERENCE" w:val="{SWD(2020) 123 final}"/>
    <w:docVar w:name="LW_DocType" w:val="ANNEX"/>
    <w:docVar w:name="LW_EMISSION" w:val="1.7.2020"/>
    <w:docVar w:name="LW_EMISSION_ISODATE" w:val="2020-07-0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vocational education and training (VET) for sustainable competitiveness, social fairness and resilience_x000d__x000d__x000d__x000d__x000d__x000d__x000d__x000d__x000d__x000b_"/>
    <w:docVar w:name="LW_OBJETACTEPRINCIPAL.CP" w:val="on vocational education and training (VET) for sustainable competitiveness, social fairness and resilience_x000d__x000d__x000d__x000d__x000d__x000d__x000d__x000d__x000d__x000b_"/>
    <w:docVar w:name="LW_PART_NBR" w:val="&lt;UNUSED&gt;"/>
    <w:docVar w:name="LW_PART_NBR_TOTAL" w:val="&lt;UNUSED&gt;"/>
    <w:docVar w:name="LW_REF.INST.NEW" w:val="COM"/>
    <w:docVar w:name="LW_REF.INST.NEW_ADOPTED" w:val="final"/>
    <w:docVar w:name="LW_REF.INST.NEW_TEXT" w:val="(2020)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COUNCIL RECOMMANDATION_x000b_"/>
    <w:docVar w:name="LW_TYPEACTEPRINCIPAL.CP" w:val="COUNCIL RECOMMANDATION_x000b_"/>
  </w:docVars>
  <w:rsids>
    <w:rsidRoot w:val="00FA714A"/>
    <w:rsid w:val="004E7270"/>
    <w:rsid w:val="00FA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NumPar0">
    <w:name w:val="NumPar 0"/>
    <w:basedOn w:val="Normal"/>
    <w:pPr>
      <w:numPr>
        <w:numId w:val="1"/>
      </w:numPr>
      <w:spacing w:before="0" w:after="200" w:line="276" w:lineRule="auto"/>
      <w:ind w:left="567" w:hanging="567"/>
      <w:jc w:val="left"/>
    </w:pPr>
    <w:rPr>
      <w:lang w:bidi="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A497FD42E47274BB8C9F216EABFADD9" ma:contentTypeVersion="8" ma:contentTypeDescription="Create a new document in this library." ma:contentTypeScope="" ma:versionID="e95cf22ec94fa30968592f30d9b476e4">
  <xsd:schema xmlns:xsd="http://www.w3.org/2001/XMLSchema" xmlns:xs="http://www.w3.org/2001/XMLSchema" xmlns:p="http://schemas.microsoft.com/office/2006/metadata/properties" xmlns:ns3="0607588f-e8fc-4f62-89a5-2b63ec5058da" targetNamespace="http://schemas.microsoft.com/office/2006/metadata/properties" ma:root="true" ma:fieldsID="30171a0791002974d7eb4f17f59606ef" ns3:_="">
    <xsd:import namespace="0607588f-e8fc-4f62-89a5-2b63ec5058d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7588f-e8fc-4f62-89a5-2b63ec5058d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0607588f-e8fc-4f62-89a5-2b63ec5058da">EN</EC_Collab_DocumentLanguage>
    <EC_Collab_Status xmlns="0607588f-e8fc-4f62-89a5-2b63ec5058da">Not Started</EC_Collab_Status>
    <EC_Collab_Reference xmlns="0607588f-e8fc-4f62-89a5-2b63ec5058da"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1B42879-A0A1-455F-9BE8-8E119801D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7588f-e8fc-4f62-89a5-2b63ec505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68535-CAB2-47E1-8BAA-A4C43545C37C}">
  <ds:schemaRefs>
    <ds:schemaRef ds:uri="http://schemas.microsoft.com/sharepoint/v3/contenttype/forms"/>
  </ds:schemaRefs>
</ds:datastoreItem>
</file>

<file path=customXml/itemProps3.xml><?xml version="1.0" encoding="utf-8"?>
<ds:datastoreItem xmlns:ds="http://schemas.openxmlformats.org/officeDocument/2006/customXml" ds:itemID="{0E09F76A-D2CF-40D4-A043-D853F6B2EF9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607588f-e8fc-4f62-89a5-2b63ec5058da"/>
    <ds:schemaRef ds:uri="http://www.w3.org/XML/1998/namespace"/>
  </ds:schemaRefs>
</ds:datastoreItem>
</file>

<file path=customXml/itemProps4.xml><?xml version="1.0" encoding="utf-8"?>
<ds:datastoreItem xmlns:ds="http://schemas.openxmlformats.org/officeDocument/2006/customXml" ds:itemID="{7935800E-3AFA-4014-83ED-6319B3E4F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10</Pages>
  <Words>2555</Words>
  <Characters>15536</Characters>
  <Application>Microsoft Office Word</Application>
  <DocSecurity>0</DocSecurity>
  <Lines>535</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2020-06-26T13:21:00Z</dcterms:created>
  <dcterms:modified xsi:type="dcterms:W3CDTF">2020-06-30T20:30:00Z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First annex">
    <vt:lpwstr>1</vt:lpwstr>
  </property>
  <property fmtid="{D5CDD505-2E9C-101B-9397-08002B2CF9AE}" pid="5" name="Last annex">
    <vt:lpwstr>2</vt:lpwstr>
  </property>
  <property fmtid="{D5CDD505-2E9C-101B-9397-08002B2CF9AE}" pid="6" name="Unique annex">
    <vt:lpwstr>0</vt:lpwstr>
  </property>
  <property fmtid="{D5CDD505-2E9C-101B-9397-08002B2CF9AE}" pid="7" name="Part">
    <vt:lpwstr>&lt;UNUSED&gt;</vt:lpwstr>
  </property>
  <property fmtid="{D5CDD505-2E9C-101B-9397-08002B2CF9AE}" pid="8" name="Total parts">
    <vt:lpwstr>&lt;UNUSED&gt;</vt:lpwstr>
  </property>
  <property fmtid="{D5CDD505-2E9C-101B-9397-08002B2CF9AE}" pid="9" name="LWTemplateID">
    <vt:lpwstr>SG-017</vt:lpwstr>
  </property>
  <property fmtid="{D5CDD505-2E9C-101B-9397-08002B2CF9AE}" pid="10" name="ContentTypeId">
    <vt:lpwstr>0x010100258AA79CEB83498886A3A0868112325000FA497FD42E47274BB8C9F216EABFADD9</vt:lpwstr>
  </property>
  <property fmtid="{D5CDD505-2E9C-101B-9397-08002B2CF9AE}" pid="11" name="DQCStatus">
    <vt:lpwstr>Yellow (DQC version 03)</vt:lpwstr>
  </property>
  <property fmtid="{D5CDD505-2E9C-101B-9397-08002B2CF9AE}" pid="12" name="Category">
    <vt:lpwstr>COM/ANNEX</vt:lpwstr>
  </property>
</Properties>
</file>