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90074F3-7152-44B5-9337-DDF456E64262" style="width:450.6pt;height:347.85pt">
            <v:imagedata r:id="rId9" o:title=""/>
          </v:shape>
        </w:pict>
      </w:r>
    </w:p>
    <w:bookmarkEnd w:id="0"/>
    <w:p>
      <w:pPr>
        <w:jc w:val="both"/>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Въведение</w:t>
      </w:r>
    </w:p>
    <w:p>
      <w:pPr>
        <w:pStyle w:val="Heading2"/>
        <w:numPr>
          <w:ilvl w:val="1"/>
          <w:numId w:val="2"/>
        </w:numPr>
        <w:rPr>
          <w:noProof/>
          <w:szCs w:val="24"/>
        </w:rPr>
      </w:pPr>
      <w:r>
        <w:rPr>
          <w:noProof/>
        </w:rPr>
        <w:t>Регламент (ЕО) № 223/2009 относно европейската статистика</w:t>
      </w:r>
    </w:p>
    <w:p>
      <w:pPr>
        <w:jc w:val="both"/>
        <w:rPr>
          <w:rFonts w:ascii="Times New Roman" w:hAnsi="Times New Roman" w:cs="Times New Roman"/>
          <w:noProof/>
          <w:sz w:val="24"/>
          <w:szCs w:val="24"/>
        </w:rPr>
      </w:pPr>
      <w:r>
        <w:rPr>
          <w:rFonts w:ascii="Times New Roman" w:hAnsi="Times New Roman"/>
          <w:noProof/>
          <w:sz w:val="24"/>
          <w:szCs w:val="24"/>
        </w:rPr>
        <w:t>Това е вторият доклад, изготвен в съответствие с Регламент (ЕО) № 223/2009 относно европейската статистика</w:t>
      </w:r>
      <w:r>
        <w:rPr>
          <w:rStyle w:val="FootnoteReference"/>
          <w:rFonts w:ascii="Times New Roman" w:hAnsi="Times New Roman" w:cs="Times New Roman"/>
          <w:noProof/>
          <w:sz w:val="24"/>
          <w:szCs w:val="24"/>
          <w:lang w:val="en-GB"/>
        </w:rPr>
        <w:footnoteReference w:id="1"/>
      </w:r>
      <w:r>
        <w:rPr>
          <w:rFonts w:ascii="Times New Roman" w:hAnsi="Times New Roman"/>
          <w:noProof/>
          <w:sz w:val="24"/>
          <w:szCs w:val="24"/>
        </w:rPr>
        <w:t>, и по-специално член 11, параграф 4, в който се определя, че:</w:t>
      </w:r>
    </w:p>
    <w:p>
      <w:pPr>
        <w:jc w:val="both"/>
        <w:rPr>
          <w:rFonts w:ascii="Times New Roman" w:hAnsi="Times New Roman" w:cs="Times New Roman"/>
          <w:i/>
          <w:noProof/>
          <w:sz w:val="24"/>
          <w:szCs w:val="24"/>
        </w:rPr>
      </w:pPr>
      <w:r>
        <w:rPr>
          <w:rFonts w:ascii="Times New Roman" w:hAnsi="Times New Roman"/>
          <w:i/>
          <w:noProof/>
          <w:sz w:val="24"/>
          <w:szCs w:val="24"/>
        </w:rPr>
        <w:t>Ангажиментите на държавите членки са обект на редовно наблюдение от страна на Комисията въз основа на годишните доклади, изпращани от държавите членки, и при необходимост се актуализират.</w:t>
      </w:r>
    </w:p>
    <w:p>
      <w:pPr>
        <w:jc w:val="both"/>
        <w:rPr>
          <w:rFonts w:ascii="Times New Roman" w:hAnsi="Times New Roman" w:cs="Times New Roman"/>
          <w:i/>
          <w:noProof/>
          <w:sz w:val="24"/>
          <w:szCs w:val="24"/>
        </w:rPr>
      </w:pPr>
      <w:r>
        <w:rPr>
          <w:rFonts w:ascii="Times New Roman" w:hAnsi="Times New Roman"/>
          <w:i/>
          <w:noProof/>
          <w:sz w:val="24"/>
          <w:szCs w:val="24"/>
        </w:rPr>
        <w:t>…</w:t>
      </w:r>
    </w:p>
    <w:p>
      <w:pPr>
        <w:jc w:val="both"/>
        <w:rPr>
          <w:rFonts w:ascii="Times New Roman" w:hAnsi="Times New Roman" w:cs="Times New Roman"/>
          <w:i/>
          <w:noProof/>
          <w:sz w:val="24"/>
          <w:szCs w:val="24"/>
        </w:rPr>
      </w:pPr>
      <w:r>
        <w:rPr>
          <w:rFonts w:ascii="Times New Roman" w:hAnsi="Times New Roman"/>
          <w:i/>
          <w:noProof/>
          <w:sz w:val="24"/>
          <w:szCs w:val="24"/>
        </w:rPr>
        <w:t>Комисията докладва на Европейския парламент и на Съвета относно публикуваните ангажименти и когато е целесъобразно, относно докладите за напредъка до 9 юни 2018 г. и на всеки две години след това.</w:t>
      </w:r>
    </w:p>
    <w:p>
      <w:pPr>
        <w:jc w:val="both"/>
        <w:rPr>
          <w:rFonts w:ascii="Times New Roman" w:hAnsi="Times New Roman" w:cs="Times New Roman"/>
          <w:noProof/>
          <w:sz w:val="24"/>
          <w:szCs w:val="24"/>
        </w:rPr>
      </w:pPr>
      <w:r>
        <w:rPr>
          <w:rFonts w:ascii="Times New Roman" w:hAnsi="Times New Roman"/>
          <w:noProof/>
          <w:sz w:val="24"/>
          <w:szCs w:val="24"/>
        </w:rPr>
        <w:t>Първият доклад беше публикуван през 2018 г.</w:t>
      </w:r>
      <w:r>
        <w:rPr>
          <w:rStyle w:val="FootnoteReference"/>
          <w:rFonts w:ascii="Times New Roman" w:hAnsi="Times New Roman" w:cs="Times New Roman"/>
          <w:noProof/>
          <w:sz w:val="24"/>
          <w:szCs w:val="24"/>
          <w:lang w:val="en-GB"/>
        </w:rPr>
        <w:footnoteReference w:id="2"/>
      </w:r>
    </w:p>
    <w:p>
      <w:pPr>
        <w:pStyle w:val="Heading2"/>
        <w:rPr>
          <w:noProof/>
          <w:szCs w:val="24"/>
        </w:rPr>
      </w:pPr>
      <w:r>
        <w:rPr>
          <w:noProof/>
        </w:rPr>
        <w:t>Ангажимент във връзка с доверието в статистиката</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Понятието „ангажимент във връзка с доверието в статистиката“ беше създадено с цел да се подобри рамката за управление на качеството по отношение на статистиката. То е описано за първи път в съобщение на Комисията през 2011 г.</w:t>
      </w:r>
      <w:r>
        <w:rPr>
          <w:rStyle w:val="FootnoteReference"/>
          <w:rFonts w:ascii="Times New Roman" w:hAnsi="Times New Roman" w:cs="Times New Roman"/>
          <w:noProof/>
          <w:color w:val="000000"/>
          <w:sz w:val="24"/>
          <w:szCs w:val="24"/>
          <w:lang w:val="en-GB"/>
        </w:rPr>
        <w:footnoteReference w:id="3"/>
      </w:r>
      <w:r>
        <w:rPr>
          <w:rFonts w:ascii="Times New Roman" w:hAnsi="Times New Roman"/>
          <w:noProof/>
          <w:color w:val="000000"/>
          <w:sz w:val="24"/>
          <w:szCs w:val="24"/>
        </w:rPr>
        <w:t>. Идеята беше националните правителства да бъдат ангажирани в поемането на отговорност за спазване от страна на държавата на Кодекса на европейската статистическа практика</w:t>
      </w:r>
      <w:r>
        <w:rPr>
          <w:rStyle w:val="FootnoteReference"/>
          <w:rFonts w:ascii="Times New Roman" w:hAnsi="Times New Roman" w:cs="Times New Roman"/>
          <w:noProof/>
          <w:color w:val="000000"/>
          <w:sz w:val="24"/>
          <w:szCs w:val="24"/>
          <w:lang w:val="en-GB"/>
        </w:rPr>
        <w:footnoteReference w:id="4"/>
      </w:r>
      <w:r>
        <w:rPr>
          <w:rFonts w:ascii="Times New Roman" w:hAnsi="Times New Roman"/>
          <w:noProof/>
          <w:color w:val="000000"/>
          <w:sz w:val="24"/>
          <w:szCs w:val="24"/>
        </w:rPr>
        <w:t xml:space="preserve">. </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С Кодекса на европейската статистическа практика се определя стандартът за разработването, изготвянето и разпространението на европейска статистика. Той се основава на 16 принципа, които служат като насоки по отношение на институционалната среда, статистическите процеси и продукти. Целта е да се гарантира, че статистиката, изготвяна в Европейската статистическа система, е не само относима, актуална и точна, но и съобразена с принципите на професионална независимост, безпристрастност и обективност. Чрез ангажиментите се установява връзка между Кодекса на европейската статистическа практика и правителствата на държавите членки, която преди не съществуваше. </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член 11, параграф 3 от Регламент (ЕО) № 223/2009 ангажиментите са инструменти, които „имат за цел и гарантиране на общественото доверие в европейската статистика и напредъка при спазването на статистическите принципи, които се съдържат в Кодекса на практиката“. Те трябва да бъдат поети както от държавите членки, така и от Комисията.  </w:t>
      </w:r>
    </w:p>
    <w:p>
      <w:pPr>
        <w:jc w:val="both"/>
        <w:rPr>
          <w:rFonts w:ascii="Times New Roman" w:hAnsi="Times New Roman" w:cs="Times New Roman"/>
          <w:noProof/>
          <w:sz w:val="24"/>
          <w:szCs w:val="24"/>
        </w:rPr>
      </w:pPr>
      <w:r>
        <w:rPr>
          <w:rFonts w:ascii="Times New Roman" w:hAnsi="Times New Roman"/>
          <w:noProof/>
          <w:sz w:val="24"/>
          <w:szCs w:val="24"/>
        </w:rPr>
        <w:lastRenderedPageBreak/>
        <w:t>В съображение 17 от Регламент за изменение (ЕС) 2015/759</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се посочва също така, че ангажиментите следва да включват „поемането на конкретни задължения от правителството на държавата членка за подобряване или запазване на условията за прилагане на Кодекса на практиката“.</w:t>
      </w:r>
    </w:p>
    <w:p>
      <w:pPr>
        <w:pStyle w:val="Heading1"/>
        <w:numPr>
          <w:ilvl w:val="0"/>
          <w:numId w:val="2"/>
        </w:numPr>
        <w:rPr>
          <w:noProof/>
          <w:szCs w:val="24"/>
        </w:rPr>
      </w:pPr>
      <w:r>
        <w:rPr>
          <w:noProof/>
        </w:rPr>
        <w:t>Преглед на ангажиментите във връзка с доверието и доклади по държави членки</w:t>
      </w:r>
    </w:p>
    <w:p>
      <w:pPr>
        <w:pStyle w:val="Heading2"/>
        <w:numPr>
          <w:ilvl w:val="1"/>
          <w:numId w:val="2"/>
        </w:numPr>
        <w:rPr>
          <w:noProof/>
          <w:szCs w:val="24"/>
        </w:rPr>
      </w:pPr>
      <w:r>
        <w:rPr>
          <w:noProof/>
        </w:rPr>
        <w:t>Общи разпоредби</w:t>
      </w:r>
    </w:p>
    <w:p>
      <w:pPr>
        <w:jc w:val="both"/>
        <w:rPr>
          <w:rFonts w:ascii="Times New Roman" w:hAnsi="Times New Roman" w:cs="Times New Roman"/>
          <w:noProof/>
          <w:color w:val="000000"/>
          <w:sz w:val="24"/>
          <w:szCs w:val="24"/>
        </w:rPr>
      </w:pPr>
      <w:r>
        <w:rPr>
          <w:rFonts w:ascii="Times New Roman" w:hAnsi="Times New Roman"/>
          <w:noProof/>
          <w:sz w:val="24"/>
          <w:szCs w:val="24"/>
        </w:rPr>
        <w:t xml:space="preserve">Съгласно член 11 от Регламент (ЕО) № 223/2009 държавите членки трябва да поемат и публикуват ангажимент във връзка с доверието в статистиката или поне да изпратят на Комисията и да публикуват доклад за напредъка по прилагането на Кодекса на практиката и за положените усилия за поемане на ангажимент. </w:t>
      </w:r>
      <w:r>
        <w:rPr>
          <w:rFonts w:ascii="Times New Roman" w:hAnsi="Times New Roman"/>
          <w:noProof/>
          <w:color w:val="000000"/>
          <w:sz w:val="24"/>
          <w:szCs w:val="24"/>
        </w:rPr>
        <w:t xml:space="preserve">Комисията редовно наблюдава ангажиментите въз основа на годишните доклади, изпращани от държавите членки. </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Съгласно същия член преди да поемат ангажимент, държавите членки представят на Комисията и оповестява публично доклад за напредъка относно прилагането на Кодекса на практиката или, ако е приложимо, относно положените усилия за поемане на ангажимент. Докладите за напредъка трябва да бъдат актуализирани на всеки 2 години.</w:t>
      </w:r>
    </w:p>
    <w:p>
      <w:pPr>
        <w:jc w:val="both"/>
        <w:rPr>
          <w:rFonts w:ascii="Times New Roman" w:hAnsi="Times New Roman" w:cs="Times New Roman"/>
          <w:noProof/>
          <w:sz w:val="24"/>
          <w:szCs w:val="24"/>
        </w:rPr>
      </w:pPr>
      <w:r>
        <w:rPr>
          <w:rFonts w:ascii="Times New Roman" w:hAnsi="Times New Roman"/>
          <w:noProof/>
          <w:sz w:val="24"/>
          <w:szCs w:val="24"/>
        </w:rPr>
        <w:t xml:space="preserve">Както при доклада на Комисията от 2018 г. съгласно член 11, параграф 4 от Регламент (ЕО) № 223/2009, успоредно с техните доклади относно прилагането повечето държавите членки докладваха действия за подобрение, предприети вследствие на втората серия от партньорски проверки, съгласно които всяка година през месец януари държавите членки докладват на Комисията (Евростат) за всяко действие, което са предприели за проследяване на процеса на партньорските проверки. </w:t>
      </w:r>
    </w:p>
    <w:p>
      <w:pPr>
        <w:jc w:val="both"/>
        <w:rPr>
          <w:rFonts w:ascii="Times New Roman" w:hAnsi="Times New Roman" w:cs="Times New Roman"/>
          <w:noProof/>
          <w:sz w:val="24"/>
          <w:szCs w:val="24"/>
        </w:rPr>
      </w:pPr>
      <w:r>
        <w:rPr>
          <w:rFonts w:ascii="Times New Roman" w:hAnsi="Times New Roman"/>
          <w:noProof/>
          <w:sz w:val="24"/>
          <w:szCs w:val="24"/>
        </w:rPr>
        <w:t>За да служи като доклад за напредъка по ангажимента, държавите членки трябва да публикуват частта от доклада за партньорската проверка, която служи като доклад за напредъка по ангажимента.</w:t>
      </w:r>
    </w:p>
    <w:p>
      <w:pPr>
        <w:pStyle w:val="Heading2"/>
        <w:numPr>
          <w:ilvl w:val="1"/>
          <w:numId w:val="2"/>
        </w:numPr>
        <w:rPr>
          <w:noProof/>
          <w:szCs w:val="24"/>
        </w:rPr>
      </w:pPr>
      <w:r>
        <w:rPr>
          <w:noProof/>
        </w:rPr>
        <w:t>Форма на ангажимента</w:t>
      </w:r>
    </w:p>
    <w:p>
      <w:pPr>
        <w:jc w:val="both"/>
        <w:rPr>
          <w:rFonts w:ascii="Times New Roman" w:hAnsi="Times New Roman" w:cs="Times New Roman"/>
          <w:noProof/>
          <w:sz w:val="24"/>
          <w:szCs w:val="24"/>
        </w:rPr>
      </w:pPr>
      <w:r>
        <w:rPr>
          <w:rFonts w:ascii="Times New Roman" w:hAnsi="Times New Roman"/>
          <w:noProof/>
          <w:sz w:val="24"/>
          <w:szCs w:val="24"/>
        </w:rPr>
        <w:t>В Регламент (ЕО) № 223/2009 не се съдържат правила относно формата на ангажимента, но трябва да бъде изпълнена целта за постигане на обществено доверие чрез ангажимент на правителствата да осигурят условия за висококачествена статистика.</w:t>
      </w:r>
    </w:p>
    <w:p>
      <w:pPr>
        <w:jc w:val="both"/>
        <w:rPr>
          <w:rFonts w:ascii="Times New Roman" w:hAnsi="Times New Roman" w:cs="Times New Roman"/>
          <w:noProof/>
          <w:sz w:val="24"/>
          <w:szCs w:val="24"/>
        </w:rPr>
      </w:pPr>
      <w:r>
        <w:rPr>
          <w:rFonts w:ascii="Times New Roman" w:hAnsi="Times New Roman"/>
          <w:noProof/>
          <w:sz w:val="24"/>
          <w:szCs w:val="24"/>
        </w:rPr>
        <w:t>Както вече беше установено в доклада от 2018 г. съгласно член 11, параграф 4 от Регламент (ЕО) № 223/2009, повечето държави членки считат, че определени части от тяхното съответно законодателство съставляват ангажимента. Това положение беше потвърдено.</w:t>
      </w:r>
    </w:p>
    <w:p>
      <w:pPr>
        <w:jc w:val="both"/>
        <w:rPr>
          <w:rFonts w:ascii="Times New Roman" w:hAnsi="Times New Roman" w:cs="Times New Roman"/>
          <w:noProof/>
          <w:sz w:val="24"/>
          <w:szCs w:val="24"/>
        </w:rPr>
      </w:pPr>
      <w:r>
        <w:rPr>
          <w:rFonts w:ascii="Times New Roman" w:hAnsi="Times New Roman"/>
          <w:noProof/>
          <w:sz w:val="24"/>
          <w:szCs w:val="24"/>
        </w:rPr>
        <w:t>Групата на държавите членки, които са поели самостоятелни ангажименти, се е увеличила леко, но продължава да бъде по-малка. Следва преглед на докладваните неотдавна съществени развития по отношение на двете групи държави членки:</w:t>
      </w:r>
    </w:p>
    <w:p>
      <w:pPr>
        <w:pStyle w:val="Heading3"/>
        <w:rPr>
          <w:noProof/>
          <w:szCs w:val="24"/>
        </w:rPr>
      </w:pPr>
      <w:r>
        <w:rPr>
          <w:noProof/>
        </w:rPr>
        <w:t>Национално законодателство, съставляващо ангажимента</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които считат, че ангажиментът се съдържа в националното право, посочиха правните разпоредби, които са свързани с подобряването или запазването на условията за прилагане на Кодекса на практиката, и докладваха за съответните развития. За периода на наблюдение 2018—2019 г. най-значимите или типични развития, докладвани от тази група държави членки, бяха следните:</w:t>
      </w:r>
    </w:p>
    <w:p>
      <w:pPr>
        <w:autoSpaceDE w:val="0"/>
        <w:autoSpaceDN w:val="0"/>
        <w:jc w:val="both"/>
        <w:rPr>
          <w:rFonts w:ascii="Times New Roman" w:hAnsi="Times New Roman" w:cs="Times New Roman"/>
          <w:noProof/>
          <w:color w:val="000000"/>
          <w:sz w:val="24"/>
          <w:szCs w:val="24"/>
        </w:rPr>
      </w:pPr>
      <w:r>
        <w:rPr>
          <w:rFonts w:ascii="Times New Roman" w:hAnsi="Times New Roman"/>
          <w:b/>
          <w:noProof/>
          <w:sz w:val="24"/>
          <w:szCs w:val="24"/>
        </w:rPr>
        <w:t xml:space="preserve">България: </w:t>
      </w:r>
      <w:r>
        <w:rPr>
          <w:rFonts w:ascii="Times New Roman" w:hAnsi="Times New Roman"/>
          <w:noProof/>
          <w:color w:val="000000"/>
          <w:sz w:val="24"/>
          <w:szCs w:val="24"/>
        </w:rPr>
        <w:t>Като цяло Националният статистически институт в България успя да подобри системата за управление на качеството както във вътрешен план, така и общо в националната система по отношение на сътрудничеството с другите национални органи, изготвящи официална статистика. Например Институтът установи общи насоки относно разпространението. По отношение на неговата координираща роля, на Националния статистически институт са предоставени по-големи правомощия за координация в рамките на цялата национална статистическа система.</w:t>
      </w:r>
    </w:p>
    <w:p>
      <w:pPr>
        <w:autoSpaceDE w:val="0"/>
        <w:autoSpaceDN w:val="0"/>
        <w:jc w:val="both"/>
        <w:rPr>
          <w:rFonts w:ascii="Times New Roman" w:hAnsi="Times New Roman" w:cs="Times New Roman"/>
          <w:noProof/>
          <w:color w:val="000000"/>
          <w:sz w:val="24"/>
          <w:szCs w:val="24"/>
        </w:rPr>
      </w:pPr>
      <w:r>
        <w:rPr>
          <w:rFonts w:ascii="Times New Roman" w:hAnsi="Times New Roman"/>
          <w:noProof/>
          <w:color w:val="000000"/>
          <w:sz w:val="24"/>
          <w:szCs w:val="24"/>
        </w:rPr>
        <w:t>По отношение на самостоятелния ангажимент във връзка с доверието в статистиката Националният статистически институт завърши проекта и го изпрати на правителството. Предстои правителството да започне обсъждане за неговото приемане.</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Хърватия: </w:t>
      </w:r>
      <w:r>
        <w:rPr>
          <w:rFonts w:ascii="Times New Roman" w:hAnsi="Times New Roman"/>
          <w:noProof/>
          <w:sz w:val="24"/>
          <w:szCs w:val="24"/>
        </w:rPr>
        <w:t>Процедурата по приемане на новия акт относно официалната статистика от страна на хърватското правителство и парламента е в своя заключителен етап.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В новия акт се посочва ясно, че официалната статистика се разработва, изготвя и разпространява в съответствие с принципите, предвидени в Регламент (ЕО) № 223/2009, като така се гарантира пълното поемане на ангажимента във връзка с доверието в статистиката чрез предоставяне на националния статистически институт, Хърватското статистическо бюро, на професионалната независимост и подкрепата, от които се нуждае за запазване и подобряване на условията за прилагане на Кодекса на европейската статистическа практика.</w:t>
      </w:r>
    </w:p>
    <w:p>
      <w:pPr>
        <w:jc w:val="both"/>
        <w:rPr>
          <w:rFonts w:ascii="Times New Roman" w:hAnsi="Times New Roman" w:cs="Times New Roman"/>
          <w:noProof/>
          <w:sz w:val="24"/>
          <w:szCs w:val="24"/>
        </w:rPr>
      </w:pPr>
      <w:r>
        <w:rPr>
          <w:rFonts w:ascii="Times New Roman" w:hAnsi="Times New Roman"/>
          <w:b/>
          <w:noProof/>
          <w:sz w:val="24"/>
          <w:szCs w:val="24"/>
        </w:rPr>
        <w:t>Дания:</w:t>
      </w:r>
      <w:r>
        <w:rPr>
          <w:rFonts w:ascii="Times New Roman" w:hAnsi="Times New Roman"/>
          <w:noProof/>
          <w:sz w:val="24"/>
          <w:szCs w:val="24"/>
        </w:rPr>
        <w:t xml:space="preserve"> На 1 юли 2018 г. влезе в сила преразгледан акт относно официалната статистика и националния статистически институт, Statistics Denmark. Той включва специални разпоредби относно статута на националния статистик, статистическата независимост и координиращата роля на Statistics Denmark по отношение на официалната статистика.</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 xml:space="preserve">Разпоредбите съдържат ясна процедура за прилагане на Кодекса на европейската статистическа практика в системата на официалната статистика. Националният статистик е изготвил набор от насоки за качество, основаващи се на Кодекса на практиката, които трябва да се спазват по отношение на цялата национална статистика.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Спазването на тези насоки се наблюдава от Statistics Denmark посредством годишни самооценки на другите национални органи и редовни посещения за партньорски проверки от Statistics Denmark. Въз основа на това наблюдение всяка година националният статистик изготвя доклад относно спазването на насоките, който се представя на правителството.</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Франция: </w:t>
      </w:r>
      <w:r>
        <w:rPr>
          <w:rFonts w:ascii="Times New Roman" w:hAnsi="Times New Roman"/>
          <w:noProof/>
          <w:sz w:val="24"/>
          <w:szCs w:val="24"/>
        </w:rPr>
        <w:t>Допълнително бяха изяснени правомощията на Националния статистически орган (ASP), надзорен орган, създаден през 2009 г., за да гарантира спазване на принципа на професионална независимост при разработването, изготвянето и разпространението на официална статистика</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Ролята на ASP за спазването на Кодекса на европейската статистическа практика вече е по-ясно определена, като е установено надеждно разграничение за разделяне на разпространението на статистика от всякакъв вид министерски съобщения. Освен това при назначаването на най-висшестоящите ръководители на статистическата служба на Франция ASP вече издава становище относно тяхната професионална компетентност в областта на статистиката до комитета по изслушванията. Това укрепва обхвата на правомощията на ASP да гарантира спазване на принципа на професионална независимост в цялата официална статистическа служба на Франция.</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Италия: </w:t>
      </w:r>
      <w:r>
        <w:rPr>
          <w:rFonts w:ascii="Times New Roman" w:hAnsi="Times New Roman"/>
          <w:noProof/>
          <w:sz w:val="24"/>
          <w:szCs w:val="24"/>
        </w:rPr>
        <w:t xml:space="preserve">Неотдавна вниманието беше насочено към мерките за подобряване на спазването на принципа за качество. От 2018 г. насам националната статистическа служба, Istat, изпълнява програма за оценка на качеството чрез извършване на одити на другите национални органи с цел оценка на техните статистически процеси.  Освен това уменията за управление на качеството на другите национални органи се подобряват чрез програма за обучение.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 xml:space="preserve">През 2019 г. беше организирана корпоративна конференция с всички служители на Istat от всички нива — от висшето управление до служителите — с цел да бъдат споделени новата организационна структура, стратегиите, предизвикателствата и възможностите по отношение на ангажимента за качество.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Продължават усилията за поемане на самостоятелен ангажимент във връзка с доверието. Отново ще бъде представен конкретен ангажимент за включване в следващата тригодишна национална статистическа програма за периода 2020—2022 г., която трябва да бъде приета от Министерския съвет по предложение на министър-председателя и узаконена с декрет от президента на Републиката.</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Полша:</w:t>
      </w:r>
      <w:r>
        <w:rPr>
          <w:rFonts w:ascii="Times New Roman" w:hAnsi="Times New Roman"/>
          <w:noProof/>
          <w:sz w:val="24"/>
          <w:szCs w:val="24"/>
        </w:rPr>
        <w:t xml:space="preserve"> Законът относно публичната статистика от 29 юни 1995 г.</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беше обявен официално за полския ангажимент във връзка с доверието в статистиката. Законът е най-важният полски акт, регламентиращ функционирането на официалната статистика по всеобхватен начин; със закона се гарантира, че съставящите статистиката органи разполагат с пълна независимост от политически влияния, като по този начин се гарантира високо качество на изготвяните статистически данни.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 xml:space="preserve">В закона се съдържа задължение на полската публична администрация да действа в съответствие с разпоредбите от правото на Съюза, на които се позовава пряко. Следователно предназначението му е да води до обществено доверие в статистиката, изготвяна в страната, включително статистиката за нуждите на ЕС. </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Освен това в закона се съдържа пряко задължение по отношение на полската официална статистика, която да се изготвя в съответствие с правилата на Кодекса на европейската статистическа практика, като така се гарантира най-високо равнище на качество на данните.</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Испания: </w:t>
      </w:r>
      <w:r>
        <w:rPr>
          <w:rFonts w:ascii="Times New Roman" w:hAnsi="Times New Roman"/>
          <w:noProof/>
          <w:sz w:val="24"/>
          <w:szCs w:val="24"/>
        </w:rPr>
        <w:t>От 2016 г. насам ангажиментът във връзка с доверието е включен в конкретен член от всяка годишна програма съгласно националния статистически план за периода 2017—2020 г. Освен това през 2018 г. на уебсайта на националния статистически институт е създаден специален раздел, посветен на този въпрос. В този раздел е включено резюме на ангажимента за гражданите, както и електронни препратки към всички годишни програми.</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 xml:space="preserve">Други държави считат, че националното право съставлява ангажимента, но не са посочени в списъка по-горе поради по-незначителни развития през последните 2 години. Тези държави са: </w:t>
      </w:r>
      <w:r>
        <w:rPr>
          <w:rFonts w:ascii="Times New Roman" w:hAnsi="Times New Roman"/>
          <w:b/>
          <w:noProof/>
          <w:sz w:val="24"/>
          <w:szCs w:val="24"/>
        </w:rPr>
        <w:t>Германия, Естония, Латвия, Литва, Люксембург, Унгария, Нидерландия, Австрия, Португалия, Словакия, Финландия</w:t>
      </w:r>
      <w:r>
        <w:rPr>
          <w:rFonts w:ascii="Times New Roman" w:hAnsi="Times New Roman"/>
          <w:noProof/>
          <w:sz w:val="24"/>
          <w:szCs w:val="24"/>
        </w:rPr>
        <w:t xml:space="preserve"> и </w:t>
      </w:r>
      <w:r>
        <w:rPr>
          <w:rFonts w:ascii="Times New Roman" w:hAnsi="Times New Roman"/>
          <w:b/>
          <w:noProof/>
          <w:sz w:val="24"/>
          <w:szCs w:val="24"/>
        </w:rPr>
        <w:t>Обединеното кралство</w:t>
      </w:r>
      <w:r>
        <w:rPr>
          <w:rFonts w:ascii="Times New Roman" w:hAnsi="Times New Roman"/>
          <w:noProof/>
          <w:sz w:val="24"/>
          <w:szCs w:val="24"/>
        </w:rPr>
        <w:t>.</w:t>
      </w:r>
    </w:p>
    <w:p>
      <w:pPr>
        <w:pStyle w:val="Heading3"/>
        <w:rPr>
          <w:noProof/>
          <w:szCs w:val="24"/>
        </w:rPr>
      </w:pPr>
      <w:r>
        <w:rPr>
          <w:noProof/>
        </w:rPr>
        <w:t>Самостоятелни ангажименти във връзка с доверието</w:t>
      </w:r>
    </w:p>
    <w:p>
      <w:pPr>
        <w:jc w:val="both"/>
        <w:rPr>
          <w:rFonts w:ascii="Times New Roman" w:hAnsi="Times New Roman" w:cs="Times New Roman"/>
          <w:noProof/>
          <w:sz w:val="24"/>
          <w:szCs w:val="24"/>
        </w:rPr>
      </w:pPr>
      <w:r>
        <w:rPr>
          <w:rFonts w:ascii="Times New Roman" w:hAnsi="Times New Roman"/>
          <w:noProof/>
          <w:sz w:val="24"/>
          <w:szCs w:val="24"/>
        </w:rPr>
        <w:t>Поетите самостоятелни ангажименти имат различна форма, като всеки един от тях отразява специфичните особености на съответната национална статистическа система.</w:t>
      </w:r>
    </w:p>
    <w:p>
      <w:pPr>
        <w:jc w:val="both"/>
        <w:rPr>
          <w:rFonts w:ascii="Times New Roman" w:hAnsi="Times New Roman" w:cs="Times New Roman"/>
          <w:noProof/>
          <w:sz w:val="24"/>
          <w:szCs w:val="24"/>
        </w:rPr>
      </w:pPr>
      <w:r>
        <w:rPr>
          <w:rFonts w:ascii="Times New Roman" w:hAnsi="Times New Roman"/>
          <w:noProof/>
          <w:sz w:val="24"/>
          <w:szCs w:val="24"/>
        </w:rPr>
        <w:t>В първия доклад относно ангажиментите от 2018 г. са представени (в хронологичен ред) самостоятелните ангажименти на следните държави членки:</w:t>
      </w:r>
    </w:p>
    <w:p>
      <w:pPr>
        <w:jc w:val="both"/>
        <w:rPr>
          <w:rFonts w:ascii="Times New Roman" w:hAnsi="Times New Roman" w:cs="Times New Roman"/>
          <w:noProof/>
          <w:color w:val="000000"/>
          <w:sz w:val="24"/>
          <w:szCs w:val="24"/>
        </w:rPr>
      </w:pPr>
      <w:r>
        <w:rPr>
          <w:rFonts w:ascii="Times New Roman" w:hAnsi="Times New Roman"/>
          <w:b/>
          <w:noProof/>
          <w:sz w:val="24"/>
          <w:szCs w:val="24"/>
        </w:rPr>
        <w:t>Гърция</w:t>
      </w:r>
      <w:r>
        <w:rPr>
          <w:rFonts w:ascii="Times New Roman" w:hAnsi="Times New Roman"/>
          <w:noProof/>
          <w:sz w:val="24"/>
          <w:szCs w:val="24"/>
        </w:rPr>
        <w:t xml:space="preserve">: </w:t>
      </w:r>
      <w:r>
        <w:rPr>
          <w:rFonts w:ascii="Times New Roman" w:hAnsi="Times New Roman"/>
          <w:noProof/>
          <w:color w:val="000000"/>
          <w:sz w:val="24"/>
          <w:szCs w:val="24"/>
        </w:rPr>
        <w:t>Гръцкият ангажимент във връзка с доверието в статистиката</w:t>
      </w:r>
      <w:r>
        <w:rPr>
          <w:rStyle w:val="FootnoteReference"/>
          <w:rFonts w:ascii="Times New Roman" w:hAnsi="Times New Roman" w:cs="Times New Roman"/>
          <w:noProof/>
          <w:color w:val="000000"/>
          <w:sz w:val="24"/>
          <w:szCs w:val="24"/>
          <w:lang w:val="en-GB"/>
        </w:rPr>
        <w:footnoteReference w:id="8"/>
      </w:r>
      <w:r>
        <w:rPr>
          <w:rFonts w:ascii="Times New Roman" w:hAnsi="Times New Roman"/>
          <w:noProof/>
          <w:color w:val="000000"/>
          <w:sz w:val="24"/>
          <w:szCs w:val="24"/>
        </w:rPr>
        <w:t xml:space="preserve"> беше подписан на 29 февруари 2012 г. от гръцкия министър-председател и от члена на Европейската комисия, отговарящ за въпросите на данъчното облагане и митническия съюз, одита и борбата с измамите.</w:t>
      </w:r>
    </w:p>
    <w:p>
      <w:pPr>
        <w:jc w:val="both"/>
        <w:rPr>
          <w:rFonts w:ascii="Times New Roman" w:hAnsi="Times New Roman" w:cs="Times New Roman"/>
          <w:noProof/>
          <w:color w:val="000000"/>
          <w:sz w:val="24"/>
          <w:szCs w:val="24"/>
        </w:rPr>
      </w:pPr>
      <w:r>
        <w:rPr>
          <w:rFonts w:ascii="Times New Roman" w:hAnsi="Times New Roman"/>
          <w:b/>
          <w:bCs/>
          <w:noProof/>
          <w:sz w:val="24"/>
          <w:szCs w:val="24"/>
        </w:rPr>
        <w:t>Швеция:</w:t>
      </w:r>
      <w:r>
        <w:rPr>
          <w:rFonts w:ascii="Times New Roman" w:hAnsi="Times New Roman"/>
          <w:noProof/>
          <w:sz w:val="24"/>
          <w:szCs w:val="24"/>
        </w:rPr>
        <w:t xml:space="preserve"> </w:t>
      </w:r>
      <w:r>
        <w:rPr>
          <w:rFonts w:ascii="Times New Roman" w:hAnsi="Times New Roman"/>
          <w:noProof/>
          <w:color w:val="000000"/>
          <w:sz w:val="24"/>
          <w:szCs w:val="24"/>
        </w:rPr>
        <w:t>Ангажиментът във връзка с доверието в статистиката</w:t>
      </w:r>
      <w:r>
        <w:rPr>
          <w:rStyle w:val="FootnoteReference"/>
          <w:rFonts w:ascii="Times New Roman" w:hAnsi="Times New Roman" w:cs="Times New Roman"/>
          <w:noProof/>
          <w:color w:val="000000"/>
          <w:sz w:val="24"/>
          <w:szCs w:val="24"/>
          <w:lang w:val="en-GB"/>
        </w:rPr>
        <w:footnoteReference w:id="9"/>
      </w:r>
      <w:r>
        <w:rPr>
          <w:rFonts w:ascii="Times New Roman" w:hAnsi="Times New Roman"/>
          <w:noProof/>
          <w:color w:val="000000"/>
          <w:sz w:val="24"/>
          <w:szCs w:val="24"/>
        </w:rPr>
        <w:t xml:space="preserve"> беше представен в рамките на законопроект за бюджета за 2017 г. на шведското правителство. Впоследствие беше публикуван и на уебсайта на шведския статистически институт.</w:t>
      </w:r>
    </w:p>
    <w:p>
      <w:pPr>
        <w:jc w:val="both"/>
        <w:rPr>
          <w:rFonts w:ascii="Times New Roman" w:hAnsi="Times New Roman" w:cs="Times New Roman"/>
          <w:noProof/>
          <w:color w:val="000000"/>
          <w:sz w:val="24"/>
          <w:szCs w:val="24"/>
        </w:rPr>
      </w:pPr>
      <w:r>
        <w:rPr>
          <w:rFonts w:ascii="Times New Roman" w:hAnsi="Times New Roman"/>
          <w:b/>
          <w:bCs/>
          <w:noProof/>
          <w:sz w:val="24"/>
          <w:szCs w:val="24"/>
        </w:rPr>
        <w:t>Словения:</w:t>
      </w:r>
      <w:r>
        <w:rPr>
          <w:rFonts w:ascii="Times New Roman" w:hAnsi="Times New Roman"/>
          <w:noProof/>
          <w:sz w:val="24"/>
          <w:szCs w:val="24"/>
        </w:rPr>
        <w:t xml:space="preserve"> </w:t>
      </w:r>
      <w:r>
        <w:rPr>
          <w:rFonts w:ascii="Times New Roman" w:hAnsi="Times New Roman"/>
          <w:noProof/>
          <w:color w:val="000000"/>
          <w:sz w:val="24"/>
          <w:szCs w:val="24"/>
        </w:rPr>
        <w:t>Правителството на Словения прие ангажимента във връзка с доверието в статистиката</w:t>
      </w:r>
      <w:r>
        <w:rPr>
          <w:rStyle w:val="FootnoteReference"/>
          <w:rFonts w:ascii="Times New Roman" w:hAnsi="Times New Roman" w:cs="Times New Roman"/>
          <w:noProof/>
          <w:color w:val="000000"/>
          <w:sz w:val="24"/>
          <w:szCs w:val="24"/>
          <w:lang w:val="en-GB"/>
        </w:rPr>
        <w:footnoteReference w:id="10"/>
      </w:r>
      <w:r>
        <w:rPr>
          <w:rFonts w:ascii="Times New Roman" w:hAnsi="Times New Roman"/>
          <w:noProof/>
          <w:color w:val="000000"/>
          <w:sz w:val="24"/>
          <w:szCs w:val="24"/>
        </w:rPr>
        <w:t xml:space="preserve"> на 5 януари 2017 г. Впоследствие той беше публикуван на уебсайта на словенския статистически институт заедно със съответното обобщение за гражданите. </w:t>
      </w:r>
    </w:p>
    <w:p>
      <w:pPr>
        <w:jc w:val="both"/>
        <w:rPr>
          <w:rFonts w:ascii="Times New Roman" w:hAnsi="Times New Roman" w:cs="Times New Roman"/>
          <w:noProof/>
          <w:color w:val="000000"/>
          <w:sz w:val="24"/>
          <w:szCs w:val="24"/>
        </w:rPr>
      </w:pPr>
      <w:r>
        <w:rPr>
          <w:rFonts w:ascii="Times New Roman" w:hAnsi="Times New Roman"/>
          <w:b/>
          <w:bCs/>
          <w:noProof/>
          <w:sz w:val="24"/>
          <w:szCs w:val="24"/>
        </w:rPr>
        <w:t>Ирландия:</w:t>
      </w:r>
      <w:r>
        <w:rPr>
          <w:rFonts w:ascii="Times New Roman" w:hAnsi="Times New Roman"/>
          <w:noProof/>
          <w:sz w:val="24"/>
          <w:szCs w:val="24"/>
        </w:rPr>
        <w:t xml:space="preserve"> </w:t>
      </w:r>
      <w:r>
        <w:rPr>
          <w:rFonts w:ascii="Times New Roman" w:hAnsi="Times New Roman"/>
          <w:noProof/>
          <w:color w:val="000000"/>
          <w:sz w:val="24"/>
          <w:szCs w:val="24"/>
        </w:rPr>
        <w:t>Ирландският ангажимент във връзка с доверието в статистиката</w:t>
      </w:r>
      <w:r>
        <w:rPr>
          <w:rStyle w:val="FootnoteReference"/>
          <w:rFonts w:ascii="Times New Roman" w:hAnsi="Times New Roman" w:cs="Times New Roman"/>
          <w:noProof/>
          <w:color w:val="000000"/>
          <w:sz w:val="24"/>
          <w:szCs w:val="24"/>
          <w:lang w:val="en-GB"/>
        </w:rPr>
        <w:footnoteReference w:id="11"/>
      </w:r>
      <w:r>
        <w:rPr>
          <w:rFonts w:ascii="Times New Roman" w:hAnsi="Times New Roman"/>
          <w:noProof/>
          <w:color w:val="000000"/>
          <w:sz w:val="24"/>
          <w:szCs w:val="24"/>
        </w:rPr>
        <w:t xml:space="preserve"> беше приет от правителството на Ирландия на 30 май 2017 г. и впоследствие публикуван на уебсайта на ирландския статистически институт. </w:t>
      </w:r>
    </w:p>
    <w:p>
      <w:pPr>
        <w:jc w:val="both"/>
        <w:rPr>
          <w:rFonts w:ascii="Times New Roman" w:hAnsi="Times New Roman" w:cs="Times New Roman"/>
          <w:noProof/>
          <w:color w:val="000000"/>
          <w:sz w:val="24"/>
          <w:szCs w:val="24"/>
        </w:rPr>
      </w:pPr>
      <w:r>
        <w:rPr>
          <w:rFonts w:ascii="Times New Roman" w:hAnsi="Times New Roman"/>
          <w:b/>
          <w:noProof/>
          <w:color w:val="000000"/>
          <w:sz w:val="24"/>
          <w:szCs w:val="24"/>
        </w:rPr>
        <w:t>Белгия</w:t>
      </w:r>
      <w:r>
        <w:rPr>
          <w:rFonts w:ascii="Times New Roman" w:hAnsi="Times New Roman"/>
          <w:noProof/>
          <w:color w:val="000000"/>
          <w:sz w:val="24"/>
          <w:szCs w:val="24"/>
        </w:rPr>
        <w:t>: На 31 май 2017 г. Консултативният комитет, в който са представени федералното правителство и правителствата на регионите и общностите, одобри белгийския ангажимент във връзка с доверието</w:t>
      </w:r>
      <w:r>
        <w:rPr>
          <w:rStyle w:val="FootnoteReference"/>
          <w:rFonts w:ascii="Times New Roman" w:hAnsi="Times New Roman" w:cs="Times New Roman"/>
          <w:noProof/>
          <w:color w:val="000000"/>
          <w:sz w:val="24"/>
          <w:szCs w:val="24"/>
          <w:lang w:val="en-GB"/>
        </w:rPr>
        <w:footnoteReference w:id="12"/>
      </w:r>
      <w:r>
        <w:rPr>
          <w:rFonts w:ascii="Times New Roman" w:hAnsi="Times New Roman"/>
          <w:noProof/>
          <w:color w:val="000000"/>
          <w:sz w:val="24"/>
          <w:szCs w:val="24"/>
        </w:rPr>
        <w:t>, който впоследствие беше публикуван на уебсайта на Федералния статистически институт на Белгия и на регионалните статистически органи.</w:t>
      </w:r>
    </w:p>
    <w:p>
      <w:pPr>
        <w:jc w:val="both"/>
        <w:rPr>
          <w:rFonts w:ascii="Times New Roman" w:hAnsi="Times New Roman" w:cs="Times New Roman"/>
          <w:noProof/>
          <w:sz w:val="24"/>
          <w:szCs w:val="24"/>
        </w:rPr>
      </w:pPr>
      <w:r>
        <w:rPr>
          <w:rFonts w:ascii="Times New Roman" w:hAnsi="Times New Roman"/>
          <w:b/>
          <w:bCs/>
          <w:noProof/>
          <w:sz w:val="24"/>
          <w:szCs w:val="24"/>
        </w:rPr>
        <w:t>Румъния:</w:t>
      </w:r>
      <w:r>
        <w:rPr>
          <w:rFonts w:ascii="Times New Roman" w:hAnsi="Times New Roman"/>
          <w:noProof/>
          <w:sz w:val="24"/>
          <w:szCs w:val="24"/>
        </w:rPr>
        <w:t xml:space="preserve"> </w:t>
      </w:r>
      <w:r>
        <w:rPr>
          <w:rFonts w:ascii="Times New Roman" w:hAnsi="Times New Roman"/>
          <w:noProof/>
          <w:color w:val="000000"/>
          <w:sz w:val="24"/>
          <w:szCs w:val="24"/>
        </w:rPr>
        <w:t>Румънският ангажимент във връзка с доверието беше приет от румънското правителство на заседанието му от 9 юни 2017 г</w:t>
      </w:r>
      <w:r>
        <w:rPr>
          <w:rStyle w:val="FootnoteReference"/>
          <w:rFonts w:ascii="Times New Roman" w:hAnsi="Times New Roman" w:cs="Times New Roman"/>
          <w:noProof/>
          <w:color w:val="000000"/>
          <w:sz w:val="24"/>
          <w:szCs w:val="24"/>
          <w:lang w:val="en-GB"/>
        </w:rPr>
        <w:footnoteReference w:id="13"/>
      </w:r>
      <w:r>
        <w:rPr>
          <w:rFonts w:ascii="Times New Roman" w:hAnsi="Times New Roman"/>
          <w:noProof/>
          <w:color w:val="000000"/>
          <w:sz w:val="24"/>
          <w:szCs w:val="24"/>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noProof/>
          <w:sz w:val="24"/>
          <w:szCs w:val="24"/>
        </w:rPr>
        <w:t>Малта:</w:t>
      </w:r>
      <w:r>
        <w:rPr>
          <w:rFonts w:ascii="Times New Roman" w:hAnsi="Times New Roman"/>
          <w:b w:val="0"/>
          <w:noProof/>
          <w:sz w:val="24"/>
          <w:szCs w:val="24"/>
        </w:rPr>
        <w:t xml:space="preserve"> Ангажиментът във връзка с доверието в статистиката беше подписан от министър-председателя на 17 май 2018 г. от името на малтийското правителство</w:t>
      </w:r>
      <w:r>
        <w:rPr>
          <w:rStyle w:val="FootnoteReference"/>
          <w:rFonts w:ascii="Times New Roman" w:hAnsi="Times New Roman" w:cs="Times New Roman"/>
          <w:noProof/>
          <w:sz w:val="24"/>
          <w:szCs w:val="24"/>
          <w:lang w:val="en-GB"/>
        </w:rPr>
        <w:footnoteReference w:id="14"/>
      </w:r>
      <w:r>
        <w:rPr>
          <w:rFonts w:ascii="Times New Roman" w:hAnsi="Times New Roman"/>
          <w:b w:val="0"/>
          <w:noProof/>
          <w:sz w:val="24"/>
          <w:szCs w:val="24"/>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b w:val="0"/>
          <w:noProof/>
          <w:sz w:val="24"/>
          <w:szCs w:val="24"/>
        </w:rPr>
        <w:t>Оттогава насам бяха поети следните нови самостоятелни ангажименти:</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noProof/>
          <w:sz w:val="24"/>
          <w:szCs w:val="24"/>
        </w:rPr>
        <w:t xml:space="preserve">Чешка република: </w:t>
      </w:r>
      <w:r>
        <w:rPr>
          <w:rFonts w:ascii="Times New Roman" w:hAnsi="Times New Roman"/>
          <w:b w:val="0"/>
          <w:noProof/>
          <w:sz w:val="24"/>
          <w:szCs w:val="24"/>
        </w:rPr>
        <w:t>Самостоятелният ангажимент във връзка с доверието в Чешката република</w:t>
      </w:r>
      <w:r>
        <w:rPr>
          <w:rStyle w:val="FootnoteReference"/>
          <w:noProof/>
          <w:sz w:val="24"/>
          <w:szCs w:val="24"/>
          <w:lang w:val="en-GB"/>
        </w:rPr>
        <w:footnoteReference w:id="15"/>
      </w:r>
      <w:r>
        <w:rPr>
          <w:rFonts w:ascii="Times New Roman" w:hAnsi="Times New Roman"/>
          <w:b w:val="0"/>
          <w:noProof/>
          <w:sz w:val="24"/>
          <w:szCs w:val="24"/>
        </w:rPr>
        <w:t xml:space="preserve"> беше публикуван на 28 февруари 2018 г. на уебсайта на националния статистически орган. </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b w:val="0"/>
          <w:noProof/>
          <w:sz w:val="24"/>
          <w:szCs w:val="24"/>
        </w:rPr>
        <w:t>Той отразява съответните разпоредби на Регламент (ЕО) № 223/2009 и в него се посочва, че те вече са изпълнени с действащото законодателство, в което се определят дейностите на чешката статистическа служба, на първо място закон № 89/1995 относно държавната статистическа служба, но също и други актове, като Конституцията или Правилникът за дейността на правителството. Тази система от разпоредби осигурява необходимите условия за спазване на всички принципи на Кодекса на европейската статистическа практика по отношение на институционалната среда.</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noProof/>
          <w:sz w:val="24"/>
          <w:szCs w:val="24"/>
        </w:rPr>
        <w:t xml:space="preserve">Кипър: </w:t>
      </w:r>
      <w:r>
        <w:rPr>
          <w:rFonts w:ascii="Times New Roman" w:hAnsi="Times New Roman"/>
          <w:b w:val="0"/>
          <w:noProof/>
          <w:sz w:val="24"/>
          <w:szCs w:val="24"/>
        </w:rPr>
        <w:t>Ангажиментът във връзка с доверието в статистиката беше одобрен от Министерския съвет на 16 октомври 2018 г</w:t>
      </w:r>
      <w:r>
        <w:rPr>
          <w:rStyle w:val="FootnoteReference"/>
          <w:rFonts w:ascii="Times New Roman" w:eastAsia="Times New Roman" w:hAnsi="Times New Roman" w:cs="Times New Roman"/>
          <w:b w:val="0"/>
          <w:noProof/>
          <w:sz w:val="24"/>
          <w:szCs w:val="24"/>
          <w:lang w:val="en-GB" w:bidi="en-US"/>
        </w:rPr>
        <w:footnoteReference w:id="16"/>
      </w:r>
      <w:r>
        <w:rPr>
          <w:rFonts w:ascii="Times New Roman" w:hAnsi="Times New Roman"/>
          <w:b w:val="0"/>
          <w:noProof/>
          <w:sz w:val="24"/>
          <w:szCs w:val="24"/>
        </w:rPr>
        <w:t>. Освен това Министерският съвет упълномощи министъра на финансите да предостави инструкции на директора на статистическата служба да предприеме публикуване на ангажимента.</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lang w:val="en-GB"/>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noProof/>
          <w:sz w:val="24"/>
          <w:szCs w:val="24"/>
        </w:rPr>
        <w:t>Исландия</w:t>
      </w:r>
      <w:r>
        <w:rPr>
          <w:rFonts w:ascii="Times New Roman" w:hAnsi="Times New Roman"/>
          <w:b w:val="0"/>
          <w:noProof/>
          <w:sz w:val="24"/>
          <w:szCs w:val="24"/>
        </w:rPr>
        <w:t>, която участва в Европейската статистическа система в качеството си на държава — членка на Европейското икономическо пространство (ЕИП), също пое самостоятелен ангажимент: Текст относно ангажимента във връзка с доверието в статистиката беше включен в документите на бюджетния план за периода 2020—2024 г. и одобрен от парламента на държавата</w:t>
      </w:r>
      <w:r>
        <w:rPr>
          <w:rStyle w:val="FootnoteReference"/>
          <w:rFonts w:ascii="Times New Roman" w:eastAsia="Times New Roman" w:hAnsi="Times New Roman" w:cs="Times New Roman"/>
          <w:noProof/>
          <w:sz w:val="24"/>
          <w:szCs w:val="24"/>
          <w:lang w:val="en-GB" w:bidi="en-US"/>
        </w:rPr>
        <w:footnoteReference w:id="17"/>
      </w:r>
      <w:r>
        <w:rPr>
          <w:rFonts w:ascii="Times New Roman" w:hAnsi="Times New Roman"/>
          <w:b w:val="0"/>
          <w:noProof/>
          <w:sz w:val="24"/>
          <w:szCs w:val="24"/>
        </w:rPr>
        <w:t>. В него се потвърждава, че надеждността на публичната статистика е една от предпоставките за доверие в икономическата и социалната статистика, използвана за създаване на политики и за оценка на въздействието на решения на правителството по неутрален начин. Също така в текста се посочва, че за да се поддържа доверие в официалната статистика, е задължително да се спазват принципите на Кодекса на европейската статистическа практика. Освен това се посочва ясно, че на националния статистически орган, Statistics Iceland, се гарантира професионална независимост и работна среда, необходими за прилагането на тези правила при изпълнението на нови проекти, събирането на данни и обработването и разпространението на статистика.</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GB"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И накрая, заслужава си да се отбележи, че въпреки че са извън Европейската статистическа система, три държави от Западните Балкани също официално са приели ангажименти във връзка с доверието в статистиката: </w:t>
      </w:r>
      <w:r>
        <w:rPr>
          <w:rFonts w:ascii="Times New Roman" w:hAnsi="Times New Roman"/>
          <w:noProof/>
          <w:sz w:val="24"/>
          <w:szCs w:val="24"/>
        </w:rPr>
        <w:t>Албания</w:t>
      </w:r>
      <w:r>
        <w:rPr>
          <w:rFonts w:ascii="Times New Roman" w:hAnsi="Times New Roman"/>
          <w:b w:val="0"/>
          <w:noProof/>
          <w:sz w:val="24"/>
          <w:szCs w:val="24"/>
        </w:rPr>
        <w:t xml:space="preserve"> на 10 ноември 2017 г., </w:t>
      </w:r>
      <w:r>
        <w:rPr>
          <w:rFonts w:ascii="Times New Roman" w:hAnsi="Times New Roman"/>
          <w:noProof/>
          <w:sz w:val="24"/>
          <w:szCs w:val="24"/>
        </w:rPr>
        <w:t>Черна гора</w:t>
      </w:r>
      <w:r>
        <w:rPr>
          <w:rFonts w:ascii="Times New Roman" w:hAnsi="Times New Roman"/>
          <w:b w:val="0"/>
          <w:noProof/>
          <w:sz w:val="24"/>
          <w:szCs w:val="24"/>
        </w:rPr>
        <w:t xml:space="preserve"> на 22 февруари 2018 г. и </w:t>
      </w:r>
      <w:r>
        <w:rPr>
          <w:rFonts w:ascii="Times New Roman" w:hAnsi="Times New Roman"/>
          <w:noProof/>
          <w:sz w:val="24"/>
          <w:szCs w:val="24"/>
        </w:rPr>
        <w:t>Северна Македония</w:t>
      </w:r>
      <w:r>
        <w:rPr>
          <w:rFonts w:ascii="Times New Roman" w:hAnsi="Times New Roman"/>
          <w:b w:val="0"/>
          <w:noProof/>
          <w:sz w:val="24"/>
          <w:szCs w:val="24"/>
        </w:rPr>
        <w:t xml:space="preserve"> на 17 октомври 2018 г.</w:t>
      </w:r>
    </w:p>
    <w:p>
      <w:pPr>
        <w:pStyle w:val="Heading1"/>
        <w:numPr>
          <w:ilvl w:val="0"/>
          <w:numId w:val="2"/>
        </w:numPr>
        <w:rPr>
          <w:noProof/>
          <w:szCs w:val="24"/>
        </w:rPr>
      </w:pPr>
      <w:r>
        <w:rPr>
          <w:noProof/>
        </w:rPr>
        <w:t>Заключение</w:t>
      </w:r>
    </w:p>
    <w:p>
      <w:pPr>
        <w:jc w:val="both"/>
        <w:rPr>
          <w:rFonts w:ascii="Times New Roman" w:hAnsi="Times New Roman" w:cs="Times New Roman"/>
          <w:noProof/>
          <w:sz w:val="24"/>
          <w:szCs w:val="24"/>
        </w:rPr>
      </w:pPr>
      <w:r>
        <w:rPr>
          <w:rFonts w:ascii="Times New Roman" w:hAnsi="Times New Roman"/>
          <w:noProof/>
          <w:sz w:val="24"/>
          <w:szCs w:val="24"/>
        </w:rPr>
        <w:t xml:space="preserve">В повечето държави членки ангажиментът е заложен в тяхното законодателство относно статистиката. От техните доклади става ясно, че задължението за поемане на ангажимент води до постоянни подобрения на съответното законодателство относно статистиката с оглед на по-добро прилагане на принципите на Кодекса на европейската статистическа практика. </w:t>
      </w:r>
    </w:p>
    <w:p>
      <w:pPr>
        <w:jc w:val="both"/>
        <w:rPr>
          <w:rFonts w:ascii="Times New Roman" w:hAnsi="Times New Roman" w:cs="Times New Roman"/>
          <w:noProof/>
          <w:sz w:val="24"/>
          <w:szCs w:val="24"/>
        </w:rPr>
      </w:pPr>
      <w:r>
        <w:rPr>
          <w:rFonts w:ascii="Times New Roman" w:hAnsi="Times New Roman"/>
          <w:noProof/>
          <w:sz w:val="24"/>
          <w:szCs w:val="24"/>
        </w:rPr>
        <w:t>За тази група държави членки ангажиментът на правителството по отношение на Кодекса на европейската статистическа практика, който е необходим за повишаване на общественото доверие в официалната статистика, се спазва чрез участие на правителството в създаването на съответното законодателство. Освен това този аспект присъства в разпоредбите относно прякото докладване до правителството по отношение на изпълнението на мерките, гарантиращи спазването на принципите на Кодекса на европейската статистическа практика.</w:t>
      </w:r>
    </w:p>
    <w:p>
      <w:pPr>
        <w:jc w:val="both"/>
        <w:rPr>
          <w:rFonts w:ascii="Times New Roman" w:hAnsi="Times New Roman" w:cs="Times New Roman"/>
          <w:noProof/>
          <w:sz w:val="24"/>
          <w:szCs w:val="24"/>
        </w:rPr>
      </w:pPr>
      <w:r>
        <w:rPr>
          <w:rFonts w:ascii="Times New Roman" w:hAnsi="Times New Roman"/>
          <w:noProof/>
          <w:sz w:val="24"/>
          <w:szCs w:val="24"/>
        </w:rPr>
        <w:t>Сред държавите, които са поели самостоятелни ангажименти или са в процес да го направят, различията в избраните форми отразяват специфичните особености на националната статистическа система, както и правната система. Тъй като поемането на ангажимента зависи от политическо решение, приключването на процеса отнема много време. Държавите, които все още работят по своите самостоятелни ангажименти, отбелязват напредък. Междувременно те са подобрили допълнително и спазването на принципите на Кодекса на европейската статистическа практика.</w:t>
      </w:r>
    </w:p>
    <w:p>
      <w:pPr>
        <w:jc w:val="both"/>
        <w:rPr>
          <w:rFonts w:ascii="Times New Roman" w:hAnsi="Times New Roman" w:cs="Times New Roman"/>
          <w:noProof/>
          <w:sz w:val="24"/>
          <w:szCs w:val="24"/>
        </w:rPr>
      </w:pPr>
      <w:r>
        <w:rPr>
          <w:rFonts w:ascii="Times New Roman" w:hAnsi="Times New Roman"/>
          <w:noProof/>
          <w:sz w:val="24"/>
          <w:szCs w:val="24"/>
        </w:rPr>
        <w:t>Като цяло може да бъде отбелязано, че правителствата и националните статистически органи в целия Европейски съюз все повече осъзнават</w:t>
      </w:r>
      <w:r>
        <w:rPr>
          <w:rFonts w:ascii="Times New Roman" w:hAnsi="Times New Roman"/>
          <w:noProof/>
          <w:color w:val="000000"/>
          <w:sz w:val="24"/>
          <w:szCs w:val="24"/>
        </w:rPr>
        <w:t xml:space="preserve"> значението на гарантирането на обществено доверие в европейската статистика чрез по-добро спазване на принципите на Кодекса на практиката</w:t>
      </w:r>
      <w:r>
        <w:rPr>
          <w:rFonts w:ascii="Times New Roman" w:hAnsi="Times New Roman"/>
          <w:noProof/>
          <w:sz w:val="24"/>
          <w:szCs w:val="24"/>
        </w:rPr>
        <w:t>. Освен това е очевидно, че</w:t>
      </w:r>
      <w:r>
        <w:rPr>
          <w:rFonts w:ascii="Times New Roman" w:hAnsi="Times New Roman"/>
          <w:noProof/>
          <w:color w:val="000000"/>
          <w:sz w:val="24"/>
          <w:szCs w:val="24"/>
        </w:rPr>
        <w:t xml:space="preserve"> условията за прилагане на Кодекса на практиката постепенно и устойчиво се подобряват.</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erif">
    <w:altName w:val="PT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409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2">
    <w:p>
      <w:pPr>
        <w:pStyle w:val="FootnoteText"/>
      </w:pPr>
      <w:r>
        <w:rPr>
          <w:rStyle w:val="FootnoteReference"/>
        </w:rPr>
        <w:footnoteRef/>
      </w:r>
      <w:r>
        <w:t xml:space="preserve"> </w:t>
      </w:r>
      <w:r>
        <w:tab/>
        <w:t xml:space="preserve">COM (2018) 516 final: </w:t>
      </w:r>
      <w:hyperlink r:id="rId1" w:history="1">
        <w:r>
          <w:rPr>
            <w:rStyle w:val="Hyperlink"/>
          </w:rPr>
          <w:t>https://eur-lex.europa.eu/legal-content/BG/TXT/?qid=1574866259293&amp;uri=CELEX:52018DC0516</w:t>
        </w:r>
      </w:hyperlink>
      <w:r>
        <w:t xml:space="preserve"> </w:t>
      </w:r>
    </w:p>
  </w:footnote>
  <w:footnote w:id="3">
    <w:p>
      <w:pPr>
        <w:pStyle w:val="FootnoteText"/>
      </w:pPr>
      <w:r>
        <w:rPr>
          <w:rStyle w:val="FootnoteReference"/>
        </w:rPr>
        <w:footnoteRef/>
      </w:r>
      <w:r>
        <w:tab/>
      </w:r>
      <w:r>
        <w:rPr>
          <w:color w:val="000000"/>
        </w:rPr>
        <w:t>COM (2011) 211.</w:t>
      </w:r>
    </w:p>
  </w:footnote>
  <w:footnote w:id="4">
    <w:p>
      <w:pPr>
        <w:pStyle w:val="FootnoteText"/>
      </w:pPr>
      <w:r>
        <w:rPr>
          <w:rStyle w:val="FootnoteReference"/>
        </w:rPr>
        <w:footnoteRef/>
      </w:r>
      <w:r>
        <w:tab/>
      </w:r>
      <w:hyperlink r:id="rId2" w:history="1">
        <w:r>
          <w:rPr>
            <w:rStyle w:val="Hyperlink"/>
          </w:rPr>
          <w:t>http://ec.europa.eu/eurostat/web/products-manuals-and-guidelines/-/KS-32-11-955</w:t>
        </w:r>
      </w:hyperlink>
    </w:p>
  </w:footnote>
  <w:footnote w:id="5">
    <w:p>
      <w:pPr>
        <w:pStyle w:val="FootnoteText"/>
      </w:pPr>
      <w:r>
        <w:rPr>
          <w:rStyle w:val="FootnoteReference"/>
        </w:rPr>
        <w:footnoteRef/>
      </w:r>
      <w:r>
        <w:tab/>
        <w:t>Регламент (ЕС) 2015/759 на Европейския парламент и на Съвета от 29 април 2015 г. за изменение на Регламент (ЕО) № 223/2009 относно европейската статистика (ОВ L 123, 19.5.2015 г., стр. 90).</w:t>
      </w:r>
    </w:p>
  </w:footnote>
  <w:footnote w:id="6">
    <w:p>
      <w:pPr>
        <w:pStyle w:val="FootnoteText"/>
      </w:pPr>
      <w:r>
        <w:rPr>
          <w:rStyle w:val="FootnoteReference"/>
        </w:rPr>
        <w:footnoteRef/>
      </w:r>
      <w:r>
        <w:t xml:space="preserve"> </w:t>
      </w:r>
      <w:r>
        <w:tab/>
        <w:t>Декрет № 2018-800 от 20 септември 2018 г. за изменение на Декрет № 2009-250 от 3 март 2009 г. относно Органа.</w:t>
      </w:r>
    </w:p>
  </w:footnote>
  <w:footnote w:id="7">
    <w:p>
      <w:pPr>
        <w:pStyle w:val="FootnoteText"/>
      </w:pPr>
      <w:r>
        <w:rPr>
          <w:rStyle w:val="FootnoteReference"/>
        </w:rPr>
        <w:footnoteRef/>
      </w:r>
      <w:r>
        <w:t xml:space="preserve"> </w:t>
      </w:r>
      <w:r>
        <w:tab/>
        <w:t xml:space="preserve">Документът е достъпен на адрес: </w:t>
      </w:r>
      <w:hyperlink r:id="rId3" w:history="1">
        <w:r>
          <w:rPr>
            <w:rStyle w:val="Hyperlink"/>
          </w:rPr>
          <w:t>https://bip.stat.gov.pl/en/law/law-on-public-statistics/</w:t>
        </w:r>
      </w:hyperlink>
      <w:r>
        <w:t xml:space="preserve"> или </w:t>
      </w:r>
      <w:hyperlink r:id="rId4" w:history="1">
        <w:r>
          <w:rPr>
            <w:rStyle w:val="Hyperlink"/>
          </w:rPr>
          <w:t>http://isap.sejm.gov.pl/DetailsServlet?id=wdu19950880439</w:t>
        </w:r>
      </w:hyperlink>
      <w:r>
        <w:t xml:space="preserve"> или </w:t>
      </w:r>
      <w:hyperlink r:id="rId5" w:history="1">
        <w:r>
          <w:rPr>
            <w:rStyle w:val="Hyperlink"/>
          </w:rPr>
          <w:t>http://prawo.sejm.gov.pl/isap.nsf/download.xsp/WDU19950880439/U/D19950439Lj.pdf</w:t>
        </w:r>
      </w:hyperlink>
      <w:r>
        <w:t xml:space="preserve"> </w:t>
      </w:r>
    </w:p>
  </w:footnote>
  <w:footnote w:id="8">
    <w:p>
      <w:pPr>
        <w:pStyle w:val="FootnoteText"/>
      </w:pPr>
      <w:r>
        <w:rPr>
          <w:rStyle w:val="FootnoteReference"/>
        </w:rPr>
        <w:footnoteRef/>
      </w:r>
      <w:r>
        <w:tab/>
      </w:r>
      <w:hyperlink r:id="rId6" w:history="1">
        <w:r>
          <w:rPr>
            <w:rStyle w:val="Hyperlink"/>
          </w:rPr>
          <w:t>http://www.statistics.gr/documents/20181/c5b9264e-815e-4f74-9955-467d14cad474</w:t>
        </w:r>
      </w:hyperlink>
      <w:r>
        <w:t xml:space="preserve"> (само на английски език).</w:t>
      </w:r>
    </w:p>
  </w:footnote>
  <w:footnote w:id="9">
    <w:p>
      <w:pPr>
        <w:spacing w:after="0"/>
        <w:ind w:left="709" w:hanging="709"/>
        <w:rPr>
          <w:sz w:val="18"/>
          <w:szCs w:val="18"/>
        </w:rPr>
      </w:pPr>
      <w:r>
        <w:rPr>
          <w:rStyle w:val="FootnoteReference"/>
          <w:sz w:val="20"/>
          <w:szCs w:val="20"/>
        </w:rPr>
        <w:footnoteRef/>
      </w:r>
      <w:r>
        <w:tab/>
      </w:r>
      <w:hyperlink r:id="rId7" w:history="1">
        <w:r>
          <w:rPr>
            <w:rStyle w:val="Hyperlink"/>
            <w:sz w:val="18"/>
            <w:szCs w:val="18"/>
          </w:rPr>
          <w:t>http://www.scb.se/contentassets/bbe78b2a144143c7955b165f76fb4d52/regeringens-atagande-om-att-skapa-fortroende-for-statistiken.pdf</w:t>
        </w:r>
      </w:hyperlink>
      <w:r>
        <w:rPr>
          <w:sz w:val="18"/>
          <w:szCs w:val="18"/>
        </w:rPr>
        <w:t xml:space="preserve">и </w:t>
      </w:r>
      <w:hyperlink r:id="rId8" w:history="1">
        <w:r>
          <w:rPr>
            <w:rStyle w:val="Hyperlink"/>
            <w:sz w:val="18"/>
            <w:szCs w:val="18"/>
          </w:rPr>
          <w:t>http://www.scb.se/om-scb/samordning-av-europeisk-statistik-i-sverige/regeringens-atagande-om-att-skapa-fortroende-for-statistiken/</w:t>
        </w:r>
      </w:hyperlink>
      <w:r>
        <w:rPr>
          <w:sz w:val="18"/>
          <w:szCs w:val="18"/>
        </w:rPr>
        <w:t xml:space="preserve"> (само на шведски език). </w:t>
      </w:r>
    </w:p>
    <w:p>
      <w:pPr>
        <w:spacing w:after="0"/>
        <w:ind w:left="720"/>
        <w:rPr>
          <w:sz w:val="20"/>
          <w:szCs w:val="20"/>
        </w:rPr>
      </w:pPr>
      <w:r>
        <w:rPr>
          <w:sz w:val="18"/>
          <w:szCs w:val="18"/>
        </w:rPr>
        <w:t xml:space="preserve">Вж. също стр. 28 и 29 от </w:t>
      </w:r>
      <w:r>
        <w:rPr>
          <w:rStyle w:val="A3"/>
          <w:sz w:val="18"/>
          <w:szCs w:val="18"/>
        </w:rPr>
        <w:t xml:space="preserve">годишния доклад за Официалната статистика на Швеция, 2017 г. </w:t>
      </w:r>
      <w:hyperlink r:id="rId9" w:history="1">
        <w:r>
          <w:rPr>
            <w:rStyle w:val="Hyperlink"/>
            <w:sz w:val="18"/>
            <w:szCs w:val="18"/>
          </w:rPr>
          <w:t>http://www.scb.se/contentassets/fd60f41a3abc4d2c8a791e425357ba5b/ov9999_2017a01_br_x43br1802.pdf</w:t>
        </w:r>
      </w:hyperlink>
      <w:r>
        <w:rPr>
          <w:sz w:val="18"/>
          <w:szCs w:val="18"/>
        </w:rPr>
        <w:t xml:space="preserve"> </w:t>
      </w:r>
      <w:r>
        <w:rPr>
          <w:rStyle w:val="A3"/>
          <w:sz w:val="18"/>
          <w:szCs w:val="18"/>
        </w:rPr>
        <w:t>(о</w:t>
      </w:r>
      <w:r>
        <w:rPr>
          <w:sz w:val="18"/>
          <w:szCs w:val="18"/>
        </w:rPr>
        <w:t>писание на ангажимента на английски език</w:t>
      </w:r>
      <w:r>
        <w:rPr>
          <w:rStyle w:val="A3"/>
          <w:sz w:val="18"/>
          <w:szCs w:val="18"/>
        </w:rPr>
        <w:t>).</w:t>
      </w:r>
    </w:p>
  </w:footnote>
  <w:footnote w:id="10">
    <w:p>
      <w:pPr>
        <w:pStyle w:val="FootnoteText"/>
      </w:pPr>
      <w:r>
        <w:rPr>
          <w:rStyle w:val="FootnoteReference"/>
        </w:rPr>
        <w:footnoteRef/>
      </w:r>
      <w:r>
        <w:tab/>
      </w:r>
      <w:hyperlink r:id="rId10" w:history="1">
        <w:r>
          <w:rPr>
            <w:rStyle w:val="Hyperlink"/>
          </w:rPr>
          <w:t>http://www.stat.si/StatWeb/en/News/Index/6458</w:t>
        </w:r>
      </w:hyperlink>
      <w:r>
        <w:rPr>
          <w:rStyle w:val="Hyperlink"/>
        </w:rPr>
        <w:t xml:space="preserve"> </w:t>
      </w:r>
      <w:r>
        <w:t>(само на английски и словенски езици).</w:t>
      </w:r>
    </w:p>
  </w:footnote>
  <w:footnote w:id="11">
    <w:p>
      <w:pPr>
        <w:pStyle w:val="FootnoteText"/>
        <w:rPr>
          <w:szCs w:val="24"/>
        </w:rPr>
      </w:pPr>
      <w:r>
        <w:rPr>
          <w:rStyle w:val="FootnoteReference"/>
        </w:rPr>
        <w:footnoteRef/>
      </w:r>
      <w:r>
        <w:tab/>
      </w:r>
      <w:hyperlink r:id="rId11" w:history="1">
        <w:r>
          <w:rPr>
            <w:rStyle w:val="Hyperlink"/>
          </w:rPr>
          <w:t>http://cso.ie/en/media/csoie/aboutus/documents/CoCS.pdf</w:t>
        </w:r>
      </w:hyperlink>
      <w:r>
        <w:rPr>
          <w:color w:val="000000"/>
        </w:rPr>
        <w:t xml:space="preserve"> </w:t>
      </w:r>
      <w:r>
        <w:t xml:space="preserve">(само на английски език). </w:t>
      </w:r>
    </w:p>
  </w:footnote>
  <w:footnote w:id="12">
    <w:p>
      <w:pPr>
        <w:pStyle w:val="FootnoteText"/>
      </w:pPr>
      <w:r>
        <w:rPr>
          <w:rStyle w:val="FootnoteReference"/>
        </w:rPr>
        <w:footnoteRef/>
      </w:r>
      <w:r>
        <w:tab/>
      </w:r>
      <w:hyperlink r:id="rId12" w:history="1">
        <w:r>
          <w:rPr>
            <w:rStyle w:val="Hyperlink"/>
          </w:rPr>
          <w:t>https://statbel.fgov.be/en/about-statbel/quality/commitment-confidence</w:t>
        </w:r>
      </w:hyperlink>
      <w:r>
        <w:t xml:space="preserve"> (само на английски, френски, немски и нидерландски езици). </w:t>
      </w:r>
    </w:p>
  </w:footnote>
  <w:footnote w:id="13">
    <w:p>
      <w:pPr>
        <w:pStyle w:val="FootnoteText"/>
        <w:rPr>
          <w:sz w:val="18"/>
          <w:szCs w:val="18"/>
        </w:rPr>
      </w:pPr>
      <w:r>
        <w:rPr>
          <w:rStyle w:val="FootnoteReference"/>
        </w:rPr>
        <w:footnoteRef/>
      </w:r>
      <w:r>
        <w:rPr>
          <w:color w:val="1F497D"/>
        </w:rPr>
        <w:t xml:space="preserve"> </w:t>
      </w:r>
      <w:r>
        <w:rPr>
          <w:color w:val="1F497D"/>
        </w:rPr>
        <w:tab/>
      </w:r>
      <w:hyperlink r:id="rId13"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(само на румънски език).</w:t>
      </w:r>
    </w:p>
  </w:footnote>
  <w:footnote w:id="14">
    <w:p>
      <w:pPr>
        <w:pStyle w:val="FootnoteText"/>
        <w:jc w:val="left"/>
        <w:rPr>
          <w:szCs w:val="24"/>
        </w:rPr>
      </w:pPr>
      <w:r>
        <w:rPr>
          <w:rStyle w:val="FootnoteReference"/>
        </w:rPr>
        <w:footnoteRef/>
      </w:r>
      <w:r>
        <w:t xml:space="preserve"> </w:t>
      </w:r>
      <w:r>
        <w:tab/>
      </w:r>
      <w:hyperlink r:id="rId14" w:history="1">
        <w:r>
          <w:rPr>
            <w:rStyle w:val="Hyperlink"/>
          </w:rPr>
          <w:t>https://nso.gov.mt/en/nso/Pages/Commitment-on-Confidence.aspx</w:t>
        </w:r>
      </w:hyperlink>
      <w:r>
        <w:t xml:space="preserve"> и </w:t>
      </w:r>
      <w:hyperlink r:id="rId15" w:history="1">
        <w:r>
          <w:rPr>
            <w:rStyle w:val="Hyperlink"/>
          </w:rPr>
          <w:t>https://msa.gov.mt/en/public_information/Pages/Commitment-on-Confidence.aspx</w:t>
        </w:r>
      </w:hyperlink>
      <w:r>
        <w:t xml:space="preserve"> (само на английски език). </w:t>
      </w:r>
    </w:p>
  </w:footnote>
  <w:footnote w:id="15">
    <w:p>
      <w:pPr>
        <w:pStyle w:val="FootnoteText"/>
      </w:pPr>
      <w:r>
        <w:rPr>
          <w:rStyle w:val="FootnoteReference"/>
        </w:rPr>
        <w:footnoteRef/>
      </w:r>
      <w:r>
        <w:t xml:space="preserve"> </w:t>
      </w:r>
      <w:r>
        <w:tab/>
      </w:r>
      <w:hyperlink r:id="rId16" w:history="1">
        <w:r>
          <w:rPr>
            <w:rStyle w:val="Hyperlink"/>
          </w:rPr>
          <w:t>https://www.czso.cz/csu/czso/commitment-on-confidence-in-statistics-in-the-czech-republic</w:t>
        </w:r>
      </w:hyperlink>
      <w:r>
        <w:t xml:space="preserve"> </w:t>
      </w:r>
    </w:p>
  </w:footnote>
  <w:footnote w:id="16">
    <w:p>
      <w:pPr>
        <w:pStyle w:val="FootnoteText"/>
      </w:pPr>
      <w:r>
        <w:rPr>
          <w:rStyle w:val="FootnoteReference"/>
        </w:rPr>
        <w:footnoteRef/>
      </w:r>
      <w:r>
        <w:t xml:space="preserve"> </w:t>
      </w:r>
      <w:r>
        <w:tab/>
        <w:t>Решение № 85.964</w:t>
      </w:r>
      <w:r>
        <w:rPr>
          <w:sz w:val="24"/>
          <w:szCs w:val="24"/>
        </w:rPr>
        <w:t>.</w:t>
      </w:r>
    </w:p>
  </w:footnote>
  <w:footnote w:id="17">
    <w:p>
      <w:pPr>
        <w:pStyle w:val="FootnoteText"/>
      </w:pPr>
      <w:r>
        <w:rPr>
          <w:rStyle w:val="FootnoteReference"/>
        </w:rPr>
        <w:footnoteRef/>
      </w:r>
      <w:r>
        <w:t xml:space="preserve"> </w:t>
      </w:r>
      <w:r>
        <w:tab/>
      </w:r>
      <w:hyperlink r:id="rId17" w:history="1">
        <w:r>
          <w:rPr>
            <w:rStyle w:val="Hyperlink"/>
          </w:rPr>
          <w:t>https://www.stjornartidindi.is/Advert.aspx?RecordID=de627e49-2146-45cb-b1eb-969072b8deac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0074F3-7152-44B5-9337-DDF456E64262"/>
    <w:docVar w:name="LW_COVERPAGE_TYPE" w:val="1"/>
    <w:docVar w:name="LW_CROSSREFERENCE" w:val="&lt;UNUSED&gt;"/>
    <w:docVar w:name="LW_DocType" w:val="NORMAL"/>
    <w:docVar w:name="LW_EMISSION" w:val="3.7.2020"/>
    <w:docVar w:name="LW_EMISSION_ISODATE" w:val="2020-07-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8222?\u1072?\u1085?\u1075?\u1072?\u1078?\u1080?\u1084?\u1077?\u1085?\u1090?\u1080?\u1090?\u1077? \u1074?\u1098?\u1074? \u1074?\u1088?\u1098?\u1079?\u1082?\u1072? \u1089? \u1076?\u1086?\u1074?\u1077?\u1088?\u1080?\u1077?\u1090?\u1086? \u1074? \u1089?\u1090?\u1072?\u1090?\u1080?\u1089?\u1090?\u1080?\u1082?\u1072?\u1090?\u1072?\u8220?, \u1087?\u1086?\u1077?\u1090?\u1080? \u1086?\u1090? \u1076?\u1098?\u1088?\u1078?\u1072?\u1074?\u1080?\u1090?\u1077? \u1095?\u1083?\u1077?\u1085?\u1082?\u1080? \u1089?\u1098?\u1075?\u1083?\u1072?\u1089?\u1085?\u1086? \u1080?\u1079?\u1080?\u1089?\u1082?\u1074?\u1072?\u1085?\u1080?\u1103?\u1090?\u1072? \u1085?\u1072? \u1056?\u1077?\u1075?\u1083?\u1072?\u1084?\u1077?\u1085?\u1090? (\u1045?\u1054?) \u8470? 223/2009 \u1085?\u1072? \u1045?\u1074?\u1088?\u1086?\u1087?\u1077?\u1081?\u1089?\u1082?\u1080?\u1103? \u1087?\u1072?\u1088?\u1083?\u1072?\u1084?\u1077?\u1085?\u1090? \u1080? \u1085?\u1072? \u1057?\u1098?\u1074?\u1077?\u1090?\u1072? \u1086?\u1090? 11 \u1084?\u1072?\u1088?\u1090? 2009 \u1075?.&lt;/FMT&gt;_x000b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bg-B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bg-B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b.se/om-scb/samordning-av-europeisk-statistik-i-sverige/regeringens-atagande-om-att-skapa-fortroende-for-statistiken/" TargetMode="External"/><Relationship Id="rId13" Type="http://schemas.openxmlformats.org/officeDocument/2006/relationships/hyperlink" Target="http://www.insse.ro/cms/files/eurostat/angajament_de_sprijinirea_credibilitatii_statisticii_oficiale_nationale.pdf" TargetMode="External"/><Relationship Id="rId3" Type="http://schemas.openxmlformats.org/officeDocument/2006/relationships/hyperlink" Target="https://bip.stat.gov.pl/en/law/law-on-public-statistics/" TargetMode="External"/><Relationship Id="rId7" Type="http://schemas.openxmlformats.org/officeDocument/2006/relationships/hyperlink" Target="http://www.scb.se/contentassets/bbe78b2a144143c7955b165f76fb4d52/regeringens-atagande-om-att-skapa-fortroende-for-statistiken.pdf" TargetMode="External"/><Relationship Id="rId12" Type="http://schemas.openxmlformats.org/officeDocument/2006/relationships/hyperlink" Target="https://statbel.fgov.be/en/about-statbel/quality/commitment-confidence" TargetMode="External"/><Relationship Id="rId17" Type="http://schemas.openxmlformats.org/officeDocument/2006/relationships/hyperlink" Target="https://www.stjornartidindi.is/Advert.aspx?RecordID=de627e49-2146-45cb-b1eb-969072b8deac" TargetMode="External"/><Relationship Id="rId2" Type="http://schemas.openxmlformats.org/officeDocument/2006/relationships/hyperlink" Target="http://ec.europa.eu/eurostat/web/products-manuals-and-guidelines/-/KS-32-11-955" TargetMode="External"/><Relationship Id="rId16" Type="http://schemas.openxmlformats.org/officeDocument/2006/relationships/hyperlink" Target="https://www.czso.cz/csu/czso/commitment-on-confidence-in-statistics-in-the-czech-republic" TargetMode="External"/><Relationship Id="rId1" Type="http://schemas.openxmlformats.org/officeDocument/2006/relationships/hyperlink" Target="https://eur-lex.europa.eu/legal-content/BG/TXT/?qid=1574866259293&amp;uri=CELEX:52018DC0516" TargetMode="External"/><Relationship Id="rId6" Type="http://schemas.openxmlformats.org/officeDocument/2006/relationships/hyperlink" Target="http://www.statistics.gr/documents/20181/c5b9264e-815e-4f74-9955-467d14cad474" TargetMode="External"/><Relationship Id="rId11" Type="http://schemas.openxmlformats.org/officeDocument/2006/relationships/hyperlink" Target="http://cso.ie/en/media/csoie/aboutus/documents/CoCS.pdf" TargetMode="External"/><Relationship Id="rId5" Type="http://schemas.openxmlformats.org/officeDocument/2006/relationships/hyperlink" Target="http://prawo.sejm.gov.pl/isap.nsf/download.xsp/WDU19950880439/U/D19950439Lj.pdf" TargetMode="External"/><Relationship Id="rId15" Type="http://schemas.openxmlformats.org/officeDocument/2006/relationships/hyperlink" Target="https://msa.gov.mt/en/public_information/Pages/Commitment-on-Confidence.aspx" TargetMode="External"/><Relationship Id="rId10" Type="http://schemas.openxmlformats.org/officeDocument/2006/relationships/hyperlink" Target="http://www.stat.si/StatWeb/en/News/Index/6458" TargetMode="External"/><Relationship Id="rId4" Type="http://schemas.openxmlformats.org/officeDocument/2006/relationships/hyperlink" Target="http://isap.sejm.gov.pl/DetailsServlet?id=wdu19950880439" TargetMode="External"/><Relationship Id="rId9" Type="http://schemas.openxmlformats.org/officeDocument/2006/relationships/hyperlink" Target="http://www.scb.se/contentassets/fd60f41a3abc4d2c8a791e425357ba5b/ov9999_2017a01_br_x43br1802.pdf" TargetMode="External"/><Relationship Id="rId14" Type="http://schemas.openxmlformats.org/officeDocument/2006/relationships/hyperlink" Target="https://nso.gov.mt/en/nso/Pages/Commitment-on-Confide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AF6917-EA43-45FE-9562-C0F13A4F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2417</Words>
  <Characters>14991</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2020-06-04T09:22:00Z</dcterms:created>
  <dcterms:modified xsi:type="dcterms:W3CDTF">2020-06-26T08:47:00Z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