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250EA47-970E-4619-B96F-07844D96018F" style="width:450.25pt;height:320.25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Default"/>
        <w:rPr>
          <w:rFonts w:ascii="Times New Roman" w:hAnsi="Times New Roman" w:cs="Times New Roman"/>
          <w:b/>
          <w:bCs/>
          <w:noProof/>
          <w:color w:val="auto"/>
          <w:u w:val="single"/>
        </w:rPr>
      </w:pPr>
      <w:bookmarkStart w:id="1" w:name="_GoBack"/>
      <w:bookmarkEnd w:id="1"/>
      <w:r>
        <w:rPr>
          <w:rFonts w:ascii="Times New Roman" w:hAnsi="Times New Roman"/>
          <w:b/>
          <w:bCs/>
          <w:noProof/>
          <w:color w:val="auto"/>
          <w:u w:val="single"/>
        </w:rPr>
        <w:lastRenderedPageBreak/>
        <w:t xml:space="preserve">Въведение </w:t>
      </w:r>
    </w:p>
    <w:p>
      <w:pPr>
        <w:pStyle w:val="Default"/>
        <w:rPr>
          <w:rFonts w:ascii="Times New Roman" w:hAnsi="Times New Roman" w:cs="Times New Roman"/>
          <w:noProof/>
          <w:color w:val="auto"/>
          <w:u w:val="single"/>
          <w:lang w:val="en-US"/>
        </w:rPr>
      </w:pPr>
    </w:p>
    <w:p>
      <w:pPr>
        <w:pStyle w:val="Default"/>
        <w:jc w:val="both"/>
        <w:rPr>
          <w:rFonts w:ascii="Times New Roman" w:hAnsi="Times New Roman" w:cs="Times New Roman"/>
          <w:noProof/>
          <w:color w:val="auto"/>
        </w:rPr>
      </w:pPr>
      <w:r>
        <w:rPr>
          <w:rFonts w:ascii="Times New Roman" w:hAnsi="Times New Roman"/>
          <w:noProof/>
          <w:color w:val="auto"/>
        </w:rPr>
        <w:t>С Решението за отвъдморско асоцииране</w:t>
      </w:r>
      <w:r>
        <w:rPr>
          <w:rStyle w:val="FootnoteReference"/>
          <w:rFonts w:ascii="Times New Roman" w:hAnsi="Times New Roman" w:cs="Times New Roman"/>
          <w:noProof/>
          <w:color w:val="auto"/>
          <w:lang w:val="en-US"/>
        </w:rPr>
        <w:footnoteReference w:id="1"/>
      </w:r>
      <w:r>
        <w:rPr>
          <w:rFonts w:ascii="Times New Roman" w:hAnsi="Times New Roman"/>
          <w:noProof/>
          <w:color w:val="auto"/>
        </w:rPr>
        <w:t xml:space="preserve"> се създава правната рамка за отношенията между отвъдморските страни и територии</w:t>
      </w:r>
      <w:r>
        <w:rPr>
          <w:rStyle w:val="FootnoteReference"/>
          <w:rFonts w:ascii="Times New Roman" w:hAnsi="Times New Roman" w:cs="Times New Roman"/>
          <w:noProof/>
          <w:color w:val="auto"/>
          <w:lang w:val="en-US"/>
        </w:rPr>
        <w:footnoteReference w:id="2"/>
      </w:r>
      <w:r>
        <w:rPr>
          <w:rFonts w:ascii="Times New Roman" w:hAnsi="Times New Roman"/>
          <w:noProof/>
          <w:color w:val="auto"/>
        </w:rPr>
        <w:t xml:space="preserve"> (ОСТ), държавите членки, с които те са свързани, и Европейския съюз. В съответствие с Договора за функционирането на Европейския съюз (ДФЕС)</w:t>
      </w:r>
      <w:r>
        <w:rPr>
          <w:rStyle w:val="FootnoteReference"/>
          <w:rFonts w:ascii="Times New Roman" w:hAnsi="Times New Roman" w:cs="Times New Roman"/>
          <w:noProof/>
          <w:color w:val="auto"/>
          <w:lang w:val="en-US"/>
        </w:rPr>
        <w:footnoteReference w:id="3"/>
      </w:r>
      <w:r>
        <w:rPr>
          <w:rFonts w:ascii="Times New Roman" w:hAnsi="Times New Roman"/>
          <w:noProof/>
          <w:color w:val="auto"/>
        </w:rPr>
        <w:t xml:space="preserve"> целта на Решението за отвъдморско асоцииране е да се подкрепи устойчивото развитие на ОСТ и да се утвърдят ценностите на Съюза по света. </w:t>
      </w:r>
    </w:p>
    <w:p>
      <w:pPr>
        <w:pStyle w:val="Default"/>
        <w:jc w:val="both"/>
        <w:rPr>
          <w:rFonts w:ascii="Times New Roman" w:hAnsi="Times New Roman" w:cs="Times New Roman"/>
          <w:noProof/>
          <w:color w:val="auto"/>
        </w:rPr>
      </w:pPr>
      <w:r>
        <w:rPr>
          <w:rFonts w:ascii="Times New Roman" w:hAnsi="Times New Roman"/>
          <w:noProof/>
        </w:rPr>
        <w:t xml:space="preserve"> </w:t>
      </w:r>
    </w:p>
    <w:p>
      <w:pPr>
        <w:pStyle w:val="Default"/>
        <w:jc w:val="both"/>
        <w:rPr>
          <w:rFonts w:ascii="Times New Roman" w:hAnsi="Times New Roman" w:cs="Times New Roman"/>
          <w:noProof/>
          <w:color w:val="auto"/>
        </w:rPr>
      </w:pPr>
      <w:r>
        <w:rPr>
          <w:rFonts w:ascii="Times New Roman" w:hAnsi="Times New Roman"/>
          <w:noProof/>
          <w:color w:val="auto"/>
        </w:rPr>
        <w:t>Финансовата помощ за ОСТ се предоставя основно чрез Европейския фонд за развитие (ЕФР), като в рамките на 11-ия ЕФР за програмния период 2014—2020 г. за тях са предвидени 364,5 милиона евро</w:t>
      </w:r>
      <w:r>
        <w:rPr>
          <w:rStyle w:val="FootnoteReference"/>
          <w:rFonts w:ascii="Times New Roman" w:hAnsi="Times New Roman" w:cs="Times New Roman"/>
          <w:noProof/>
          <w:color w:val="auto"/>
          <w:lang w:val="en-US"/>
        </w:rPr>
        <w:footnoteReference w:id="4"/>
      </w:r>
      <w:r>
        <w:rPr>
          <w:rFonts w:ascii="Times New Roman" w:hAnsi="Times New Roman"/>
          <w:noProof/>
          <w:color w:val="auto"/>
        </w:rPr>
        <w:t xml:space="preserv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 xml:space="preserve">В съответствие с член 91 от Решението за отвъдморско асоцииране в настоящия доклад се представя напредъкът, постигнат във връзка с усвояването на средствата за OCT от 11-ия ЕФР за 2019 г.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b/>
          <w:bCs/>
          <w:noProof/>
          <w:color w:val="auto"/>
          <w:u w:val="single"/>
        </w:rPr>
      </w:pPr>
      <w:r>
        <w:rPr>
          <w:rFonts w:ascii="Times New Roman" w:hAnsi="Times New Roman"/>
          <w:b/>
          <w:bCs/>
          <w:noProof/>
          <w:color w:val="auto"/>
          <w:u w:val="single"/>
        </w:rPr>
        <w:t xml:space="preserve">Финансови средства по линия на 11-ия ЕФР—ОСТ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 xml:space="preserve">В съответствие с приложение 2 от Решението за отвъдморско асоцииране заделените за ОСТ средства от 11-ия ЕФР се разпределят за периода 2014—2020 г., както следва: </w:t>
      </w:r>
    </w:p>
    <w:p>
      <w:pPr>
        <w:pStyle w:val="Default"/>
        <w:jc w:val="both"/>
        <w:rPr>
          <w:rFonts w:ascii="Times New Roman" w:hAnsi="Times New Roman" w:cs="Times New Roman"/>
          <w:noProof/>
          <w:color w:val="auto"/>
          <w:sz w:val="20"/>
        </w:rPr>
      </w:pPr>
    </w:p>
    <w:p>
      <w:pPr>
        <w:pStyle w:val="Default"/>
        <w:numPr>
          <w:ilvl w:val="0"/>
          <w:numId w:val="1"/>
        </w:numPr>
        <w:spacing w:after="120"/>
        <w:ind w:left="714" w:hanging="357"/>
        <w:jc w:val="both"/>
        <w:rPr>
          <w:rFonts w:ascii="Times New Roman" w:hAnsi="Times New Roman" w:cs="Times New Roman"/>
          <w:noProof/>
          <w:color w:val="auto"/>
        </w:rPr>
      </w:pPr>
      <w:r>
        <w:rPr>
          <w:rFonts w:ascii="Times New Roman" w:hAnsi="Times New Roman"/>
          <w:noProof/>
          <w:color w:val="auto"/>
        </w:rPr>
        <w:t xml:space="preserve">229,5 милиона евро за териториално (двустранно) разпределение; </w:t>
      </w:r>
    </w:p>
    <w:p>
      <w:pPr>
        <w:pStyle w:val="Default"/>
        <w:numPr>
          <w:ilvl w:val="0"/>
          <w:numId w:val="1"/>
        </w:numPr>
        <w:spacing w:after="120"/>
        <w:ind w:left="714" w:hanging="357"/>
        <w:jc w:val="both"/>
        <w:rPr>
          <w:rFonts w:ascii="Times New Roman" w:hAnsi="Times New Roman" w:cs="Times New Roman"/>
          <w:noProof/>
          <w:color w:val="auto"/>
        </w:rPr>
      </w:pPr>
      <w:r>
        <w:rPr>
          <w:rFonts w:ascii="Times New Roman" w:hAnsi="Times New Roman"/>
          <w:noProof/>
          <w:color w:val="auto"/>
        </w:rPr>
        <w:t xml:space="preserve">100 милиона евро за сътрудничество на регионално ниво и с участието на всички ОСТ; </w:t>
      </w:r>
    </w:p>
    <w:p>
      <w:pPr>
        <w:pStyle w:val="Default"/>
        <w:numPr>
          <w:ilvl w:val="0"/>
          <w:numId w:val="1"/>
        </w:numPr>
        <w:spacing w:after="120"/>
        <w:ind w:left="714" w:hanging="357"/>
        <w:jc w:val="both"/>
        <w:rPr>
          <w:rFonts w:ascii="Times New Roman" w:hAnsi="Times New Roman" w:cs="Times New Roman"/>
          <w:noProof/>
          <w:color w:val="auto"/>
        </w:rPr>
      </w:pPr>
      <w:r>
        <w:rPr>
          <w:rFonts w:ascii="Times New Roman" w:hAnsi="Times New Roman"/>
          <w:noProof/>
          <w:color w:val="auto"/>
        </w:rPr>
        <w:t xml:space="preserve">21,5 милиона евро за финансиране на хуманитарна и спешна помощ; </w:t>
      </w:r>
    </w:p>
    <w:p>
      <w:pPr>
        <w:pStyle w:val="Default"/>
        <w:numPr>
          <w:ilvl w:val="0"/>
          <w:numId w:val="1"/>
        </w:numPr>
        <w:spacing w:after="120"/>
        <w:ind w:left="714" w:hanging="357"/>
        <w:jc w:val="both"/>
        <w:rPr>
          <w:rFonts w:ascii="Times New Roman" w:hAnsi="Times New Roman" w:cs="Times New Roman"/>
          <w:noProof/>
          <w:color w:val="auto"/>
        </w:rPr>
      </w:pPr>
      <w:r>
        <w:rPr>
          <w:rFonts w:ascii="Times New Roman" w:hAnsi="Times New Roman"/>
          <w:noProof/>
          <w:color w:val="auto"/>
        </w:rPr>
        <w:t xml:space="preserve">5 милиона евро за финансиране на лихвени субсидии и техническа помощ във връзка с Инвестиционния механизъм за ОСТ; </w:t>
      </w:r>
    </w:p>
    <w:p>
      <w:pPr>
        <w:pStyle w:val="Default"/>
        <w:numPr>
          <w:ilvl w:val="0"/>
          <w:numId w:val="1"/>
        </w:numPr>
        <w:spacing w:after="120"/>
        <w:ind w:left="714" w:hanging="357"/>
        <w:jc w:val="both"/>
        <w:rPr>
          <w:rFonts w:ascii="Times New Roman" w:hAnsi="Times New Roman" w:cs="Times New Roman"/>
          <w:noProof/>
          <w:color w:val="auto"/>
        </w:rPr>
      </w:pPr>
      <w:r>
        <w:rPr>
          <w:rFonts w:ascii="Times New Roman" w:hAnsi="Times New Roman"/>
          <w:noProof/>
          <w:color w:val="auto"/>
        </w:rPr>
        <w:t xml:space="preserve">8,5 милиона евро за изследвания и техническа помощ. </w:t>
      </w:r>
    </w:p>
    <w:p>
      <w:pPr>
        <w:pStyle w:val="Default"/>
        <w:jc w:val="both"/>
        <w:rPr>
          <w:rFonts w:ascii="Times New Roman" w:hAnsi="Times New Roman" w:cs="Times New Roman"/>
          <w:noProof/>
          <w:color w:val="auto"/>
          <w:sz w:val="18"/>
        </w:rPr>
      </w:pPr>
    </w:p>
    <w:p>
      <w:pPr>
        <w:spacing w:line="240" w:lineRule="auto"/>
        <w:jc w:val="both"/>
        <w:rPr>
          <w:rFonts w:ascii="Times New Roman" w:hAnsi="Times New Roman" w:cs="Times New Roman"/>
          <w:noProof/>
          <w:sz w:val="24"/>
          <w:szCs w:val="24"/>
        </w:rPr>
      </w:pPr>
      <w:r>
        <w:rPr>
          <w:rFonts w:ascii="Times New Roman" w:hAnsi="Times New Roman"/>
          <w:bCs/>
          <w:noProof/>
          <w:sz w:val="24"/>
          <w:szCs w:val="24"/>
        </w:rPr>
        <w:t xml:space="preserve">В съответствие с критериите, определени в Решението, </w:t>
      </w:r>
      <w:r>
        <w:rPr>
          <w:rFonts w:ascii="Times New Roman" w:hAnsi="Times New Roman"/>
          <w:b/>
          <w:bCs/>
          <w:noProof/>
          <w:sz w:val="24"/>
          <w:szCs w:val="24"/>
        </w:rPr>
        <w:t>шестнадесет OCT се считат за допустими за териториално разпределение по линия на 11-ия ЕФР</w:t>
      </w:r>
      <w:r>
        <w:rPr>
          <w:rFonts w:ascii="Times New Roman" w:hAnsi="Times New Roman"/>
          <w:bCs/>
          <w:noProof/>
          <w:sz w:val="24"/>
          <w:szCs w:val="24"/>
        </w:rPr>
        <w:t xml:space="preserve">. </w:t>
      </w:r>
      <w:r>
        <w:rPr>
          <w:rFonts w:ascii="Times New Roman" w:hAnsi="Times New Roman"/>
          <w:noProof/>
          <w:sz w:val="24"/>
          <w:szCs w:val="24"/>
        </w:rPr>
        <w:t xml:space="preserve">Следва да се </w:t>
      </w:r>
      <w:r>
        <w:rPr>
          <w:rFonts w:ascii="Times New Roman" w:hAnsi="Times New Roman"/>
          <w:noProof/>
          <w:sz w:val="24"/>
          <w:szCs w:val="24"/>
        </w:rPr>
        <w:lastRenderedPageBreak/>
        <w:t>отбележи, че Гренландия се финансира пряко от общия бюджет на Съюза въз основа на Решението за Гренландия</w:t>
      </w:r>
      <w:r>
        <w:rPr>
          <w:rStyle w:val="FootnoteReference"/>
          <w:rFonts w:ascii="Times New Roman" w:hAnsi="Times New Roman" w:cs="Times New Roman"/>
          <w:noProof/>
          <w:sz w:val="24"/>
          <w:szCs w:val="24"/>
          <w:lang w:val="en-US"/>
        </w:rPr>
        <w:footnoteReference w:id="5"/>
      </w:r>
      <w:r>
        <w:rPr>
          <w:rFonts w:ascii="Times New Roman" w:hAnsi="Times New Roman"/>
          <w:noProof/>
          <w:sz w:val="24"/>
          <w:szCs w:val="24"/>
        </w:rPr>
        <w:t>.</w:t>
      </w:r>
    </w:p>
    <w:p>
      <w:pPr>
        <w:autoSpaceDE w:val="0"/>
        <w:autoSpaceDN w:val="0"/>
        <w:adjustRightInd w:val="0"/>
        <w:spacing w:after="0" w:line="240" w:lineRule="auto"/>
        <w:jc w:val="both"/>
        <w:rPr>
          <w:rFonts w:ascii="Times New Roman" w:hAnsi="Times New Roman" w:cs="Times New Roman"/>
          <w:noProof/>
          <w:color w:val="000000"/>
          <w:spacing w:val="-4"/>
          <w:sz w:val="24"/>
          <w:szCs w:val="24"/>
        </w:rPr>
      </w:pPr>
      <w:r>
        <w:rPr>
          <w:rFonts w:ascii="Times New Roman" w:hAnsi="Times New Roman"/>
          <w:b/>
          <w:bCs/>
          <w:noProof/>
          <w:color w:val="000000"/>
          <w:spacing w:val="-4"/>
          <w:sz w:val="24"/>
          <w:szCs w:val="24"/>
        </w:rPr>
        <w:t xml:space="preserve">Трите регионални програми </w:t>
      </w:r>
      <w:r>
        <w:rPr>
          <w:rFonts w:ascii="Times New Roman" w:hAnsi="Times New Roman"/>
          <w:noProof/>
          <w:color w:val="000000"/>
          <w:spacing w:val="-4"/>
          <w:sz w:val="24"/>
          <w:szCs w:val="24"/>
        </w:rPr>
        <w:t xml:space="preserve">имат за цел да се насърчи сътрудничеството между ОСТ от един и същ регион, изправени пред сходни предизвикателства и имащи сходни приоритети. С действията, финансирани в рамките на регионалното разпределение, се подпомагат разработването и изпълнението на всеобхватни регионални програми и проекти за справяне с тези предизвикателства. Насърчават се партньорства с други източници на финансиране, включително други финансови инструменти на Европейския съюз, чрез сътрудничество със съседни държави от Африка, Карибите и Тихоокеанския басейн (АКТБ) и/или трети държави, както и с най-отдалечените региони на ЕС.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pStyle w:val="Default"/>
        <w:jc w:val="both"/>
        <w:rPr>
          <w:rFonts w:ascii="Times New Roman" w:hAnsi="Times New Roman" w:cs="Times New Roman"/>
          <w:noProof/>
        </w:rPr>
      </w:pPr>
      <w:r>
        <w:rPr>
          <w:rFonts w:ascii="Times New Roman" w:hAnsi="Times New Roman"/>
          <w:noProof/>
        </w:rPr>
        <w:t xml:space="preserve">В допълнение към териториалните и регионалните програми </w:t>
      </w:r>
      <w:r>
        <w:rPr>
          <w:rFonts w:ascii="Times New Roman" w:hAnsi="Times New Roman"/>
          <w:b/>
          <w:bCs/>
          <w:noProof/>
        </w:rPr>
        <w:t xml:space="preserve">тематичната програма </w:t>
      </w:r>
      <w:r>
        <w:rPr>
          <w:rFonts w:ascii="Times New Roman" w:hAnsi="Times New Roman"/>
          <w:noProof/>
        </w:rPr>
        <w:t>— единствената програма за всички ОСТ по линия на 11-ия ЕФР, насърчава сътрудничеството между ОСТ.</w:t>
      </w:r>
    </w:p>
    <w:p>
      <w:pPr>
        <w:pStyle w:val="Default"/>
        <w:rPr>
          <w:rFonts w:ascii="Times New Roman" w:hAnsi="Times New Roman" w:cs="Times New Roman"/>
          <w:noProof/>
        </w:rPr>
      </w:pPr>
    </w:p>
    <w:p>
      <w:pPr>
        <w:autoSpaceDE w:val="0"/>
        <w:autoSpaceDN w:val="0"/>
        <w:adjustRightInd w:val="0"/>
        <w:spacing w:after="0" w:line="240" w:lineRule="auto"/>
        <w:jc w:val="both"/>
        <w:rPr>
          <w:rFonts w:ascii="Times New Roman" w:hAnsi="Times New Roman" w:cs="Times New Roman"/>
          <w:b/>
          <w:bCs/>
          <w:noProof/>
          <w:color w:val="000000"/>
          <w:sz w:val="24"/>
          <w:szCs w:val="24"/>
          <w:u w:val="single"/>
        </w:rPr>
      </w:pPr>
      <w:r>
        <w:rPr>
          <w:rFonts w:ascii="Times New Roman" w:hAnsi="Times New Roman"/>
          <w:b/>
          <w:bCs/>
          <w:noProof/>
          <w:color w:val="000000"/>
          <w:sz w:val="24"/>
          <w:szCs w:val="24"/>
          <w:u w:val="single"/>
        </w:rPr>
        <w:t xml:space="preserve">Процес на програмиране за 11-ия ЕФР—ОСТ </w:t>
      </w:r>
    </w:p>
    <w:p>
      <w:pPr>
        <w:autoSpaceDE w:val="0"/>
        <w:autoSpaceDN w:val="0"/>
        <w:adjustRightInd w:val="0"/>
        <w:spacing w:after="0" w:line="240" w:lineRule="auto"/>
        <w:jc w:val="both"/>
        <w:rPr>
          <w:rFonts w:ascii="Times New Roman" w:hAnsi="Times New Roman" w:cs="Times New Roman"/>
          <w:noProof/>
          <w:color w:val="000000"/>
          <w:sz w:val="24"/>
          <w:szCs w:val="24"/>
          <w:u w:val="single"/>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В част четвърта от Решението за отвъдморско асоцииране се установява </w:t>
      </w:r>
      <w:r>
        <w:rPr>
          <w:rFonts w:ascii="Times New Roman" w:hAnsi="Times New Roman"/>
          <w:b/>
          <w:bCs/>
          <w:noProof/>
          <w:color w:val="000000"/>
          <w:sz w:val="24"/>
          <w:szCs w:val="24"/>
        </w:rPr>
        <w:t>процес на програмиране, който е специфичен за ОСТ</w:t>
      </w:r>
      <w:r>
        <w:rPr>
          <w:rFonts w:ascii="Times New Roman" w:hAnsi="Times New Roman"/>
          <w:noProof/>
          <w:color w:val="000000"/>
          <w:sz w:val="24"/>
          <w:szCs w:val="24"/>
        </w:rPr>
        <w:t>. За разлика от държавите от АКТБ, програмирането не се основава на национални индикативни програми, а е организирано около еднократно действие, а именно изработването на програмен документ, който се състои от два компонента:</w:t>
      </w:r>
      <w:r>
        <w:rPr>
          <w:rFonts w:ascii="Times New Roman" w:hAnsi="Times New Roman"/>
          <w:bCs/>
          <w:noProof/>
          <w:color w:val="000000"/>
          <w:sz w:val="24"/>
          <w:szCs w:val="24"/>
        </w:rPr>
        <w:t xml:space="preserve"> а) стратегията на ЕС за реакция (част А) и б) документа за действие (част Б). </w:t>
      </w:r>
      <w:r>
        <w:rPr>
          <w:rFonts w:ascii="Times New Roman" w:hAnsi="Times New Roman"/>
          <w:noProof/>
          <w:color w:val="000000"/>
          <w:sz w:val="24"/>
          <w:szCs w:val="24"/>
        </w:rPr>
        <w:t xml:space="preserve">За одобряването на всеки програмен документ на ОСТ се взема само </w:t>
      </w:r>
      <w:r>
        <w:rPr>
          <w:rFonts w:ascii="Times New Roman" w:hAnsi="Times New Roman"/>
          <w:bCs/>
          <w:noProof/>
          <w:color w:val="000000"/>
          <w:sz w:val="24"/>
          <w:szCs w:val="24"/>
        </w:rPr>
        <w:t xml:space="preserve">едно официално решение </w:t>
      </w:r>
      <w:r>
        <w:rPr>
          <w:rFonts w:ascii="Times New Roman" w:hAnsi="Times New Roman"/>
          <w:noProof/>
          <w:color w:val="000000"/>
          <w:sz w:val="24"/>
          <w:szCs w:val="24"/>
        </w:rPr>
        <w:t xml:space="preserve">на Комисията, което обхваща както стратегическите насоки, така и подробната структура на програмата.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b/>
          <w:bCs/>
          <w:noProof/>
          <w:color w:val="000000"/>
          <w:sz w:val="24"/>
          <w:szCs w:val="24"/>
        </w:rPr>
        <w:t xml:space="preserve">Бюджетната подкрепа </w:t>
      </w:r>
      <w:r>
        <w:rPr>
          <w:rFonts w:ascii="Times New Roman" w:hAnsi="Times New Roman"/>
          <w:noProof/>
          <w:color w:val="000000"/>
          <w:sz w:val="24"/>
          <w:szCs w:val="24"/>
        </w:rPr>
        <w:t xml:space="preserve">е предпочитаният начин за изпълнение по отношение на териториалното разпределение в ОСТ (към днешна дата тринадесет от общо 16-те ОСТ се възползват от ЕФР). Това представлява положителна промяна в сравнение с използвания преди това проектен способ в няколко ОСТ. Бюджетната подкрепа предлага ефикасен начин за преодоляване на хоризонталните, дългосрочните и структурните предизвикателства и заплахи и за поддържане на конструктивен диалог относно политиките.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pStyle w:val="Default"/>
        <w:jc w:val="both"/>
        <w:rPr>
          <w:rFonts w:ascii="Times New Roman" w:hAnsi="Times New Roman" w:cs="Times New Roman"/>
          <w:noProof/>
        </w:rPr>
      </w:pPr>
      <w:r>
        <w:rPr>
          <w:rFonts w:ascii="Times New Roman" w:hAnsi="Times New Roman"/>
          <w:b/>
          <w:bCs/>
          <w:noProof/>
        </w:rPr>
        <w:t>ОСТ носят основната отговорност за изготвянето на програмните документи</w:t>
      </w:r>
      <w:r>
        <w:rPr>
          <w:rFonts w:ascii="Times New Roman" w:hAnsi="Times New Roman"/>
          <w:noProof/>
        </w:rPr>
        <w:t>, в това число за приоритетите, на които се основават техните стратегии, и за осигуряването на необходимите консултации на местно равнище. В съответствие с член 81 от Решението за отвъдморско асоцииране по искане на ОСТ беше предоставена техническа помощ за ОСТ в процеса на програмиране.</w:t>
      </w:r>
    </w:p>
    <w:p>
      <w:pPr>
        <w:pStyle w:val="Default"/>
        <w:rPr>
          <w:rFonts w:ascii="Times New Roman" w:hAnsi="Times New Roman" w:cs="Times New Roman"/>
          <w:noProof/>
        </w:rPr>
      </w:pPr>
    </w:p>
    <w:p>
      <w:pPr>
        <w:autoSpaceDE w:val="0"/>
        <w:autoSpaceDN w:val="0"/>
        <w:adjustRightInd w:val="0"/>
        <w:spacing w:after="0" w:line="240" w:lineRule="auto"/>
        <w:rPr>
          <w:rFonts w:ascii="Times New Roman" w:hAnsi="Times New Roman" w:cs="Times New Roman"/>
          <w:b/>
          <w:bCs/>
          <w:noProof/>
          <w:color w:val="000000"/>
          <w:sz w:val="24"/>
          <w:szCs w:val="24"/>
          <w:u w:val="single"/>
        </w:rPr>
      </w:pPr>
      <w:r>
        <w:rPr>
          <w:rFonts w:ascii="Times New Roman" w:hAnsi="Times New Roman"/>
          <w:b/>
          <w:bCs/>
          <w:noProof/>
          <w:color w:val="000000"/>
          <w:sz w:val="24"/>
          <w:szCs w:val="24"/>
          <w:u w:val="single"/>
        </w:rPr>
        <w:t>Положението през 2019 г.</w:t>
      </w:r>
    </w:p>
    <w:p>
      <w:pPr>
        <w:autoSpaceDE w:val="0"/>
        <w:autoSpaceDN w:val="0"/>
        <w:adjustRightInd w:val="0"/>
        <w:spacing w:after="0" w:line="240" w:lineRule="auto"/>
        <w:rPr>
          <w:rFonts w:ascii="Times New Roman" w:hAnsi="Times New Roman" w:cs="Times New Roman"/>
          <w:noProof/>
          <w:color w:val="000000"/>
          <w:sz w:val="24"/>
          <w:szCs w:val="24"/>
          <w:u w:val="single"/>
          <w:lang w:val="en-US"/>
        </w:rPr>
      </w:pPr>
    </w:p>
    <w:p>
      <w:pPr>
        <w:pStyle w:val="ListParagraph"/>
        <w:numPr>
          <w:ilvl w:val="0"/>
          <w:numId w:val="2"/>
        </w:num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b/>
          <w:bCs/>
          <w:noProof/>
          <w:color w:val="000000"/>
          <w:sz w:val="24"/>
          <w:szCs w:val="24"/>
        </w:rPr>
        <w:t xml:space="preserve">Териториално изпълнение на 11-ия ЕФР </w:t>
      </w:r>
    </w:p>
    <w:p>
      <w:pPr>
        <w:autoSpaceDE w:val="0"/>
        <w:autoSpaceDN w:val="0"/>
        <w:adjustRightInd w:val="0"/>
        <w:spacing w:after="0" w:line="240" w:lineRule="auto"/>
        <w:rPr>
          <w:rFonts w:ascii="Times New Roman" w:hAnsi="Times New Roman" w:cs="Times New Roman"/>
          <w:noProof/>
          <w:color w:val="000000"/>
          <w:sz w:val="24"/>
          <w:szCs w:val="24"/>
          <w:lang w:val="en-US"/>
        </w:rPr>
      </w:pP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Благодарение на общата ангажираност на всички заинтересовани страни през 2019 г. беше постигнат напредък при програмирането на 11-ия ЕФР чрез засилена координация </w:t>
      </w:r>
      <w:r>
        <w:rPr>
          <w:rFonts w:ascii="Times New Roman" w:hAnsi="Times New Roman"/>
          <w:noProof/>
          <w:color w:val="000000"/>
          <w:sz w:val="24"/>
          <w:szCs w:val="24"/>
        </w:rPr>
        <w:lastRenderedPageBreak/>
        <w:t xml:space="preserve">и диалог. С приемането на програмните документи за Аруба и Бонер през 2019 г. </w:t>
      </w:r>
      <w:r>
        <w:rPr>
          <w:rFonts w:ascii="Times New Roman" w:hAnsi="Times New Roman"/>
          <w:b/>
          <w:noProof/>
          <w:color w:val="000000"/>
          <w:sz w:val="24"/>
          <w:szCs w:val="24"/>
        </w:rPr>
        <w:t>14 от общо 16-те ОСТ с разпределени средства от ЕФР вече са финализирали програмирането си</w:t>
      </w:r>
      <w:r>
        <w:rPr>
          <w:rFonts w:ascii="Times New Roman" w:hAnsi="Times New Roman" w:cs="Times New Roman"/>
          <w:b/>
          <w:noProof/>
          <w:vertAlign w:val="superscript"/>
        </w:rPr>
        <w:footnoteReference w:id="6"/>
      </w:r>
      <w:r>
        <w:rPr>
          <w:rFonts w:ascii="Times New Roman" w:hAnsi="Times New Roman"/>
          <w:noProof/>
          <w:color w:val="000000"/>
          <w:sz w:val="24"/>
          <w:szCs w:val="24"/>
        </w:rPr>
        <w:t>. Що се отнася до ефективната финансова подкрепа, през 2019 г. бяха изплатени 40,7 милиона евро по линия на 11-ия ЕФР за ОСТ (</w:t>
      </w:r>
      <w:r>
        <w:rPr>
          <w:rFonts w:ascii="Times New Roman" w:hAnsi="Times New Roman"/>
          <w:noProof/>
          <w:sz w:val="24"/>
          <w:szCs w:val="24"/>
        </w:rPr>
        <w:t>вж. приложение 1</w:t>
      </w:r>
      <w:r>
        <w:rPr>
          <w:rFonts w:ascii="Times New Roman" w:hAnsi="Times New Roman"/>
          <w:noProof/>
          <w:color w:val="000000"/>
          <w:sz w:val="24"/>
          <w:szCs w:val="24"/>
        </w:rPr>
        <w:t xml:space="preserve">). Процесът на програмиране за Кюрасао (16,95 милиона евро) и Синт Мартен (7 милиона евро) беше в ход през 2019 г., а датата на приемане беше планирана през 2020 г.  </w:t>
      </w:r>
    </w:p>
    <w:p>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noProof/>
          <w:color w:val="000000"/>
          <w:sz w:val="24"/>
          <w:szCs w:val="24"/>
        </w:rPr>
        <w:t xml:space="preserve">Що се отнася до изпълнението през 2019 г.: </w:t>
      </w:r>
    </w:p>
    <w:p>
      <w:pPr>
        <w:autoSpaceDE w:val="0"/>
        <w:autoSpaceDN w:val="0"/>
        <w:adjustRightInd w:val="0"/>
        <w:spacing w:after="0" w:line="240" w:lineRule="auto"/>
        <w:rPr>
          <w:rFonts w:ascii="Times New Roman" w:hAnsi="Times New Roman" w:cs="Times New Roman"/>
          <w:noProof/>
          <w:color w:val="000000"/>
          <w:sz w:val="24"/>
          <w:szCs w:val="24"/>
        </w:rPr>
      </w:pPr>
    </w:p>
    <w:p>
      <w:pPr>
        <w:autoSpaceDE w:val="0"/>
        <w:autoSpaceDN w:val="0"/>
        <w:adjustRightInd w:val="0"/>
        <w:spacing w:after="0" w:line="240" w:lineRule="auto"/>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Карибски регион: </w:t>
      </w:r>
    </w:p>
    <w:p>
      <w:pPr>
        <w:pStyle w:val="Default"/>
        <w:jc w:val="both"/>
        <w:rPr>
          <w:rFonts w:ascii="Times New Roman" w:hAnsi="Times New Roman" w:cs="Times New Roman"/>
          <w:noProof/>
          <w:lang w:val="en-US"/>
        </w:rPr>
      </w:pPr>
    </w:p>
    <w:p>
      <w:pPr>
        <w:pStyle w:val="ListParagraph"/>
        <w:numPr>
          <w:ilvl w:val="0"/>
          <w:numId w:val="3"/>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В сектора на </w:t>
      </w:r>
      <w:r>
        <w:rPr>
          <w:rFonts w:ascii="Times New Roman" w:hAnsi="Times New Roman"/>
          <w:b/>
          <w:bCs/>
          <w:noProof/>
          <w:color w:val="000000"/>
          <w:sz w:val="24"/>
          <w:szCs w:val="24"/>
        </w:rPr>
        <w:t xml:space="preserve">образованието </w:t>
      </w:r>
      <w:r>
        <w:rPr>
          <w:rFonts w:ascii="Times New Roman" w:hAnsi="Times New Roman"/>
          <w:noProof/>
          <w:color w:val="000000"/>
          <w:sz w:val="24"/>
          <w:szCs w:val="24"/>
        </w:rPr>
        <w:t xml:space="preserve">чрез програмата за бюджетна подкрепа за </w:t>
      </w:r>
      <w:r>
        <w:rPr>
          <w:rFonts w:ascii="Times New Roman" w:hAnsi="Times New Roman"/>
          <w:b/>
          <w:bCs/>
          <w:noProof/>
          <w:color w:val="000000"/>
          <w:sz w:val="24"/>
          <w:szCs w:val="24"/>
        </w:rPr>
        <w:t xml:space="preserve">Ангила </w:t>
      </w:r>
      <w:r>
        <w:rPr>
          <w:rFonts w:ascii="Times New Roman" w:hAnsi="Times New Roman"/>
          <w:noProof/>
          <w:color w:val="000000"/>
          <w:sz w:val="24"/>
          <w:szCs w:val="24"/>
        </w:rPr>
        <w:t xml:space="preserve">бяха подкрепени одобряването на план за устойчиво финансиране на сектора, създаването на национална рамка за квалификации и утвърждаването на шест индивидуални плана за развитие на училища (отпускане на трети фиксиран транш (2,45 милиона евро), както и на първи и втори променлив транш (0,75 милиона евро+1,05 милиона евро). Освен това през февруари 2019 г. </w:t>
      </w:r>
      <w:r>
        <w:rPr>
          <w:rFonts w:ascii="Times New Roman" w:hAnsi="Times New Roman"/>
          <w:b/>
          <w:noProof/>
          <w:color w:val="000000"/>
          <w:sz w:val="24"/>
          <w:szCs w:val="24"/>
        </w:rPr>
        <w:t xml:space="preserve">Аруба </w:t>
      </w:r>
      <w:r>
        <w:rPr>
          <w:rFonts w:ascii="Times New Roman" w:hAnsi="Times New Roman"/>
          <w:noProof/>
          <w:color w:val="000000"/>
          <w:sz w:val="24"/>
          <w:szCs w:val="24"/>
        </w:rPr>
        <w:t xml:space="preserve"> прие своя програмен документ (13,05 милиона евро) за образователна програма, която има за цел да се повишат техническите умения за иновативно и устойчиво развитие. </w:t>
      </w:r>
      <w:r>
        <w:rPr>
          <w:rFonts w:ascii="Times New Roman" w:hAnsi="Times New Roman"/>
          <w:b/>
          <w:noProof/>
          <w:sz w:val="24"/>
          <w:szCs w:val="24"/>
        </w:rPr>
        <w:t xml:space="preserve">Търкс и </w:t>
      </w:r>
      <w:r>
        <w:rPr>
          <w:rFonts w:ascii="Times New Roman" w:hAnsi="Times New Roman"/>
          <w:b/>
          <w:noProof/>
          <w:color w:val="000000"/>
          <w:sz w:val="24"/>
          <w:szCs w:val="24"/>
        </w:rPr>
        <w:t>Кайкос</w:t>
      </w:r>
      <w:r>
        <w:rPr>
          <w:rFonts w:ascii="Times New Roman" w:hAnsi="Times New Roman"/>
          <w:noProof/>
          <w:color w:val="000000"/>
          <w:sz w:val="24"/>
          <w:szCs w:val="24"/>
        </w:rPr>
        <w:t xml:space="preserve"> продължиха да поетапното изпълнение на програмата, насочена към повишено адаптиране на техническото и професионалното обучение към нуждите на пазара на труда. </w:t>
      </w:r>
    </w:p>
    <w:p>
      <w:pPr>
        <w:pStyle w:val="ListParagraph"/>
        <w:autoSpaceDE w:val="0"/>
        <w:autoSpaceDN w:val="0"/>
        <w:adjustRightInd w:val="0"/>
        <w:spacing w:after="167" w:line="240" w:lineRule="auto"/>
        <w:ind w:left="778"/>
        <w:jc w:val="both"/>
        <w:rPr>
          <w:rFonts w:ascii="Times New Roman" w:hAnsi="Times New Roman" w:cs="Times New Roman"/>
          <w:noProof/>
          <w:color w:val="000000"/>
          <w:sz w:val="24"/>
          <w:szCs w:val="24"/>
        </w:rPr>
      </w:pPr>
    </w:p>
    <w:p>
      <w:pPr>
        <w:pStyle w:val="ListParagraph"/>
        <w:numPr>
          <w:ilvl w:val="0"/>
          <w:numId w:val="3"/>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Забележим беше и напредъкът в сферата на </w:t>
      </w:r>
      <w:r>
        <w:rPr>
          <w:rFonts w:ascii="Times New Roman" w:hAnsi="Times New Roman"/>
          <w:b/>
          <w:noProof/>
          <w:sz w:val="24"/>
          <w:szCs w:val="24"/>
        </w:rPr>
        <w:t>устойчивия растеж</w:t>
      </w:r>
      <w:r>
        <w:rPr>
          <w:rFonts w:ascii="Times New Roman" w:hAnsi="Times New Roman"/>
          <w:noProof/>
          <w:sz w:val="24"/>
          <w:szCs w:val="24"/>
        </w:rPr>
        <w:t xml:space="preserve"> </w:t>
      </w:r>
      <w:r>
        <w:rPr>
          <w:rFonts w:ascii="Times New Roman" w:hAnsi="Times New Roman"/>
          <w:noProof/>
          <w:color w:val="000000"/>
          <w:sz w:val="24"/>
          <w:szCs w:val="24"/>
        </w:rPr>
        <w:t xml:space="preserve">благодарение на текущата програма за бюджетна подкрепа за </w:t>
      </w:r>
      <w:r>
        <w:rPr>
          <w:rFonts w:ascii="Times New Roman" w:hAnsi="Times New Roman"/>
          <w:b/>
          <w:noProof/>
          <w:color w:val="000000"/>
          <w:sz w:val="24"/>
          <w:szCs w:val="24"/>
        </w:rPr>
        <w:t>Монтсерат</w:t>
      </w:r>
      <w:r>
        <w:rPr>
          <w:rFonts w:ascii="Times New Roman" w:hAnsi="Times New Roman"/>
          <w:noProof/>
          <w:color w:val="000000"/>
          <w:sz w:val="24"/>
          <w:szCs w:val="24"/>
        </w:rPr>
        <w:t xml:space="preserve"> чрез отпускането на втори фиксиран транш (2 милиона евро) и първи променлив транш (2 милиона евро). Тази програма за бюджетна подкрепа насърчава развитието в области като енергията от възобновяеми източници и туризма.</w:t>
      </w:r>
    </w:p>
    <w:p>
      <w:pPr>
        <w:pStyle w:val="ListParagraph"/>
        <w:autoSpaceDE w:val="0"/>
        <w:autoSpaceDN w:val="0"/>
        <w:adjustRightInd w:val="0"/>
        <w:spacing w:after="167" w:line="240" w:lineRule="auto"/>
        <w:ind w:left="778"/>
        <w:jc w:val="both"/>
        <w:rPr>
          <w:rFonts w:ascii="Times New Roman" w:hAnsi="Times New Roman" w:cs="Times New Roman"/>
          <w:noProof/>
          <w:color w:val="000000"/>
          <w:sz w:val="24"/>
          <w:szCs w:val="24"/>
        </w:rPr>
      </w:pPr>
    </w:p>
    <w:p>
      <w:pPr>
        <w:pStyle w:val="ListParagraph"/>
        <w:numPr>
          <w:ilvl w:val="0"/>
          <w:numId w:val="3"/>
        </w:numPr>
        <w:jc w:val="both"/>
        <w:rPr>
          <w:rFonts w:ascii="Times New Roman" w:hAnsi="Times New Roman" w:cs="Times New Roman"/>
          <w:noProof/>
        </w:rPr>
      </w:pPr>
      <w:r>
        <w:rPr>
          <w:rFonts w:ascii="Times New Roman" w:hAnsi="Times New Roman"/>
          <w:b/>
          <w:noProof/>
          <w:sz w:val="24"/>
          <w:szCs w:val="24"/>
        </w:rPr>
        <w:t>Беше поставено началото на новата бюджетна подкрепа на младите хора за Бонер</w:t>
      </w:r>
      <w:r>
        <w:rPr>
          <w:rFonts w:ascii="Times New Roman" w:hAnsi="Times New Roman"/>
          <w:noProof/>
          <w:sz w:val="24"/>
          <w:szCs w:val="24"/>
        </w:rPr>
        <w:t>, след като беше приет програмният документ по линия на 11-ия ЕФР (3,95 милиона евро). Това ще допринесе за подобряването на здравето на младите хора, ще повиши пригодността им за заетост и ще подобри техния стандарт на живот</w:t>
      </w:r>
      <w:r>
        <w:rPr>
          <w:rFonts w:ascii="Times New Roman" w:hAnsi="Times New Roman"/>
          <w:noProof/>
        </w:rPr>
        <w:t xml:space="preserve">. </w:t>
      </w:r>
      <w:r>
        <w:rPr>
          <w:rFonts w:ascii="Times New Roman" w:hAnsi="Times New Roman"/>
          <w:noProof/>
        </w:rPr>
        <w:tab/>
      </w:r>
      <w:r>
        <w:rPr>
          <w:noProof/>
        </w:rPr>
        <w:t xml:space="preserve"> </w:t>
      </w:r>
      <w:r>
        <w:rPr>
          <w:noProof/>
        </w:rPr>
        <w:br/>
      </w:r>
    </w:p>
    <w:p>
      <w:pPr>
        <w:pStyle w:val="ListParagraph"/>
        <w:numPr>
          <w:ilvl w:val="0"/>
          <w:numId w:val="3"/>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За </w:t>
      </w:r>
      <w:r>
        <w:rPr>
          <w:rFonts w:ascii="Times New Roman" w:hAnsi="Times New Roman"/>
          <w:b/>
          <w:noProof/>
          <w:color w:val="000000"/>
          <w:sz w:val="24"/>
          <w:szCs w:val="24"/>
        </w:rPr>
        <w:t>Британските Вирджински острови</w:t>
      </w:r>
      <w:r>
        <w:rPr>
          <w:rFonts w:ascii="Times New Roman" w:hAnsi="Times New Roman"/>
          <w:noProof/>
          <w:color w:val="000000"/>
          <w:sz w:val="24"/>
          <w:szCs w:val="24"/>
        </w:rPr>
        <w:t xml:space="preserve"> бяха отпуснати 2 милиона евро по пакет Б</w:t>
      </w:r>
      <w:r>
        <w:rPr>
          <w:rStyle w:val="FootnoteReference"/>
          <w:rFonts w:ascii="Times New Roman" w:hAnsi="Times New Roman" w:cs="Times New Roman"/>
          <w:noProof/>
          <w:color w:val="000000"/>
          <w:sz w:val="24"/>
          <w:szCs w:val="24"/>
          <w:lang w:val="en-US"/>
        </w:rPr>
        <w:footnoteReference w:id="7"/>
      </w:r>
      <w:r>
        <w:rPr>
          <w:rFonts w:ascii="Times New Roman" w:hAnsi="Times New Roman"/>
          <w:noProof/>
          <w:color w:val="000000"/>
          <w:sz w:val="24"/>
          <w:szCs w:val="24"/>
        </w:rPr>
        <w:t xml:space="preserve"> за следкризисна помощ при последващите действия след ураганите през 2017 г., които засегнаха карибските ОСТ, с цел да се повиши </w:t>
      </w:r>
      <w:r>
        <w:rPr>
          <w:rFonts w:ascii="Times New Roman" w:hAnsi="Times New Roman"/>
          <w:b/>
          <w:noProof/>
          <w:color w:val="000000"/>
          <w:sz w:val="24"/>
          <w:szCs w:val="24"/>
        </w:rPr>
        <w:t>устойчивостта</w:t>
      </w:r>
      <w:r>
        <w:rPr>
          <w:rFonts w:ascii="Times New Roman" w:hAnsi="Times New Roman"/>
          <w:noProof/>
          <w:color w:val="000000"/>
          <w:sz w:val="24"/>
          <w:szCs w:val="24"/>
        </w:rPr>
        <w:t>.</w:t>
      </w:r>
    </w:p>
    <w:p>
      <w:pPr>
        <w:autoSpaceDE w:val="0"/>
        <w:autoSpaceDN w:val="0"/>
        <w:adjustRightInd w:val="0"/>
        <w:spacing w:after="0" w:line="240" w:lineRule="auto"/>
        <w:rPr>
          <w:rFonts w:ascii="Times New Roman" w:hAnsi="Times New Roman" w:cs="Times New Roman"/>
          <w:noProof/>
          <w:color w:val="000000"/>
          <w:sz w:val="24"/>
          <w:szCs w:val="24"/>
        </w:rPr>
      </w:pPr>
    </w:p>
    <w:p>
      <w:pPr>
        <w:autoSpaceDE w:val="0"/>
        <w:autoSpaceDN w:val="0"/>
        <w:adjustRightInd w:val="0"/>
        <w:spacing w:after="0" w:line="240" w:lineRule="auto"/>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Тихоокеански регион: </w:t>
      </w:r>
    </w:p>
    <w:p>
      <w:pPr>
        <w:autoSpaceDE w:val="0"/>
        <w:autoSpaceDN w:val="0"/>
        <w:adjustRightInd w:val="0"/>
        <w:spacing w:after="0" w:line="240" w:lineRule="auto"/>
        <w:rPr>
          <w:rFonts w:ascii="Times New Roman" w:hAnsi="Times New Roman" w:cs="Times New Roman"/>
          <w:noProof/>
          <w:color w:val="000000"/>
          <w:sz w:val="24"/>
          <w:szCs w:val="24"/>
          <w:u w:val="single"/>
          <w:lang w:val="en-US"/>
        </w:rPr>
      </w:pPr>
    </w:p>
    <w:p>
      <w:pPr>
        <w:pStyle w:val="Default"/>
        <w:numPr>
          <w:ilvl w:val="0"/>
          <w:numId w:val="7"/>
        </w:numPr>
        <w:jc w:val="both"/>
        <w:rPr>
          <w:rFonts w:ascii="Times New Roman" w:hAnsi="Times New Roman" w:cs="Times New Roman"/>
          <w:noProof/>
          <w:color w:val="auto"/>
        </w:rPr>
      </w:pPr>
      <w:r>
        <w:rPr>
          <w:rFonts w:ascii="Times New Roman" w:hAnsi="Times New Roman"/>
          <w:b/>
          <w:noProof/>
          <w:color w:val="auto"/>
        </w:rPr>
        <w:t>Френска Полинезия</w:t>
      </w:r>
      <w:r>
        <w:rPr>
          <w:rFonts w:ascii="Times New Roman" w:hAnsi="Times New Roman"/>
          <w:noProof/>
          <w:color w:val="auto"/>
        </w:rPr>
        <w:t xml:space="preserve"> постигна напредък в своята секторна политика за устойчив </w:t>
      </w:r>
      <w:r>
        <w:rPr>
          <w:rFonts w:ascii="Times New Roman" w:hAnsi="Times New Roman"/>
          <w:b/>
          <w:noProof/>
          <w:color w:val="auto"/>
        </w:rPr>
        <w:t>туризъм</w:t>
      </w:r>
      <w:r>
        <w:rPr>
          <w:rFonts w:ascii="Times New Roman" w:hAnsi="Times New Roman"/>
          <w:noProof/>
          <w:color w:val="auto"/>
        </w:rPr>
        <w:t xml:space="preserve">, като продължи изпълнението на стратегията си за устойчив туризъм, което направи възможно отпускането на втория фиксиран транш (7,4 милиона евро). </w:t>
      </w:r>
      <w:r>
        <w:rPr>
          <w:rFonts w:ascii="Times New Roman" w:hAnsi="Times New Roman"/>
          <w:b/>
          <w:noProof/>
          <w:color w:val="auto"/>
        </w:rPr>
        <w:t>Островите Питкерн</w:t>
      </w:r>
      <w:r>
        <w:rPr>
          <w:rFonts w:ascii="Times New Roman" w:hAnsi="Times New Roman"/>
          <w:noProof/>
          <w:color w:val="auto"/>
        </w:rPr>
        <w:t xml:space="preserve"> също продължиха поетапното изпълнение на своя стратегически план за развитие чрез насърчаване на туризма и получиха първи фиксиран транш в размер на 1 милион евро. Въведена беше нова корабна линия и броят на пътниците значително нарасна. </w:t>
      </w:r>
    </w:p>
    <w:p>
      <w:pPr>
        <w:pStyle w:val="ListParagraph"/>
        <w:autoSpaceDE w:val="0"/>
        <w:autoSpaceDN w:val="0"/>
        <w:adjustRightInd w:val="0"/>
        <w:spacing w:after="167" w:line="240" w:lineRule="auto"/>
        <w:jc w:val="both"/>
        <w:rPr>
          <w:rFonts w:ascii="Times New Roman" w:hAnsi="Times New Roman" w:cs="Times New Roman"/>
          <w:noProof/>
          <w:color w:val="000000"/>
          <w:sz w:val="24"/>
          <w:szCs w:val="24"/>
        </w:rPr>
      </w:pPr>
    </w:p>
    <w:p>
      <w:pPr>
        <w:pStyle w:val="ListParagraph"/>
        <w:numPr>
          <w:ilvl w:val="0"/>
          <w:numId w:val="4"/>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b/>
          <w:bCs/>
          <w:noProof/>
          <w:color w:val="000000"/>
          <w:sz w:val="24"/>
          <w:szCs w:val="24"/>
        </w:rPr>
        <w:t>Нова Каледония</w:t>
      </w:r>
      <w:r>
        <w:rPr>
          <w:rFonts w:ascii="Times New Roman" w:hAnsi="Times New Roman"/>
          <w:noProof/>
          <w:sz w:val="24"/>
          <w:szCs w:val="24"/>
        </w:rPr>
        <w:t xml:space="preserve"> продължи усилията си в </w:t>
      </w:r>
      <w:r>
        <w:rPr>
          <w:rFonts w:ascii="Times New Roman" w:hAnsi="Times New Roman"/>
          <w:b/>
          <w:bCs/>
          <w:noProof/>
          <w:sz w:val="24"/>
          <w:szCs w:val="24"/>
        </w:rPr>
        <w:t>сектора на заетостта</w:t>
      </w:r>
      <w:r>
        <w:rPr>
          <w:rFonts w:ascii="Times New Roman" w:hAnsi="Times New Roman"/>
          <w:noProof/>
          <w:sz w:val="24"/>
          <w:szCs w:val="24"/>
        </w:rPr>
        <w:t>, насочени към разширяване на достъпа до програми за обучение и към повишаване на нивата на заетост и обучение</w:t>
      </w:r>
      <w:r>
        <w:rPr>
          <w:rFonts w:ascii="Times New Roman" w:hAnsi="Times New Roman"/>
          <w:noProof/>
          <w:color w:val="000000"/>
          <w:sz w:val="24"/>
          <w:szCs w:val="24"/>
        </w:rPr>
        <w:t xml:space="preserve">. Предвидените траншове за 2018 г. (втори фиксиран транш в размер на 4 милиона евро + първи променлив транш в размер на 2 милиона евро) бяха изплатени в началото на 2019 г. В края на 2019 г. също така бяха изплатени трети фиксиран транш (5 милиона евро) и втори променлив транш (3 милиона евро). </w:t>
      </w:r>
    </w:p>
    <w:p>
      <w:pPr>
        <w:pStyle w:val="ListParagraph"/>
        <w:autoSpaceDE w:val="0"/>
        <w:autoSpaceDN w:val="0"/>
        <w:adjustRightInd w:val="0"/>
        <w:spacing w:after="167" w:line="240" w:lineRule="auto"/>
        <w:jc w:val="both"/>
        <w:rPr>
          <w:rFonts w:ascii="Times New Roman" w:hAnsi="Times New Roman" w:cs="Times New Roman"/>
          <w:noProof/>
          <w:color w:val="000000"/>
          <w:sz w:val="24"/>
          <w:szCs w:val="24"/>
        </w:rPr>
      </w:pPr>
    </w:p>
    <w:p>
      <w:pPr>
        <w:pStyle w:val="ListParagraph"/>
        <w:numPr>
          <w:ilvl w:val="0"/>
          <w:numId w:val="4"/>
        </w:num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Що се отнася до </w:t>
      </w:r>
      <w:r>
        <w:rPr>
          <w:rFonts w:ascii="Times New Roman" w:hAnsi="Times New Roman"/>
          <w:b/>
          <w:noProof/>
          <w:color w:val="000000"/>
          <w:sz w:val="24"/>
          <w:szCs w:val="24"/>
        </w:rPr>
        <w:t>развитието на цифровите технологии, Уолис и Футуна</w:t>
      </w:r>
      <w:r>
        <w:rPr>
          <w:rFonts w:ascii="Times New Roman" w:hAnsi="Times New Roman"/>
          <w:noProof/>
          <w:color w:val="000000"/>
          <w:sz w:val="24"/>
          <w:szCs w:val="24"/>
        </w:rPr>
        <w:t xml:space="preserve"> продължи своя напредък в по отношение на прилагането на своята стратегия в областта на цифровите технологии и внедряването на услуги, свързани с широколентовия кабел от Самоа до Уолис и Футуна</w:t>
      </w:r>
      <w:r>
        <w:rPr>
          <w:rFonts w:ascii="Times New Roman" w:hAnsi="Times New Roman" w:cs="Times New Roman"/>
          <w:noProof/>
          <w:color w:val="000000"/>
          <w:sz w:val="24"/>
          <w:szCs w:val="24"/>
          <w:vertAlign w:val="superscript"/>
          <w:lang w:val="en-US"/>
        </w:rPr>
        <w:footnoteReference w:id="8"/>
      </w:r>
      <w:r>
        <w:rPr>
          <w:rFonts w:ascii="Times New Roman" w:hAnsi="Times New Roman"/>
          <w:noProof/>
          <w:color w:val="000000"/>
          <w:sz w:val="24"/>
          <w:szCs w:val="24"/>
        </w:rPr>
        <w:t>, осигуряващ високоскоростна широколентова връзка.</w:t>
      </w:r>
    </w:p>
    <w:p>
      <w:pPr>
        <w:autoSpaceDE w:val="0"/>
        <w:autoSpaceDN w:val="0"/>
        <w:adjustRightInd w:val="0"/>
        <w:spacing w:after="0" w:line="240" w:lineRule="auto"/>
        <w:rPr>
          <w:rFonts w:ascii="Times New Roman" w:hAnsi="Times New Roman" w:cs="Times New Roman"/>
          <w:noProof/>
          <w:color w:val="000000"/>
          <w:sz w:val="24"/>
          <w:szCs w:val="24"/>
        </w:rPr>
      </w:pPr>
    </w:p>
    <w:p>
      <w:pPr>
        <w:autoSpaceDE w:val="0"/>
        <w:autoSpaceDN w:val="0"/>
        <w:adjustRightInd w:val="0"/>
        <w:spacing w:after="0" w:line="240" w:lineRule="auto"/>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Други ОСТ: </w:t>
      </w:r>
    </w:p>
    <w:p>
      <w:pPr>
        <w:autoSpaceDE w:val="0"/>
        <w:autoSpaceDN w:val="0"/>
        <w:adjustRightInd w:val="0"/>
        <w:spacing w:after="0" w:line="240" w:lineRule="auto"/>
        <w:rPr>
          <w:rFonts w:ascii="Times New Roman" w:hAnsi="Times New Roman" w:cs="Times New Roman"/>
          <w:noProof/>
          <w:color w:val="000000"/>
          <w:sz w:val="24"/>
          <w:szCs w:val="24"/>
          <w:u w:val="single"/>
          <w:lang w:val="en-US"/>
        </w:rPr>
      </w:pPr>
    </w:p>
    <w:p>
      <w:pPr>
        <w:pStyle w:val="ListParagraph"/>
        <w:numPr>
          <w:ilvl w:val="0"/>
          <w:numId w:val="5"/>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Фолкландските острови</w:t>
      </w:r>
      <w:r>
        <w:rPr>
          <w:rFonts w:ascii="Times New Roman" w:hAnsi="Times New Roman"/>
          <w:noProof/>
          <w:color w:val="000000"/>
          <w:sz w:val="24"/>
          <w:szCs w:val="24"/>
        </w:rPr>
        <w:t xml:space="preserve"> се възползват от програма за </w:t>
      </w:r>
      <w:r>
        <w:rPr>
          <w:rFonts w:ascii="Times New Roman" w:hAnsi="Times New Roman"/>
          <w:b/>
          <w:noProof/>
          <w:color w:val="000000"/>
          <w:sz w:val="24"/>
          <w:szCs w:val="24"/>
        </w:rPr>
        <w:t xml:space="preserve">свързаност </w:t>
      </w:r>
      <w:r>
        <w:rPr>
          <w:rFonts w:ascii="Times New Roman" w:hAnsi="Times New Roman"/>
          <w:noProof/>
          <w:color w:val="000000"/>
          <w:sz w:val="24"/>
          <w:szCs w:val="24"/>
        </w:rPr>
        <w:t xml:space="preserve">в рамките на 11-ия ЕФР. </w:t>
      </w:r>
      <w:r>
        <w:rPr>
          <w:rFonts w:ascii="Times New Roman" w:hAnsi="Times New Roman"/>
          <w:noProof/>
          <w:sz w:val="24"/>
          <w:szCs w:val="24"/>
        </w:rPr>
        <w:t>През 2019 г. в изпълнението на техния национален инфраструктурен план и възстановяването на летателната годност на самолетите беше постигнат задоволителен напредък.</w:t>
      </w:r>
      <w:r>
        <w:rPr>
          <w:rFonts w:ascii="Times New Roman" w:hAnsi="Times New Roman"/>
          <w:noProof/>
          <w:color w:val="000000"/>
          <w:sz w:val="24"/>
          <w:szCs w:val="24"/>
        </w:rPr>
        <w:t xml:space="preserve"> Бяха изплатени вторият фиксиран транш (1 милион евро) и първият променлив транш (0,75 милиона евро). </w:t>
      </w:r>
      <w:r>
        <w:rPr>
          <w:rFonts w:ascii="Times New Roman" w:hAnsi="Times New Roman"/>
          <w:b/>
          <w:noProof/>
          <w:color w:val="000000"/>
          <w:sz w:val="24"/>
          <w:szCs w:val="24"/>
        </w:rPr>
        <w:t>Остров Света Елена</w:t>
      </w:r>
      <w:r>
        <w:rPr>
          <w:rFonts w:ascii="Times New Roman" w:hAnsi="Times New Roman"/>
          <w:noProof/>
          <w:color w:val="000000"/>
          <w:sz w:val="24"/>
          <w:szCs w:val="24"/>
        </w:rPr>
        <w:t xml:space="preserve"> също се възползва от програмата за свързаност в рамките на 11-ия ЕФР и през 2019 г. отбеляза значителен напредък в изпълнението на своята стратегия в областта на цифровите технологии.</w:t>
      </w:r>
      <w:r>
        <w:rPr>
          <w:noProof/>
        </w:rPr>
        <w:t xml:space="preserve"> </w:t>
      </w:r>
      <w:r>
        <w:rPr>
          <w:noProof/>
        </w:rPr>
        <w:tab/>
      </w:r>
      <w:r>
        <w:rPr>
          <w:noProof/>
        </w:rPr>
        <w:br/>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Програмата за бюджетна подкрепа на </w:t>
      </w:r>
      <w:r>
        <w:rPr>
          <w:rFonts w:ascii="Times New Roman" w:hAnsi="Times New Roman"/>
          <w:b/>
          <w:bCs/>
          <w:noProof/>
          <w:sz w:val="24"/>
          <w:szCs w:val="24"/>
        </w:rPr>
        <w:t>туризма</w:t>
      </w:r>
      <w:r>
        <w:rPr>
          <w:rFonts w:ascii="Times New Roman" w:hAnsi="Times New Roman"/>
          <w:noProof/>
          <w:sz w:val="24"/>
          <w:szCs w:val="24"/>
        </w:rPr>
        <w:t xml:space="preserve"> в </w:t>
      </w:r>
      <w:r>
        <w:rPr>
          <w:rFonts w:ascii="Times New Roman" w:hAnsi="Times New Roman"/>
          <w:b/>
          <w:bCs/>
          <w:noProof/>
          <w:sz w:val="24"/>
          <w:szCs w:val="24"/>
        </w:rPr>
        <w:t>Сен Пиер и Микелон</w:t>
      </w:r>
      <w:r>
        <w:rPr>
          <w:rFonts w:ascii="Times New Roman" w:hAnsi="Times New Roman"/>
          <w:noProof/>
          <w:sz w:val="24"/>
          <w:szCs w:val="24"/>
        </w:rPr>
        <w:t xml:space="preserve"> приключи през 2019 г. с изплащането на четвъртия фиксиран транш (3,25 милиона евро) и втория променлив транш в пълен размер (3,25 милиона евро). Напредъкът в секторите на туризма и морския транспорт беше видим, като за него бяха показателни значителното увеличаване на капацитета за туристическо настаняване и засилването на морските услуги между Сен Пиер и Микелон и Нюфаундленд, Канада.</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Най-общо и целогодишно програмите за бюджетна подкрепа доведоха до редовни диалози относно политиките с партньорските ОСТ във връзка с макроикономическата ситуация, управлението на публичните финанси и секторните политики. </w:t>
      </w:r>
    </w:p>
    <w:p>
      <w:pPr>
        <w:autoSpaceDE w:val="0"/>
        <w:autoSpaceDN w:val="0"/>
        <w:adjustRightInd w:val="0"/>
        <w:spacing w:after="0" w:line="240" w:lineRule="auto"/>
        <w:rPr>
          <w:rFonts w:ascii="Times New Roman" w:hAnsi="Times New Roman" w:cs="Times New Roman"/>
          <w:noProof/>
          <w:color w:val="000000"/>
          <w:sz w:val="24"/>
          <w:szCs w:val="24"/>
        </w:rPr>
      </w:pPr>
    </w:p>
    <w:p>
      <w:pPr>
        <w:autoSpaceDE w:val="0"/>
        <w:autoSpaceDN w:val="0"/>
        <w:spacing w:line="240" w:lineRule="auto"/>
        <w:jc w:val="both"/>
        <w:rPr>
          <w:rFonts w:ascii="Times New Roman" w:hAnsi="Times New Roman" w:cs="Times New Roman"/>
          <w:iCs/>
          <w:noProof/>
          <w:color w:val="000000"/>
          <w:sz w:val="24"/>
          <w:szCs w:val="24"/>
        </w:rPr>
      </w:pPr>
      <w:r>
        <w:rPr>
          <w:rFonts w:ascii="Times New Roman" w:hAnsi="Times New Roman"/>
          <w:iCs/>
          <w:noProof/>
          <w:color w:val="000000"/>
          <w:sz w:val="24"/>
          <w:szCs w:val="24"/>
        </w:rPr>
        <w:t xml:space="preserve">През 2019 г. имаше мобилизиране на </w:t>
      </w:r>
      <w:r>
        <w:rPr>
          <w:rFonts w:ascii="Times New Roman" w:hAnsi="Times New Roman"/>
          <w:b/>
          <w:bCs/>
          <w:iCs/>
          <w:noProof/>
          <w:color w:val="000000"/>
          <w:sz w:val="24"/>
          <w:szCs w:val="24"/>
        </w:rPr>
        <w:t xml:space="preserve">техническата помощ </w:t>
      </w:r>
      <w:r>
        <w:rPr>
          <w:rFonts w:ascii="Times New Roman" w:hAnsi="Times New Roman"/>
          <w:iCs/>
          <w:noProof/>
          <w:color w:val="000000"/>
          <w:sz w:val="24"/>
          <w:szCs w:val="24"/>
        </w:rPr>
        <w:t>в подкрепа на териториалните и регионалните разпоредители с бюджетни кредити в процеса на програмиране. В края на 2019 г. бяха възложени договори за техническа помощ или за проучвания, с които да се определят програмирането и секторните стратегии на ОСТ или да се установи дали ОСТ отговарят на условията за получаване на бюджетна подкрепа, с обща стойност на изплатените средства 1 592 672,72 евро по линия на инструментите за техническо сътрудничество II и III на 11-ия ЕФР.</w:t>
      </w:r>
    </w:p>
    <w:p>
      <w:pPr>
        <w:autoSpaceDE w:val="0"/>
        <w:autoSpaceDN w:val="0"/>
        <w:adjustRightInd w:val="0"/>
        <w:spacing w:after="0" w:line="240" w:lineRule="auto"/>
        <w:rPr>
          <w:rFonts w:ascii="Times New Roman" w:hAnsi="Times New Roman" w:cs="Times New Roman"/>
          <w:noProof/>
          <w:color w:val="000000"/>
          <w:sz w:val="24"/>
          <w:szCs w:val="24"/>
        </w:rPr>
      </w:pPr>
    </w:p>
    <w:p>
      <w:pPr>
        <w:pStyle w:val="ListParagraph"/>
        <w:numPr>
          <w:ilvl w:val="0"/>
          <w:numId w:val="2"/>
        </w:num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b/>
          <w:bCs/>
          <w:noProof/>
          <w:color w:val="000000"/>
          <w:sz w:val="24"/>
          <w:szCs w:val="24"/>
        </w:rPr>
        <w:t xml:space="preserve">Регионално сътрудничество по линия на 11-ия ЕФР </w:t>
      </w:r>
    </w:p>
    <w:p>
      <w:pPr>
        <w:pStyle w:val="ListParagraph"/>
        <w:autoSpaceDE w:val="0"/>
        <w:autoSpaceDN w:val="0"/>
        <w:adjustRightInd w:val="0"/>
        <w:spacing w:after="0" w:line="240" w:lineRule="auto"/>
        <w:rPr>
          <w:rFonts w:ascii="Times New Roman" w:hAnsi="Times New Roman" w:cs="Times New Roman"/>
          <w:noProof/>
          <w:color w:val="000000"/>
          <w:sz w:val="24"/>
          <w:szCs w:val="24"/>
        </w:rPr>
      </w:pPr>
    </w:p>
    <w:p>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noProof/>
          <w:color w:val="000000"/>
          <w:sz w:val="24"/>
          <w:szCs w:val="24"/>
        </w:rPr>
        <w:t xml:space="preserve">През 2019 г. беше постигнат значителен напредък по отношение на регионалните програми за ОСТ по линия на 11-ия ЕФР: </w:t>
      </w:r>
    </w:p>
    <w:p>
      <w:pPr>
        <w:autoSpaceDE w:val="0"/>
        <w:autoSpaceDN w:val="0"/>
        <w:adjustRightInd w:val="0"/>
        <w:spacing w:after="0" w:line="240" w:lineRule="auto"/>
        <w:rPr>
          <w:rFonts w:ascii="Times New Roman" w:hAnsi="Times New Roman" w:cs="Times New Roman"/>
          <w:noProof/>
          <w:color w:val="000000"/>
          <w:sz w:val="24"/>
          <w:szCs w:val="24"/>
        </w:rPr>
      </w:pPr>
    </w:p>
    <w:p>
      <w:pPr>
        <w:pStyle w:val="ListParagraph"/>
        <w:numPr>
          <w:ilvl w:val="0"/>
          <w:numId w:val="6"/>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Регионалната програма за </w:t>
      </w:r>
      <w:r>
        <w:rPr>
          <w:rFonts w:ascii="Times New Roman" w:hAnsi="Times New Roman"/>
          <w:b/>
          <w:bCs/>
          <w:noProof/>
          <w:sz w:val="24"/>
          <w:szCs w:val="24"/>
        </w:rPr>
        <w:t xml:space="preserve">Тихоокеанския регион </w:t>
      </w:r>
      <w:r>
        <w:rPr>
          <w:rFonts w:ascii="Times New Roman" w:hAnsi="Times New Roman"/>
          <w:noProof/>
          <w:sz w:val="24"/>
          <w:szCs w:val="24"/>
        </w:rPr>
        <w:t xml:space="preserve">PROTEGE </w:t>
      </w:r>
      <w:r>
        <w:rPr>
          <w:rFonts w:ascii="Times New Roman" w:hAnsi="Times New Roman"/>
          <w:iCs/>
          <w:noProof/>
          <w:sz w:val="24"/>
          <w:szCs w:val="24"/>
        </w:rPr>
        <w:t>(</w:t>
      </w:r>
      <w:r>
        <w:rPr>
          <w:rFonts w:ascii="Times New Roman" w:hAnsi="Times New Roman"/>
          <w:i/>
          <w:iCs/>
          <w:noProof/>
          <w:sz w:val="24"/>
          <w:szCs w:val="24"/>
        </w:rPr>
        <w:t>Projet régional océanien des territoires pour la gestion matioystes,</w:t>
      </w:r>
      <w:r>
        <w:rPr>
          <w:rFonts w:ascii="Times New Roman" w:hAnsi="Times New Roman"/>
          <w:noProof/>
          <w:sz w:val="24"/>
          <w:szCs w:val="24"/>
        </w:rPr>
        <w:t xml:space="preserve"> 36 милиона евро) подкрепя устойчивото и жизнеспособно развитие на региона чрез опазване на биологичното разнообразие и възобновяемите природни ресурси. Тя е приемник на регионалната програма по 10-ия ЕФР INTEGRE (</w:t>
      </w:r>
      <w:r>
        <w:rPr>
          <w:rFonts w:ascii="Times New Roman" w:hAnsi="Times New Roman"/>
          <w:i/>
          <w:iCs/>
          <w:noProof/>
          <w:sz w:val="24"/>
          <w:szCs w:val="24"/>
        </w:rPr>
        <w:t>Initiative des territoires pour la gestion régionale de l’environnement</w:t>
      </w:r>
      <w:r>
        <w:rPr>
          <w:rFonts w:ascii="Times New Roman" w:hAnsi="Times New Roman"/>
          <w:noProof/>
          <w:sz w:val="24"/>
          <w:szCs w:val="24"/>
        </w:rPr>
        <w:t>, 12 милиона евро), която подкрепяше интегрираното крайбрежно управление и засиленото регионално сътрудничество за устойчиво развитие. Първото плащане (6,8 милиона евро) беше направено през декември 2018 г. През 2019 г. беше съставен екипът и бяха определени 4 работни приоритета (селско стопанство, риболовна дейност, води и инвазивни видове), като първият управителен комитет се състоя през юли 2019 г.</w:t>
      </w:r>
      <w:r>
        <w:rPr>
          <w:noProof/>
        </w:rPr>
        <w:tab/>
        <w:t xml:space="preserve"> </w:t>
      </w:r>
      <w:r>
        <w:rPr>
          <w:noProof/>
        </w:rPr>
        <w:br/>
      </w:r>
    </w:p>
    <w:p>
      <w:pPr>
        <w:pStyle w:val="ListParagraph"/>
        <w:numPr>
          <w:ilvl w:val="0"/>
          <w:numId w:val="6"/>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В </w:t>
      </w:r>
      <w:r>
        <w:rPr>
          <w:rFonts w:ascii="Times New Roman" w:hAnsi="Times New Roman"/>
          <w:b/>
          <w:bCs/>
          <w:noProof/>
          <w:sz w:val="24"/>
          <w:szCs w:val="24"/>
        </w:rPr>
        <w:t xml:space="preserve">Карибския басейн </w:t>
      </w:r>
      <w:r>
        <w:rPr>
          <w:rFonts w:ascii="Times New Roman" w:hAnsi="Times New Roman"/>
          <w:noProof/>
          <w:sz w:val="24"/>
          <w:szCs w:val="24"/>
        </w:rPr>
        <w:t>регионалната програма ReSEMBID (</w:t>
      </w:r>
      <w:r>
        <w:rPr>
          <w:rFonts w:ascii="Times New Roman" w:hAnsi="Times New Roman"/>
          <w:i/>
          <w:noProof/>
          <w:sz w:val="24"/>
          <w:szCs w:val="24"/>
        </w:rPr>
        <w:t xml:space="preserve">Жизнеспособност, устойчива енергия и морско биоразнообразие, </w:t>
      </w:r>
      <w:r>
        <w:rPr>
          <w:rFonts w:ascii="Times New Roman" w:hAnsi="Times New Roman"/>
          <w:noProof/>
          <w:sz w:val="24"/>
          <w:szCs w:val="24"/>
        </w:rPr>
        <w:t>40 милиона евро) има за цел да засили устойчивото от гледна точка на околната среда икономическо развитие, като се съсредоточи върху жизнеспособността, устойчивата енергия и морското биологично разнообразие. Целта е да се осъвремени остарялата инфраструктура и да се повиши енергийната ефективност, да се подобрят опазването и устойчивото управление на морското биологично разнообразие и да се повиши устойчивостта на екстремни и циклични природни явления. През 2019 г. бяха изплатени 3,62 милиона евро.</w:t>
      </w:r>
    </w:p>
    <w:p>
      <w:pPr>
        <w:pStyle w:val="ListParagraph"/>
        <w:spacing w:line="240" w:lineRule="auto"/>
        <w:jc w:val="both"/>
        <w:rPr>
          <w:rFonts w:ascii="Times New Roman" w:hAnsi="Times New Roman" w:cs="Times New Roman"/>
          <w:noProof/>
          <w:sz w:val="24"/>
          <w:szCs w:val="24"/>
        </w:rPr>
      </w:pP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 регионалната програма за </w:t>
      </w:r>
      <w:r>
        <w:rPr>
          <w:rFonts w:ascii="Times New Roman" w:hAnsi="Times New Roman"/>
          <w:b/>
          <w:bCs/>
          <w:noProof/>
          <w:sz w:val="24"/>
          <w:szCs w:val="24"/>
        </w:rPr>
        <w:t>Индийския океан</w:t>
      </w:r>
      <w:r>
        <w:rPr>
          <w:rFonts w:ascii="Times New Roman" w:hAnsi="Times New Roman"/>
          <w:noProof/>
          <w:sz w:val="24"/>
          <w:szCs w:val="24"/>
        </w:rPr>
        <w:t xml:space="preserve"> (</w:t>
      </w:r>
      <w:r>
        <w:rPr>
          <w:rFonts w:ascii="Times New Roman" w:hAnsi="Times New Roman"/>
          <w:i/>
          <w:iCs/>
          <w:noProof/>
          <w:sz w:val="24"/>
          <w:szCs w:val="24"/>
        </w:rPr>
        <w:t>Programme Régional d’appui dans le secteur de l’observation, de la gestion et de la préservation des écosystèmes terrestres et marins</w:t>
      </w:r>
      <w:r>
        <w:rPr>
          <w:rFonts w:ascii="Times New Roman" w:hAnsi="Times New Roman"/>
          <w:noProof/>
          <w:sz w:val="24"/>
          <w:szCs w:val="24"/>
        </w:rPr>
        <w:t>, 4 милиона евро) се цели да бъдат подобрени надзорът и наблюдението на сухоземните и морските екосистеми във Френските южни и антарктически територии, да се възстановят екосистемите и да се укрепят механизмите за предотвратяване на въздействия. Споразумението за делегиране с Agence Française de Developpement (Френската агенция за развитие) беше подписано през юли 2019 г. и бяха изплатени 1,4 милиона евро.</w:t>
      </w:r>
      <w:r>
        <w:rPr>
          <w:noProof/>
        </w:rPr>
        <w:tab/>
        <w:t xml:space="preserve"> </w:t>
      </w:r>
      <w:r>
        <w:rPr>
          <w:noProof/>
        </w:rPr>
        <w:br/>
      </w:r>
    </w:p>
    <w:p>
      <w:pPr>
        <w:pStyle w:val="ListParagraph"/>
        <w:numPr>
          <w:ilvl w:val="0"/>
          <w:numId w:val="6"/>
        </w:numPr>
        <w:autoSpaceDE w:val="0"/>
        <w:autoSpaceDN w:val="0"/>
        <w:adjustRightInd w:val="0"/>
        <w:spacing w:after="167"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Програмният документ за </w:t>
      </w:r>
      <w:r>
        <w:rPr>
          <w:rFonts w:ascii="Times New Roman" w:hAnsi="Times New Roman"/>
          <w:b/>
          <w:noProof/>
          <w:sz w:val="24"/>
          <w:szCs w:val="24"/>
        </w:rPr>
        <w:t>тематичната програма за всички ОСТ по 11-ия ЕФР</w:t>
      </w:r>
      <w:r>
        <w:rPr>
          <w:rFonts w:ascii="Times New Roman" w:hAnsi="Times New Roman"/>
          <w:noProof/>
          <w:sz w:val="24"/>
          <w:szCs w:val="24"/>
        </w:rPr>
        <w:t xml:space="preserve"> (17,8 милиона евро) беше приет през март 2019 г. Тази програма се съсредоточава върху устойчивото използване на природните ресурси, като устойчивата енергия и изменението на климата — включително намаляването на риска от бедствия — са определени като подкомпоненти. Подписването на договора с избраната изпълнителна агенция се планира за 2020 г.</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И накрая, през 2019 г. ЕС подкрепи </w:t>
      </w:r>
      <w:r>
        <w:rPr>
          <w:rFonts w:ascii="Times New Roman" w:hAnsi="Times New Roman"/>
          <w:b/>
          <w:bCs/>
          <w:noProof/>
          <w:color w:val="000000"/>
          <w:sz w:val="24"/>
          <w:szCs w:val="24"/>
        </w:rPr>
        <w:t xml:space="preserve">Асоциацията на отвъдморските страни и територии (OCTA) с безвъзмездни средства за оперативни разходи </w:t>
      </w:r>
      <w:r>
        <w:rPr>
          <w:rFonts w:ascii="Times New Roman" w:hAnsi="Times New Roman"/>
          <w:noProof/>
          <w:color w:val="000000"/>
          <w:sz w:val="24"/>
          <w:szCs w:val="24"/>
        </w:rPr>
        <w:t>(550 000 EUR). Това позволи на Асоциацията да осигури по-голям капацитет за изпълнението на своя мандат, и по-специално да координира партньорските ОСТ с цел улесняване на диалога с ЕС, насърчаване на партньорството и подкрепа на колективната работа на членовете на Асоциацията в няколко области от взаимен интерес в рамките на асоциирането ЕС—ОСТ.</w:t>
      </w:r>
    </w:p>
    <w:p>
      <w:pPr>
        <w:autoSpaceDE w:val="0"/>
        <w:autoSpaceDN w:val="0"/>
        <w:adjustRightInd w:val="0"/>
        <w:spacing w:after="0" w:line="240" w:lineRule="auto"/>
        <w:rPr>
          <w:rFonts w:ascii="Times New Roman" w:hAnsi="Times New Roman" w:cs="Times New Roman"/>
          <w:noProof/>
          <w:color w:val="000000"/>
          <w:sz w:val="24"/>
          <w:szCs w:val="24"/>
        </w:rPr>
      </w:pPr>
    </w:p>
    <w:p>
      <w:pPr>
        <w:pStyle w:val="ListParagraph"/>
        <w:numPr>
          <w:ilvl w:val="0"/>
          <w:numId w:val="2"/>
        </w:num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b/>
          <w:bCs/>
          <w:noProof/>
          <w:color w:val="000000"/>
          <w:sz w:val="24"/>
          <w:szCs w:val="24"/>
        </w:rPr>
        <w:t xml:space="preserve">Институционален диалог </w:t>
      </w:r>
    </w:p>
    <w:p>
      <w:pPr>
        <w:pStyle w:val="ListParagraph"/>
        <w:autoSpaceDE w:val="0"/>
        <w:autoSpaceDN w:val="0"/>
        <w:adjustRightInd w:val="0"/>
        <w:spacing w:after="0" w:line="240" w:lineRule="auto"/>
        <w:rPr>
          <w:rFonts w:ascii="Times New Roman" w:hAnsi="Times New Roman" w:cs="Times New Roman"/>
          <w:noProof/>
          <w:color w:val="000000"/>
          <w:sz w:val="24"/>
          <w:szCs w:val="24"/>
          <w:lang w:val="en-US"/>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В Асоциацията се определят три структури за диалог:</w:t>
      </w:r>
    </w:p>
    <w:p>
      <w:pPr>
        <w:autoSpaceDE w:val="0"/>
        <w:autoSpaceDN w:val="0"/>
        <w:adjustRightInd w:val="0"/>
        <w:spacing w:after="0" w:line="240" w:lineRule="auto"/>
        <w:jc w:val="both"/>
        <w:rPr>
          <w:rFonts w:ascii="Times New Roman" w:hAnsi="Times New Roman" w:cs="Times New Roman"/>
          <w:noProof/>
          <w:color w:val="000000"/>
          <w:sz w:val="24"/>
          <w:szCs w:val="24"/>
          <w:lang w:val="en-US"/>
        </w:rPr>
      </w:pPr>
    </w:p>
    <w:p>
      <w:pPr>
        <w:autoSpaceDE w:val="0"/>
        <w:autoSpaceDN w:val="0"/>
        <w:adjustRightInd w:val="0"/>
        <w:spacing w:after="0" w:line="240" w:lineRule="auto"/>
        <w:jc w:val="both"/>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Форум ОСТ—ЕС </w:t>
      </w:r>
    </w:p>
    <w:p>
      <w:pPr>
        <w:autoSpaceDE w:val="0"/>
        <w:autoSpaceDN w:val="0"/>
        <w:adjustRightInd w:val="0"/>
        <w:spacing w:after="0" w:line="240" w:lineRule="auto"/>
        <w:jc w:val="both"/>
        <w:rPr>
          <w:rFonts w:ascii="Times New Roman" w:hAnsi="Times New Roman" w:cs="Times New Roman"/>
          <w:noProof/>
          <w:color w:val="000000"/>
          <w:sz w:val="24"/>
          <w:szCs w:val="24"/>
          <w:u w:val="single"/>
          <w:lang w:val="en-US"/>
        </w:rPr>
      </w:pP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17-ият форум ОСТ—ЕС се състоя през март 2019 г. във Френска Полинезия</w:t>
      </w:r>
      <w:r>
        <w:rPr>
          <w:rFonts w:ascii="Times New Roman" w:hAnsi="Times New Roman"/>
          <w:noProof/>
          <w:sz w:val="24"/>
          <w:szCs w:val="24"/>
        </w:rPr>
        <w:t xml:space="preserve"> с участието на представители на ОТС на високо равнище и на държавите членки и в присъствието на члена на Европейската комисия, отговарящ за международното сътрудничество и развитието</w:t>
      </w:r>
      <w:r>
        <w:rPr>
          <w:rFonts w:ascii="Times New Roman" w:hAnsi="Times New Roman"/>
          <w:noProof/>
          <w:color w:val="000000"/>
          <w:sz w:val="24"/>
          <w:szCs w:val="24"/>
        </w:rPr>
        <w:t xml:space="preserve">, Невен Мимица, </w:t>
      </w:r>
      <w:r>
        <w:rPr>
          <w:rFonts w:ascii="Times New Roman" w:hAnsi="Times New Roman"/>
          <w:noProof/>
          <w:sz w:val="24"/>
          <w:szCs w:val="24"/>
        </w:rPr>
        <w:t xml:space="preserve">който беше председател на форума.  </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В </w:t>
      </w:r>
      <w:r>
        <w:rPr>
          <w:rFonts w:ascii="Times New Roman" w:hAnsi="Times New Roman"/>
          <w:b/>
          <w:bCs/>
          <w:noProof/>
          <w:color w:val="000000"/>
          <w:sz w:val="24"/>
          <w:szCs w:val="24"/>
        </w:rPr>
        <w:t xml:space="preserve">заключенията от 17-ия форум ОСТ—ЕС </w:t>
      </w:r>
      <w:r>
        <w:rPr>
          <w:rFonts w:ascii="Times New Roman" w:hAnsi="Times New Roman"/>
          <w:noProof/>
          <w:color w:val="000000"/>
          <w:sz w:val="24"/>
          <w:szCs w:val="24"/>
        </w:rPr>
        <w:t xml:space="preserve">ЕС, ОСТ и държавите членки, с които ОСТ са свързани, </w:t>
      </w:r>
      <w:r>
        <w:rPr>
          <w:rFonts w:ascii="Times New Roman" w:hAnsi="Times New Roman"/>
          <w:noProof/>
          <w:sz w:val="24"/>
          <w:szCs w:val="24"/>
        </w:rPr>
        <w:t>потвърдиха, че 2019 г. представлява решителен момент за бъдещето на отношенията между ОСТ и ЕС с оглед на преговорите за новото решение за отвъдморско асоцииране, многогодишната финансова рамка на ЕС за периода 2021—2027 г., процеса на излизане на Обединеното кралство от ЕС и рамката за периода след Котону.</w:t>
      </w:r>
    </w:p>
    <w:p>
      <w:pPr>
        <w:autoSpaceDE w:val="0"/>
        <w:autoSpaceDN w:val="0"/>
        <w:adjustRightInd w:val="0"/>
        <w:spacing w:after="0" w:line="240" w:lineRule="auto"/>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В рамките на форума </w:t>
      </w:r>
      <w:r>
        <w:rPr>
          <w:rFonts w:ascii="Times New Roman" w:hAnsi="Times New Roman"/>
          <w:b/>
          <w:bCs/>
          <w:noProof/>
          <w:color w:val="000000"/>
          <w:sz w:val="24"/>
          <w:szCs w:val="24"/>
        </w:rPr>
        <w:t>се проведоха</w:t>
      </w:r>
      <w:r>
        <w:rPr>
          <w:rFonts w:ascii="Times New Roman" w:hAnsi="Times New Roman"/>
          <w:noProof/>
          <w:color w:val="000000"/>
          <w:sz w:val="24"/>
          <w:szCs w:val="24"/>
        </w:rPr>
        <w:t xml:space="preserve"> </w:t>
      </w:r>
      <w:r>
        <w:rPr>
          <w:rFonts w:ascii="Times New Roman" w:hAnsi="Times New Roman"/>
          <w:b/>
          <w:bCs/>
          <w:noProof/>
          <w:color w:val="000000"/>
          <w:sz w:val="24"/>
          <w:szCs w:val="24"/>
        </w:rPr>
        <w:t>тристранни срещи на политическо равнище</w:t>
      </w:r>
      <w:r>
        <w:rPr>
          <w:rFonts w:ascii="Times New Roman" w:hAnsi="Times New Roman"/>
          <w:noProof/>
          <w:color w:val="000000"/>
          <w:sz w:val="24"/>
          <w:szCs w:val="24"/>
        </w:rPr>
        <w:t xml:space="preserve"> (1 март 2019 г.) между представителите на държавите членки, с които ОСТ са свързани (включително с участието на министъра на отвъдморските територии на Франция), ръководителите на делегациите от ОСТ и европейския комисар, които предоставиха полезни възможности да се обсъди партньорството между ОСТ и ЕС в периода след 2020 г. Беше проведен и технически </w:t>
      </w:r>
      <w:r>
        <w:rPr>
          <w:rFonts w:ascii="Times New Roman" w:hAnsi="Times New Roman"/>
          <w:b/>
          <w:noProof/>
          <w:color w:val="000000"/>
          <w:sz w:val="24"/>
          <w:szCs w:val="24"/>
        </w:rPr>
        <w:t>семинар</w:t>
      </w:r>
      <w:r>
        <w:rPr>
          <w:rFonts w:ascii="Times New Roman" w:hAnsi="Times New Roman"/>
          <w:noProof/>
          <w:color w:val="000000"/>
          <w:sz w:val="24"/>
          <w:szCs w:val="24"/>
        </w:rPr>
        <w:t xml:space="preserve"> на тема </w:t>
      </w:r>
      <w:r>
        <w:rPr>
          <w:rFonts w:ascii="Times New Roman" w:hAnsi="Times New Roman"/>
          <w:b/>
          <w:noProof/>
          <w:color w:val="000000"/>
          <w:sz w:val="24"/>
          <w:szCs w:val="24"/>
        </w:rPr>
        <w:t>„Устойчиво развитие чрез регионално сътрудничество“</w:t>
      </w:r>
      <w:r>
        <w:rPr>
          <w:rFonts w:ascii="Times New Roman" w:hAnsi="Times New Roman"/>
          <w:noProof/>
          <w:color w:val="000000"/>
          <w:sz w:val="24"/>
          <w:szCs w:val="24"/>
        </w:rPr>
        <w:t>. Семинарът предостави добра възможност да се обсъди ролята, която ОСТ могат да изпълняват в укрепването на регионалното</w:t>
      </w:r>
      <w:r>
        <w:rPr>
          <w:rFonts w:ascii="Times New Roman" w:hAnsi="Times New Roman"/>
          <w:noProof/>
          <w:sz w:val="24"/>
          <w:szCs w:val="24"/>
        </w:rPr>
        <w:t xml:space="preserve"> сътрудничество в рамките на тяхната група съседни държави. </w:t>
      </w:r>
    </w:p>
    <w:p>
      <w:pPr>
        <w:autoSpaceDE w:val="0"/>
        <w:autoSpaceDN w:val="0"/>
        <w:adjustRightInd w:val="0"/>
        <w:spacing w:after="0" w:line="240" w:lineRule="auto"/>
        <w:rPr>
          <w:rFonts w:ascii="Times New Roman" w:hAnsi="Times New Roman" w:cs="Times New Roman"/>
          <w:noProof/>
          <w:color w:val="000000"/>
          <w:sz w:val="24"/>
          <w:szCs w:val="24"/>
        </w:rPr>
      </w:pPr>
    </w:p>
    <w:p>
      <w:pPr>
        <w:autoSpaceDE w:val="0"/>
        <w:autoSpaceDN w:val="0"/>
        <w:adjustRightInd w:val="0"/>
        <w:spacing w:after="0" w:line="240" w:lineRule="auto"/>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Тристранни консултации (тристранни срещи)</w:t>
      </w:r>
    </w:p>
    <w:p>
      <w:pPr>
        <w:autoSpaceDE w:val="0"/>
        <w:autoSpaceDN w:val="0"/>
        <w:adjustRightInd w:val="0"/>
        <w:spacing w:after="0" w:line="240" w:lineRule="auto"/>
        <w:rPr>
          <w:rFonts w:ascii="Times New Roman" w:hAnsi="Times New Roman" w:cs="Times New Roman"/>
          <w:noProof/>
          <w:color w:val="000000"/>
          <w:sz w:val="24"/>
          <w:szCs w:val="24"/>
        </w:rPr>
      </w:pPr>
    </w:p>
    <w:p>
      <w:pPr>
        <w:pStyle w:val="Default"/>
        <w:jc w:val="both"/>
        <w:rPr>
          <w:rFonts w:ascii="Times New Roman" w:hAnsi="Times New Roman" w:cs="Times New Roman"/>
          <w:noProof/>
          <w:color w:val="auto"/>
        </w:rPr>
      </w:pPr>
      <w:r>
        <w:rPr>
          <w:rFonts w:ascii="Times New Roman" w:hAnsi="Times New Roman"/>
          <w:b/>
          <w:bCs/>
          <w:noProof/>
        </w:rPr>
        <w:t xml:space="preserve">През 2019 г. </w:t>
      </w:r>
      <w:r>
        <w:rPr>
          <w:rFonts w:ascii="Times New Roman" w:hAnsi="Times New Roman"/>
          <w:bCs/>
          <w:noProof/>
        </w:rPr>
        <w:t>в Брюксел</w:t>
      </w:r>
      <w:r>
        <w:rPr>
          <w:rFonts w:ascii="Times New Roman" w:hAnsi="Times New Roman"/>
          <w:b/>
          <w:bCs/>
          <w:noProof/>
        </w:rPr>
        <w:t xml:space="preserve"> </w:t>
      </w:r>
      <w:r>
        <w:rPr>
          <w:rFonts w:ascii="Times New Roman" w:hAnsi="Times New Roman"/>
          <w:noProof/>
        </w:rPr>
        <w:t xml:space="preserve">(през април, юли и октомври) бяха организирани </w:t>
      </w:r>
      <w:r>
        <w:rPr>
          <w:rFonts w:ascii="Times New Roman" w:hAnsi="Times New Roman"/>
          <w:b/>
          <w:bCs/>
          <w:noProof/>
        </w:rPr>
        <w:t xml:space="preserve">три тристранни срещи между Комисията (която беше председател), представители на ОСТ и държавите членки, с които са свързани, </w:t>
      </w:r>
      <w:r>
        <w:rPr>
          <w:rFonts w:ascii="Times New Roman" w:hAnsi="Times New Roman"/>
          <w:noProof/>
        </w:rPr>
        <w:t>които предоставиха платформа за диалог с цел обмен на необходима информация, обсъждане на приоритетни теми от общ интерес и проследяване на напредъка по изпълнението на Решението за асоцииране.</w:t>
      </w:r>
    </w:p>
    <w:p>
      <w:pPr>
        <w:autoSpaceDE w:val="0"/>
        <w:autoSpaceDN w:val="0"/>
        <w:adjustRightInd w:val="0"/>
        <w:spacing w:after="0" w:line="240" w:lineRule="auto"/>
        <w:jc w:val="both"/>
        <w:rPr>
          <w:rFonts w:ascii="Times New Roman" w:hAnsi="Times New Roman" w:cs="Times New Roman"/>
          <w:noProof/>
          <w:color w:val="000000"/>
          <w:sz w:val="24"/>
          <w:szCs w:val="24"/>
          <w:u w:val="single"/>
        </w:rPr>
      </w:pPr>
    </w:p>
    <w:p>
      <w:pPr>
        <w:autoSpaceDE w:val="0"/>
        <w:autoSpaceDN w:val="0"/>
        <w:adjustRightInd w:val="0"/>
        <w:spacing w:after="0" w:line="240" w:lineRule="auto"/>
        <w:jc w:val="both"/>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Партньорски работни групи </w:t>
      </w:r>
    </w:p>
    <w:p>
      <w:pPr>
        <w:autoSpaceDE w:val="0"/>
        <w:autoSpaceDN w:val="0"/>
        <w:adjustRightInd w:val="0"/>
        <w:spacing w:after="0" w:line="240" w:lineRule="auto"/>
        <w:jc w:val="both"/>
        <w:rPr>
          <w:rFonts w:ascii="Times New Roman" w:hAnsi="Times New Roman" w:cs="Times New Roman"/>
          <w:noProof/>
          <w:color w:val="000000"/>
          <w:sz w:val="24"/>
          <w:szCs w:val="24"/>
          <w:u w:val="single"/>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През юли 2019 г. се проведе заседание на работната група по партньорство </w:t>
      </w:r>
      <w:r>
        <w:rPr>
          <w:rFonts w:ascii="Times New Roman" w:hAnsi="Times New Roman"/>
          <w:b/>
          <w:noProof/>
          <w:color w:val="000000"/>
          <w:sz w:val="24"/>
          <w:szCs w:val="24"/>
        </w:rPr>
        <w:t>в областта на околната среда, изменението на климата</w:t>
      </w:r>
      <w:r>
        <w:rPr>
          <w:rFonts w:ascii="Times New Roman" w:hAnsi="Times New Roman"/>
          <w:noProof/>
          <w:color w:val="000000"/>
          <w:sz w:val="24"/>
          <w:szCs w:val="24"/>
        </w:rPr>
        <w:t xml:space="preserve"> </w:t>
      </w:r>
      <w:r>
        <w:rPr>
          <w:rFonts w:ascii="Times New Roman" w:hAnsi="Times New Roman"/>
          <w:b/>
          <w:noProof/>
          <w:color w:val="000000"/>
          <w:sz w:val="24"/>
          <w:szCs w:val="24"/>
        </w:rPr>
        <w:t>и устойчивата енергия</w:t>
      </w:r>
      <w:r>
        <w:rPr>
          <w:rFonts w:ascii="Times New Roman" w:hAnsi="Times New Roman"/>
          <w:noProof/>
          <w:color w:val="000000"/>
          <w:sz w:val="24"/>
          <w:szCs w:val="24"/>
        </w:rPr>
        <w:t xml:space="preserve">, по-специално за обмен на информация за различните аспекти, свързани с политиките и инициативите на ЕС за океаните, най-добрите практики и програмите за околната среда и действията по климата (LIFE). </w:t>
      </w:r>
    </w:p>
    <w:p>
      <w:pPr>
        <w:pStyle w:val="Default"/>
        <w:jc w:val="both"/>
        <w:rPr>
          <w:rStyle w:val="A0"/>
          <w:rFonts w:ascii="Times New Roman" w:hAnsi="Times New Roman" w:cs="Times New Roman"/>
          <w:noProof/>
          <w:sz w:val="24"/>
          <w:szCs w:val="24"/>
        </w:rPr>
      </w:pPr>
      <w:r>
        <w:rPr>
          <w:rFonts w:ascii="Times New Roman" w:hAnsi="Times New Roman"/>
          <w:noProof/>
        </w:rPr>
        <w:t xml:space="preserve">В допълнение към институционалната рамка и структурите за диалог през 2019 г. </w:t>
      </w:r>
      <w:r>
        <w:rPr>
          <w:rFonts w:ascii="Times New Roman" w:hAnsi="Times New Roman"/>
          <w:b/>
          <w:noProof/>
        </w:rPr>
        <w:t>OCTA</w:t>
      </w:r>
      <w:r>
        <w:rPr>
          <w:rFonts w:ascii="Times New Roman" w:hAnsi="Times New Roman"/>
          <w:noProof/>
        </w:rPr>
        <w:t xml:space="preserve"> </w:t>
      </w:r>
      <w:r>
        <w:rPr>
          <w:rFonts w:ascii="Times New Roman" w:hAnsi="Times New Roman"/>
          <w:b/>
          <w:noProof/>
        </w:rPr>
        <w:t>организира три събития</w:t>
      </w:r>
      <w:r>
        <w:rPr>
          <w:rFonts w:ascii="Times New Roman" w:hAnsi="Times New Roman"/>
          <w:noProof/>
        </w:rPr>
        <w:t xml:space="preserve"> </w:t>
      </w:r>
      <w:r>
        <w:rPr>
          <w:rFonts w:ascii="Times New Roman" w:hAnsi="Times New Roman"/>
          <w:b/>
          <w:noProof/>
        </w:rPr>
        <w:t>с подкрепата на Комисията</w:t>
      </w:r>
      <w:r>
        <w:rPr>
          <w:rFonts w:ascii="Times New Roman" w:hAnsi="Times New Roman"/>
          <w:noProof/>
        </w:rPr>
        <w:t xml:space="preserve">. През октомври беше проведена </w:t>
      </w:r>
      <w:r>
        <w:rPr>
          <w:rFonts w:ascii="Times New Roman" w:hAnsi="Times New Roman"/>
          <w:b/>
          <w:noProof/>
        </w:rPr>
        <w:t>конференция</w:t>
      </w:r>
      <w:r>
        <w:rPr>
          <w:rFonts w:ascii="Times New Roman" w:hAnsi="Times New Roman"/>
          <w:noProof/>
        </w:rPr>
        <w:t xml:space="preserve"> под надслов </w:t>
      </w:r>
      <w:r>
        <w:rPr>
          <w:rFonts w:ascii="Times New Roman" w:hAnsi="Times New Roman"/>
          <w:bCs/>
          <w:noProof/>
        </w:rPr>
        <w:t>From the Poles to the Tropics, OCT’s Blue Landscape</w:t>
      </w:r>
      <w:r>
        <w:rPr>
          <w:rFonts w:ascii="Times New Roman" w:hAnsi="Times New Roman"/>
          <w:noProof/>
        </w:rPr>
        <w:t xml:space="preserve"> (</w:t>
      </w:r>
      <w:r>
        <w:rPr>
          <w:rFonts w:ascii="Times New Roman" w:hAnsi="Times New Roman"/>
          <w:bCs/>
          <w:noProof/>
        </w:rPr>
        <w:t>От полюсите до тропиците — синият пейзаж на отвъдморските страни и територии</w:t>
      </w:r>
      <w:r>
        <w:rPr>
          <w:rFonts w:ascii="Times New Roman" w:hAnsi="Times New Roman"/>
          <w:noProof/>
        </w:rPr>
        <w:t>)</w:t>
      </w:r>
      <w:r>
        <w:rPr>
          <w:rFonts w:ascii="Times New Roman" w:hAnsi="Times New Roman"/>
          <w:bCs/>
          <w:noProof/>
        </w:rPr>
        <w:t xml:space="preserve">, довела до подписването на </w:t>
      </w:r>
      <w:r>
        <w:rPr>
          <w:rFonts w:ascii="Times New Roman" w:hAnsi="Times New Roman"/>
          <w:b/>
          <w:noProof/>
        </w:rPr>
        <w:t>OCT Declaration on Ocean</w:t>
      </w:r>
      <w:r>
        <w:rPr>
          <w:rFonts w:ascii="Times New Roman" w:hAnsi="Times New Roman"/>
          <w:noProof/>
        </w:rPr>
        <w:t xml:space="preserve"> (Декларацията на ОСТ за океана), с която се подчертава ангажиментът за опазване на океаните и стимулиране на техните социални и икономически ценности. През декември 2019 г. </w:t>
      </w:r>
      <w:r>
        <w:rPr>
          <w:rFonts w:ascii="Times New Roman" w:hAnsi="Times New Roman"/>
          <w:b/>
          <w:bCs/>
          <w:noProof/>
        </w:rPr>
        <w:t>беше организирана работна среща относно устойчивата енергия</w:t>
      </w:r>
      <w:r>
        <w:rPr>
          <w:rFonts w:ascii="Times New Roman" w:hAnsi="Times New Roman"/>
          <w:noProof/>
        </w:rPr>
        <w:t xml:space="preserve"> Това даде възможност на енергийни технически експерти от ОСТ и Комисията да обсъдят тази тема от общ интерес. ОСТ представиха напредъка, постигнат при прилагането на своята Енергийна пътна карта, подписана през 2015 г. И накрая, през декември 2019 г. OCTA организира </w:t>
      </w:r>
      <w:r>
        <w:rPr>
          <w:rFonts w:ascii="Times New Roman" w:hAnsi="Times New Roman"/>
          <w:b/>
          <w:noProof/>
        </w:rPr>
        <w:t>работна среща относно програмите на ЕС</w:t>
      </w:r>
      <w:r>
        <w:rPr>
          <w:rFonts w:ascii="Times New Roman" w:hAnsi="Times New Roman"/>
          <w:noProof/>
        </w:rPr>
        <w:t xml:space="preserve">, която имаше за цел </w:t>
      </w:r>
      <w:r>
        <w:rPr>
          <w:rStyle w:val="A0"/>
          <w:rFonts w:ascii="Times New Roman" w:hAnsi="Times New Roman"/>
          <w:noProof/>
          <w:sz w:val="24"/>
          <w:szCs w:val="24"/>
        </w:rPr>
        <w:t xml:space="preserve">да предостави информация за програмите на ЕС и възможностите за финансиране за ОСТ. </w:t>
      </w:r>
    </w:p>
    <w:p>
      <w:pPr>
        <w:pStyle w:val="Default"/>
        <w:jc w:val="both"/>
        <w:rPr>
          <w:rFonts w:ascii="Times New Roman" w:hAnsi="Times New Roman" w:cs="Times New Roman"/>
          <w:noProof/>
        </w:rPr>
      </w:pPr>
    </w:p>
    <w:p>
      <w:pPr>
        <w:pStyle w:val="Default"/>
        <w:rPr>
          <w:rFonts w:ascii="Times New Roman" w:hAnsi="Times New Roman" w:cs="Times New Roman"/>
          <w:noProof/>
        </w:rPr>
      </w:pPr>
    </w:p>
    <w:p>
      <w:pPr>
        <w:pStyle w:val="ListParagraph"/>
        <w:numPr>
          <w:ilvl w:val="0"/>
          <w:numId w:val="2"/>
        </w:num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b/>
          <w:bCs/>
          <w:noProof/>
          <w:color w:val="000000"/>
          <w:sz w:val="24"/>
          <w:szCs w:val="24"/>
        </w:rPr>
        <w:t xml:space="preserve">Европейска инвестиционна банка  </w:t>
      </w:r>
    </w:p>
    <w:p>
      <w:pPr>
        <w:autoSpaceDE w:val="0"/>
        <w:autoSpaceDN w:val="0"/>
        <w:adjustRightInd w:val="0"/>
        <w:spacing w:after="0" w:line="240" w:lineRule="auto"/>
        <w:rPr>
          <w:rFonts w:ascii="Times New Roman" w:hAnsi="Times New Roman" w:cs="Times New Roman"/>
          <w:noProof/>
          <w:color w:val="000000"/>
          <w:sz w:val="24"/>
          <w:szCs w:val="24"/>
          <w:lang w:val="en-US"/>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В </w:t>
      </w:r>
      <w:r>
        <w:rPr>
          <w:rFonts w:ascii="Times New Roman" w:hAnsi="Times New Roman"/>
          <w:noProof/>
          <w:color w:val="000000"/>
          <w:sz w:val="24"/>
          <w:szCs w:val="24"/>
        </w:rPr>
        <w:t xml:space="preserve">Решението за отвъдморско асоцииране е предвидено финансовата помощ за ОСТ да бъде предоставена чрез финансови механизми, управлявани от Европейската инвестиционна банка (ЕИБ) </w:t>
      </w:r>
      <w:r>
        <w:rPr>
          <w:rFonts w:ascii="Times New Roman" w:hAnsi="Times New Roman"/>
          <w:noProof/>
          <w:sz w:val="24"/>
          <w:szCs w:val="24"/>
        </w:rPr>
        <w:t>за периода 2014—2020 г. по линията на 3-тия Финансов протокол</w:t>
      </w:r>
      <w:r>
        <w:rPr>
          <w:rFonts w:ascii="Times New Roman" w:hAnsi="Times New Roman"/>
          <w:noProof/>
          <w:color w:val="000000"/>
          <w:sz w:val="24"/>
          <w:szCs w:val="24"/>
        </w:rPr>
        <w:t>: Инвестиционния механизъм за ОСТ (понастоящем на стойност: 48,5 милиона евро), финансирането за лихвени субсидии и техническа помощ (5 милиона евро) и собствените ресурси на ЕИБ (до 100 милиона евро).</w:t>
      </w:r>
      <w:r>
        <w:rPr>
          <w:rFonts w:ascii="Times New Roman" w:hAnsi="Times New Roman"/>
          <w:noProof/>
        </w:rPr>
        <w:t xml:space="preserve"> </w:t>
      </w:r>
    </w:p>
    <w:p>
      <w:pPr>
        <w:autoSpaceDE w:val="0"/>
        <w:autoSpaceDN w:val="0"/>
        <w:adjustRightInd w:val="0"/>
        <w:spacing w:after="0" w:line="240" w:lineRule="auto"/>
        <w:jc w:val="both"/>
        <w:rPr>
          <w:rFonts w:ascii="Times New Roman" w:hAnsi="Times New Roman" w:cs="Times New Roman"/>
          <w:noProof/>
          <w:color w:val="000000"/>
          <w:sz w:val="24"/>
          <w:szCs w:val="24"/>
          <w:lang w:val="en-US"/>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През юли 2019 г. в рамките на </w:t>
      </w:r>
      <w:r>
        <w:rPr>
          <w:rFonts w:ascii="Times New Roman" w:hAnsi="Times New Roman"/>
          <w:b/>
          <w:noProof/>
          <w:color w:val="000000"/>
          <w:sz w:val="24"/>
          <w:szCs w:val="24"/>
        </w:rPr>
        <w:t>Инвестиционния механизъм на ЕИБ за ОСТ</w:t>
      </w:r>
      <w:r>
        <w:rPr>
          <w:rFonts w:ascii="Times New Roman" w:hAnsi="Times New Roman"/>
          <w:noProof/>
          <w:color w:val="000000"/>
          <w:sz w:val="24"/>
          <w:szCs w:val="24"/>
        </w:rPr>
        <w:t xml:space="preserve"> беше подписана една нова операция за Нова Каледония (24 милиона евро) с цел финансиране на заеми от предприятия, разположени в отдалечени области, и много малки предприятия. Продължават други операции, чиято обща стойност в края на 2019 г. беше 85,39 милиона евро. Сумата надвишава размера на началния капитал, тъй като фондът е револвиращ и някои обратни постъпления отново са били предоставени като заеми.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Що се отнася до пакета за </w:t>
      </w:r>
      <w:r>
        <w:rPr>
          <w:rFonts w:ascii="Times New Roman" w:hAnsi="Times New Roman"/>
          <w:b/>
          <w:noProof/>
          <w:color w:val="000000"/>
          <w:sz w:val="24"/>
          <w:szCs w:val="24"/>
        </w:rPr>
        <w:t xml:space="preserve">лихвени субсидии и техническа помощ, </w:t>
      </w:r>
      <w:r>
        <w:rPr>
          <w:rFonts w:ascii="Times New Roman" w:hAnsi="Times New Roman"/>
          <w:noProof/>
          <w:color w:val="000000"/>
          <w:sz w:val="24"/>
          <w:szCs w:val="24"/>
        </w:rPr>
        <w:t xml:space="preserve">ЕИБ подписа 4,25 милиона евро през 2019 г. за операцията за Летище Синт Мартен (вж. по-долу).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През декември 2019 г. ЕИБ подписа 44,3 милиона евро в рамките на </w:t>
      </w:r>
      <w:r>
        <w:rPr>
          <w:rFonts w:ascii="Times New Roman" w:hAnsi="Times New Roman"/>
          <w:b/>
          <w:noProof/>
          <w:color w:val="000000"/>
          <w:sz w:val="24"/>
          <w:szCs w:val="24"/>
        </w:rPr>
        <w:t>пакета от собствени ресурси на ЕИБ за ОСТ</w:t>
      </w:r>
      <w:r>
        <w:rPr>
          <w:rFonts w:ascii="Times New Roman" w:hAnsi="Times New Roman"/>
          <w:noProof/>
          <w:color w:val="000000"/>
          <w:sz w:val="24"/>
          <w:szCs w:val="24"/>
        </w:rPr>
        <w:t xml:space="preserve">, предназначени за възстановяване на летището в Синт Мартен от последиците от урагана.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pStyle w:val="Default"/>
        <w:jc w:val="both"/>
        <w:rPr>
          <w:rFonts w:ascii="Times New Roman" w:hAnsi="Times New Roman" w:cs="Times New Roman"/>
          <w:noProof/>
          <w:color w:val="auto"/>
        </w:rPr>
      </w:pPr>
      <w:r>
        <w:rPr>
          <w:rFonts w:ascii="Times New Roman" w:hAnsi="Times New Roman"/>
          <w:noProof/>
          <w:color w:val="auto"/>
        </w:rPr>
        <w:t xml:space="preserve">По отношение на останалите средства се извършва мониторинг на планираните проекти с цел пълноценно използване на наличните средства до края на 2020 г.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p>
    <w:p>
      <w:pPr>
        <w:autoSpaceDE w:val="0"/>
        <w:autoSpaceDN w:val="0"/>
        <w:adjustRightInd w:val="0"/>
        <w:spacing w:after="0" w:line="240" w:lineRule="auto"/>
        <w:rPr>
          <w:rFonts w:ascii="Times New Roman" w:hAnsi="Times New Roman" w:cs="Times New Roman"/>
          <w:b/>
          <w:bCs/>
          <w:noProof/>
          <w:color w:val="000000"/>
          <w:sz w:val="24"/>
          <w:szCs w:val="24"/>
          <w:u w:val="single"/>
        </w:rPr>
      </w:pPr>
      <w:r>
        <w:rPr>
          <w:rFonts w:ascii="Times New Roman" w:hAnsi="Times New Roman"/>
          <w:b/>
          <w:bCs/>
          <w:noProof/>
          <w:color w:val="000000"/>
          <w:sz w:val="24"/>
          <w:szCs w:val="24"/>
          <w:u w:val="single"/>
        </w:rPr>
        <w:t xml:space="preserve">Перспективи </w:t>
      </w:r>
    </w:p>
    <w:p>
      <w:pPr>
        <w:autoSpaceDE w:val="0"/>
        <w:autoSpaceDN w:val="0"/>
        <w:adjustRightInd w:val="0"/>
        <w:spacing w:after="0" w:line="240" w:lineRule="auto"/>
        <w:rPr>
          <w:rFonts w:ascii="Times New Roman" w:hAnsi="Times New Roman" w:cs="Times New Roman"/>
          <w:noProof/>
          <w:color w:val="000000"/>
          <w:sz w:val="24"/>
          <w:szCs w:val="24"/>
          <w:u w:val="single"/>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2020 година ще бъде </w:t>
      </w:r>
      <w:r>
        <w:rPr>
          <w:rFonts w:ascii="Times New Roman" w:hAnsi="Times New Roman"/>
          <w:noProof/>
          <w:sz w:val="24"/>
          <w:szCs w:val="24"/>
        </w:rPr>
        <w:t xml:space="preserve">решителен момент за бъдещето на отношенията между ОСТ и ЕС с оглед на финализирането на преговорите за новото решение за отвъдморско асоцииране, включително Гренландия, свързано с многогодишната финансова рамка на ЕС за периода 2021—2027 г. Това също така ще бъде година от ключово значение за преговорите относно рамката за периода след Котону и Инструмента за съседство, сътрудничество за развитие и международно сътрудничество. 2020 година ще бъде белязана и от излизането на Обединеното кралство от ЕС, което ще окаже влияние върху групата на ОСТ.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В този контекст укрепването на диалога с ОСТ ще бъде от особено значение. Този процес ще бъде подпомогнат от постоянна подкрепа за Асоциацията на ОСТ, както и за самите ОСТ чрез Механизма за техническо сътрудничество. </w:t>
      </w:r>
      <w:r>
        <w:rPr>
          <w:noProof/>
        </w:rPr>
        <w:tab/>
      </w:r>
    </w:p>
    <w:p>
      <w:pPr>
        <w:pStyle w:val="Default"/>
        <w:jc w:val="both"/>
        <w:rPr>
          <w:rFonts w:ascii="Times New Roman" w:hAnsi="Times New Roman" w:cs="Times New Roman"/>
          <w:noProof/>
        </w:rPr>
      </w:pPr>
      <w:r>
        <w:rPr>
          <w:rFonts w:ascii="Times New Roman" w:hAnsi="Times New Roman"/>
          <w:noProof/>
        </w:rPr>
        <w:t xml:space="preserve">И накрая, напредъкът по програмирането за останалите две териториални програми, посочени по-горе, ще бъде от съществено значение, за да се гарантират приемането им до края на 2020 г. и поемането на задължения за изразходване на целия пакет, който е на разположение на ОСТ по линия на 11-ия ЕФР.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3246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pacing w:val="-6"/>
          <w:vertAlign w:val="superscript"/>
        </w:rPr>
      </w:pPr>
      <w:r>
        <w:rPr>
          <w:rFonts w:ascii="Times New Roman" w:hAnsi="Times New Roman" w:cs="Times New Roman"/>
          <w:spacing w:val="-6"/>
          <w:vertAlign w:val="superscript"/>
        </w:rPr>
        <w:footnoteRef/>
      </w:r>
      <w:r>
        <w:rPr>
          <w:rFonts w:ascii="Times New Roman" w:hAnsi="Times New Roman"/>
          <w:spacing w:val="-6"/>
        </w:rPr>
        <w:t xml:space="preserve"> Решение на Съвета 2013/755/ЕС за асоцииране на отвъдморските страни и територии към Европейския съюз.</w:t>
      </w:r>
    </w:p>
  </w:footnote>
  <w:footnote w:id="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До 31 януари 2020 г. ОСТ на ЕС бяха свързани с четири държави — членки на ЕС: Дания, Франция, Обединеното кралство и Нидерландия. 25-те ОСТ на ЕС бяха: Ангила, Аруба, Бермуда, Бонер, Британска антарктическа територия, Британски територии в Индийския океан, Британски Вирджински острови, Кайманови острови, Кюрасао, Фолкландски острови, Френска Полинезия, Френски южни и антарктически територии, Гренландия, Монтсерат, Нова Каледония, острови Питкерн, Саба, остров Света Елена и зависимите територии, Синт Мартен, Сен Пиер и Микелон, Сен Бартелеми, Синт Еустациус, Южна Джорджия и Южни Сандвичеви острови, Търкс и Кайкос, островите Уолис и Футуна.</w:t>
      </w:r>
    </w:p>
    <w:p>
      <w:pPr>
        <w:pStyle w:val="FootnoteText"/>
        <w:jc w:val="both"/>
        <w:rPr>
          <w:rFonts w:ascii="Times New Roman" w:hAnsi="Times New Roman" w:cs="Times New Roman"/>
          <w:vertAlign w:val="superscript"/>
        </w:rPr>
      </w:pPr>
      <w:r>
        <w:rPr>
          <w:rFonts w:ascii="Times New Roman" w:hAnsi="Times New Roman"/>
        </w:rPr>
        <w:t>След оттеглянето на Обединеното кралство на 31 януари 2020 г. ОСТ на ЕС останаха 13: Гренландия (Дания), Френска Полинезия (Франция), Френски южни и антарктически територии (Франция), Нова Каледония и зависимите територии (Франция), Сен Бартелеми (Франция), Сен Пиер и Микелон (Франция), острови Уолис и Футуна (Франция), Аруба (Нидерландия), Бонер (Нидерландия), Кюрасао (Нидерландия), Саба (Нидерландия), Синт Еустациус (Нидерландия), Синт Мартен (Нидерландия).</w:t>
      </w:r>
      <w:r>
        <w:rPr>
          <w:rFonts w:ascii="Times New Roman" w:hAnsi="Times New Roman"/>
          <w:vertAlign w:val="superscript"/>
        </w:rPr>
        <w:t xml:space="preserve"> </w:t>
      </w:r>
    </w:p>
  </w:footnote>
  <w:footnote w:id="3">
    <w:p>
      <w:pPr>
        <w:pStyle w:val="FootnoteText"/>
        <w:jc w:val="both"/>
        <w:rPr>
          <w:rFonts w:ascii="Times New Roman" w:hAnsi="Times New Roman" w:cs="Times New Roman"/>
          <w:vertAlign w:val="superscript"/>
        </w:rPr>
      </w:pPr>
      <w:r>
        <w:rPr>
          <w:rFonts w:ascii="Times New Roman" w:hAnsi="Times New Roman" w:cs="Times New Roman"/>
          <w:vertAlign w:val="superscript"/>
        </w:rPr>
        <w:footnoteRef/>
      </w:r>
      <w:r>
        <w:rPr>
          <w:rFonts w:ascii="Times New Roman" w:hAnsi="Times New Roman"/>
        </w:rPr>
        <w:t xml:space="preserve"> Част четвърта от Договора за функционирането на Европейския съюз (ОВ С 326, 26.10.2012 г., стр. 47).</w:t>
      </w:r>
      <w:r>
        <w:rPr>
          <w:rFonts w:ascii="Times New Roman" w:hAnsi="Times New Roman"/>
          <w:vertAlign w:val="superscript"/>
        </w:rPr>
        <w:t xml:space="preserve"> </w:t>
      </w:r>
    </w:p>
  </w:footnote>
  <w:footnote w:id="4">
    <w:p>
      <w:pPr>
        <w:pStyle w:val="FootnoteText"/>
        <w:jc w:val="both"/>
        <w:rPr>
          <w:rFonts w:ascii="Times New Roman" w:hAnsi="Times New Roman" w:cs="Times New Roman"/>
          <w:vertAlign w:val="superscript"/>
        </w:rPr>
      </w:pPr>
      <w:r>
        <w:rPr>
          <w:rFonts w:ascii="Times New Roman" w:hAnsi="Times New Roman" w:cs="Times New Roman"/>
          <w:vertAlign w:val="superscript"/>
        </w:rPr>
        <w:footnoteRef/>
      </w:r>
      <w:r>
        <w:rPr>
          <w:rFonts w:ascii="Times New Roman" w:hAnsi="Times New Roman"/>
        </w:rPr>
        <w:t xml:space="preserve"> Вътрешно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 (ОВ L 210, 6.8.2013 г., стр. 1). </w:t>
      </w:r>
    </w:p>
  </w:footnote>
  <w:footnote w:id="5">
    <w:p>
      <w:pPr>
        <w:pStyle w:val="FootnoteText"/>
        <w:jc w:val="both"/>
        <w:rPr>
          <w:vertAlign w:val="superscript"/>
        </w:rPr>
      </w:pPr>
      <w:r>
        <w:rPr>
          <w:rFonts w:ascii="Times New Roman" w:hAnsi="Times New Roman" w:cs="Times New Roman"/>
          <w:vertAlign w:val="superscript"/>
        </w:rPr>
        <w:footnoteRef/>
      </w:r>
      <w:r>
        <w:rPr>
          <w:rFonts w:ascii="Times New Roman" w:hAnsi="Times New Roman"/>
        </w:rPr>
        <w:t xml:space="preserve"> Съгласно Решение 2014/137/ЕС на Съвета за отношенията между ЕС, от една страна, и Гренландия и Кралство Дания, от друга страна, се отпускат 217,8 милиона евро за периода 2014—2020 г. за сътрудничество между Съюза и Гренландия в област от взаимен интерес.</w:t>
      </w:r>
      <w:r>
        <w:rPr>
          <w:vertAlign w:val="superscript"/>
        </w:rPr>
        <w:t xml:space="preserve"> </w:t>
      </w:r>
    </w:p>
  </w:footnote>
  <w:footnote w:id="6">
    <w:p>
      <w:pPr>
        <w:pStyle w:val="FootnoteText"/>
        <w:jc w:val="both"/>
        <w:rPr>
          <w:vertAlign w:val="superscript"/>
        </w:rPr>
      </w:pPr>
      <w:r>
        <w:rPr>
          <w:rFonts w:ascii="Times New Roman" w:hAnsi="Times New Roman" w:cs="Times New Roman"/>
          <w:vertAlign w:val="superscript"/>
          <w:lang w:val="en-US"/>
        </w:rPr>
        <w:footnoteRef/>
      </w:r>
      <w:r>
        <w:rPr>
          <w:rFonts w:ascii="Times New Roman" w:hAnsi="Times New Roman"/>
        </w:rPr>
        <w:t xml:space="preserve"> Териториалните програми за Аруба (13,05 милиона евро) и Бонер (3,95 милиона евро) бяха приети през февруари 2019 г.</w:t>
      </w:r>
      <w:r>
        <w:rPr>
          <w:rFonts w:ascii="Times New Roman" w:hAnsi="Times New Roman"/>
          <w:sz w:val="13"/>
          <w:szCs w:val="13"/>
          <w:vertAlign w:val="superscript"/>
        </w:rPr>
        <w:t xml:space="preserve"> </w:t>
      </w:r>
    </w:p>
  </w:footnote>
  <w:footnote w:id="7">
    <w:p>
      <w:pPr>
        <w:pStyle w:val="FootnoteText"/>
        <w:rPr>
          <w:vertAlign w:val="superscript"/>
        </w:rPr>
      </w:pPr>
      <w:r>
        <w:rPr>
          <w:rFonts w:ascii="Times New Roman" w:hAnsi="Times New Roman" w:cs="Times New Roman"/>
          <w:vertAlign w:val="superscript"/>
          <w:lang w:val="en-US"/>
        </w:rPr>
        <w:footnoteRef/>
      </w:r>
      <w:r>
        <w:rPr>
          <w:rFonts w:ascii="Times New Roman" w:hAnsi="Times New Roman"/>
        </w:rPr>
        <w:t xml:space="preserve"> С тази помощ балансът на пакет Б (с първоначална стойност 21,5 милиона евро съгласно приложение II към Решението за асоцииране от 2013 г.) възлиза на 6,45 милиона евро в края на 2019 г.</w:t>
      </w:r>
      <w:r>
        <w:rPr>
          <w:rFonts w:ascii="Times New Roman" w:hAnsi="Times New Roman"/>
          <w:sz w:val="13"/>
          <w:szCs w:val="13"/>
          <w:vertAlign w:val="superscript"/>
        </w:rPr>
        <w:t xml:space="preserve"> </w:t>
      </w:r>
    </w:p>
  </w:footnote>
  <w:footnote w:id="8">
    <w:p>
      <w:pPr>
        <w:pStyle w:val="FootnoteText"/>
        <w:rPr>
          <w:rFonts w:ascii="Times New Roman" w:hAnsi="Times New Roman" w:cs="Times New Roman"/>
          <w:sz w:val="13"/>
          <w:szCs w:val="13"/>
        </w:rPr>
      </w:pPr>
      <w:r>
        <w:rPr>
          <w:rFonts w:ascii="Times New Roman" w:hAnsi="Times New Roman" w:cs="Times New Roman"/>
          <w:vertAlign w:val="superscript"/>
          <w:lang w:val="en-US"/>
        </w:rPr>
        <w:footnoteRef/>
      </w:r>
      <w:r>
        <w:rPr>
          <w:rFonts w:ascii="Times New Roman" w:hAnsi="Times New Roman"/>
        </w:rPr>
        <w:t xml:space="preserve"> Подводният кабел от Самоа до Уолис и Футуна преминава през Апия, Самоа и Сува, Фиджи, с наземни станции в Савайи, Савусаву и Уолис и Футуна.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7E7"/>
    <w:multiLevelType w:val="hybridMultilevel"/>
    <w:tmpl w:val="D07E1A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9475D04"/>
    <w:multiLevelType w:val="hybridMultilevel"/>
    <w:tmpl w:val="7D86E6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616560F"/>
    <w:multiLevelType w:val="hybridMultilevel"/>
    <w:tmpl w:val="77D0D8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3A505E5"/>
    <w:multiLevelType w:val="hybridMultilevel"/>
    <w:tmpl w:val="854E65FE"/>
    <w:lvl w:ilvl="0" w:tplc="080C0001">
      <w:start w:val="1"/>
      <w:numFmt w:val="bullet"/>
      <w:lvlText w:val=""/>
      <w:lvlJc w:val="left"/>
      <w:pPr>
        <w:ind w:left="778" w:hanging="360"/>
      </w:pPr>
      <w:rPr>
        <w:rFonts w:ascii="Symbol" w:hAnsi="Symbol" w:hint="default"/>
      </w:rPr>
    </w:lvl>
    <w:lvl w:ilvl="1" w:tplc="080C0003" w:tentative="1">
      <w:start w:val="1"/>
      <w:numFmt w:val="bullet"/>
      <w:lvlText w:val="o"/>
      <w:lvlJc w:val="left"/>
      <w:pPr>
        <w:ind w:left="1498" w:hanging="360"/>
      </w:pPr>
      <w:rPr>
        <w:rFonts w:ascii="Courier New" w:hAnsi="Courier New" w:cs="Courier New" w:hint="default"/>
      </w:rPr>
    </w:lvl>
    <w:lvl w:ilvl="2" w:tplc="080C0005" w:tentative="1">
      <w:start w:val="1"/>
      <w:numFmt w:val="bullet"/>
      <w:lvlText w:val=""/>
      <w:lvlJc w:val="left"/>
      <w:pPr>
        <w:ind w:left="2218" w:hanging="360"/>
      </w:pPr>
      <w:rPr>
        <w:rFonts w:ascii="Wingdings" w:hAnsi="Wingdings" w:hint="default"/>
      </w:rPr>
    </w:lvl>
    <w:lvl w:ilvl="3" w:tplc="080C0001" w:tentative="1">
      <w:start w:val="1"/>
      <w:numFmt w:val="bullet"/>
      <w:lvlText w:val=""/>
      <w:lvlJc w:val="left"/>
      <w:pPr>
        <w:ind w:left="2938" w:hanging="360"/>
      </w:pPr>
      <w:rPr>
        <w:rFonts w:ascii="Symbol" w:hAnsi="Symbol" w:hint="default"/>
      </w:rPr>
    </w:lvl>
    <w:lvl w:ilvl="4" w:tplc="080C0003" w:tentative="1">
      <w:start w:val="1"/>
      <w:numFmt w:val="bullet"/>
      <w:lvlText w:val="o"/>
      <w:lvlJc w:val="left"/>
      <w:pPr>
        <w:ind w:left="3658" w:hanging="360"/>
      </w:pPr>
      <w:rPr>
        <w:rFonts w:ascii="Courier New" w:hAnsi="Courier New" w:cs="Courier New" w:hint="default"/>
      </w:rPr>
    </w:lvl>
    <w:lvl w:ilvl="5" w:tplc="080C0005" w:tentative="1">
      <w:start w:val="1"/>
      <w:numFmt w:val="bullet"/>
      <w:lvlText w:val=""/>
      <w:lvlJc w:val="left"/>
      <w:pPr>
        <w:ind w:left="4378" w:hanging="360"/>
      </w:pPr>
      <w:rPr>
        <w:rFonts w:ascii="Wingdings" w:hAnsi="Wingdings" w:hint="default"/>
      </w:rPr>
    </w:lvl>
    <w:lvl w:ilvl="6" w:tplc="080C0001" w:tentative="1">
      <w:start w:val="1"/>
      <w:numFmt w:val="bullet"/>
      <w:lvlText w:val=""/>
      <w:lvlJc w:val="left"/>
      <w:pPr>
        <w:ind w:left="5098" w:hanging="360"/>
      </w:pPr>
      <w:rPr>
        <w:rFonts w:ascii="Symbol" w:hAnsi="Symbol" w:hint="default"/>
      </w:rPr>
    </w:lvl>
    <w:lvl w:ilvl="7" w:tplc="080C0003" w:tentative="1">
      <w:start w:val="1"/>
      <w:numFmt w:val="bullet"/>
      <w:lvlText w:val="o"/>
      <w:lvlJc w:val="left"/>
      <w:pPr>
        <w:ind w:left="5818" w:hanging="360"/>
      </w:pPr>
      <w:rPr>
        <w:rFonts w:ascii="Courier New" w:hAnsi="Courier New" w:cs="Courier New" w:hint="default"/>
      </w:rPr>
    </w:lvl>
    <w:lvl w:ilvl="8" w:tplc="080C0005" w:tentative="1">
      <w:start w:val="1"/>
      <w:numFmt w:val="bullet"/>
      <w:lvlText w:val=""/>
      <w:lvlJc w:val="left"/>
      <w:pPr>
        <w:ind w:left="6538" w:hanging="360"/>
      </w:pPr>
      <w:rPr>
        <w:rFonts w:ascii="Wingdings" w:hAnsi="Wingdings" w:hint="default"/>
      </w:rPr>
    </w:lvl>
  </w:abstractNum>
  <w:abstractNum w:abstractNumId="4">
    <w:nsid w:val="4B135FA2"/>
    <w:multiLevelType w:val="hybridMultilevel"/>
    <w:tmpl w:val="2D0EF0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C5D02DC"/>
    <w:multiLevelType w:val="hybridMultilevel"/>
    <w:tmpl w:val="428E99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B670230"/>
    <w:multiLevelType w:val="hybridMultilevel"/>
    <w:tmpl w:val="9DC895DA"/>
    <w:lvl w:ilvl="0" w:tplc="3EF0E86C">
      <w:start w:val="1"/>
      <mc:AlternateContent>
        <mc:Choice Requires="w14">
          <w:numFmt w:val="custom" w:format="а, й, к, ..."/>
        </mc:Choice>
        <mc:Fallback>
          <w:numFmt w:val="decimal"/>
        </mc:Fallback>
      </mc:AlternateContent>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50EA47-970E-4619-B96F-07844D96018F"/>
    <w:docVar w:name="LW_COVERPAGE_TYPE" w:val="1"/>
    <w:docVar w:name="LW_CROSSREFERENCE" w:val="&lt;UNUSED&gt;"/>
    <w:docVar w:name="LW_DocType" w:val="NORMAL"/>
    <w:docVar w:name="LW_EMISSION" w:val="6.7.2020"/>
    <w:docVar w:name="LW_EMISSION_ISODATE" w:val="2020-07-06"/>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5?\u1072? \u1092?\u1080?\u1085?\u1072?\u1085?\u1089?\u1086?\u1074?\u1072?\u1090?\u1072? \u1087?\u1086?\u1084?\u1086?\u1097?, \u1087?\u1088?\u1077?\u1076?\u1086?\u1089?\u1090?\u1072?\u1074?\u1077?\u1085?\u1072? \u1085?\u1072? _x000d__x000d__x000d__x000d__x000d__x000b_\u1086?\u1090?\u1074?\u1098?\u1076?\u1084?\u1086?\u1088?\u1089?\u1082?\u1080?\u1090?\u1077? \u1089?\u1090?\u1088?\u1072?\u1085?\u1080? \u1080? \u1090?\u1077?\u1088?\u1080?\u1090?\u1086?\u1088?\u1080?\u1080? _x000d__x000d__x000d__x000d__x000d__x000b_\u1087?\u1088?\u1077?\u1079? 2019 \u1075?. \u1087?\u1086? \u1083?\u1080?\u1085?\u1080?\u1103? \u1085?\u1072? 11-\u1080?\u1103? \u1045?\u1074?\u1088?\u1086?\u1087?\u1077?\u1081?\u1089?\u1082?\u1080? \u1092?\u1086?\u1085?\u1076? \u1079?\u1072? \u1088?\u1072?\u1079?\u1074?\u1080?\u1090?\u1080?\u1077?"/>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qFormat/>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basedOn w:val="DefaultParagraphFont"/>
    <w:link w:val="BVIfnrCarCarCarC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A0">
    <w:name w:val="A0"/>
    <w:uiPriority w:val="99"/>
    <w:rPr>
      <w:rFonts w:cs="montserrat"/>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CarCarCharCharCharChar">
    <w:name w:val="BVI fnr Car Car Car Car Char Char Char Char"/>
    <w:basedOn w:val="Normal"/>
    <w:link w:val="FootnoteReference"/>
    <w:uiPriority w:val="99"/>
    <w:pPr>
      <w:spacing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Arial" w:hAnsi="Arial" w:cs="Arial"/>
      <w:color w:val="000000"/>
      <w:sz w:val="24"/>
      <w:szCs w:val="24"/>
      <w:lang w:val="bg-BG"/>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qFormat/>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basedOn w:val="DefaultParagraphFont"/>
    <w:link w:val="BVIfnrCarCarCarC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A0">
    <w:name w:val="A0"/>
    <w:uiPriority w:val="99"/>
    <w:rPr>
      <w:rFonts w:cs="montserrat"/>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CarCarCharCharCharChar">
    <w:name w:val="BVI fnr Car Car Car Car Char Char Char Char"/>
    <w:basedOn w:val="Normal"/>
    <w:link w:val="FootnoteReference"/>
    <w:uiPriority w:val="99"/>
    <w:pPr>
      <w:spacing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Arial" w:hAnsi="Arial" w:cs="Arial"/>
      <w:color w:val="000000"/>
      <w:sz w:val="24"/>
      <w:szCs w:val="24"/>
      <w:lang w:val="bg-BG"/>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69EBE3-7D81-4CC8-B269-A7706C6D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2754</Words>
  <Characters>15673</Characters>
  <Application>Microsoft Office Word</Application>
  <DocSecurity>0</DocSecurity>
  <Lines>333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2020-06-18T13:38:00Z</dcterms:created>
  <dcterms:modified xsi:type="dcterms:W3CDTF">2020-06-29T07:15:00Z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CP-004</vt:lpwstr>
  </property>
  <property fmtid="{D5CDD505-2E9C-101B-9397-08002B2CF9AE}" pid="7" name="Last edited using">
    <vt:lpwstr>LW 7.0, Build 20190717</vt:lpwstr>
  </property>
  <property fmtid="{D5CDD505-2E9C-101B-9397-08002B2CF9AE}" pid="8" name="Created using">
    <vt:lpwstr>LW 7.0, Build 20190717</vt:lpwstr>
  </property>
</Properties>
</file>