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5AA4DC3-D928-4C3F-B838-A297DDA179B1"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widowControl w:val="0"/>
        <w:shd w:val="clear" w:color="auto" w:fill="FFFFFF"/>
        <w:autoSpaceDE w:val="0"/>
        <w:autoSpaceDN w:val="0"/>
        <w:adjustRightInd w:val="0"/>
        <w:spacing w:before="230" w:after="0" w:line="269" w:lineRule="exact"/>
        <w:rPr>
          <w:noProof/>
        </w:rPr>
      </w:pPr>
      <w:r>
        <w:rPr>
          <w:noProof/>
        </w:rPr>
        <w:t>В съответствие с член 395, параграф 1 от Директива 2006/112/ЕО на Съвета от 28 ноември 2006 г. относно общата система на данъка върху добавената стойност</w:t>
      </w:r>
      <w:r>
        <w:rPr>
          <w:rStyle w:val="FootnoteReference"/>
          <w:noProof/>
        </w:rPr>
        <w:footnoteReference w:id="1"/>
      </w:r>
      <w:r>
        <w:rPr>
          <w:noProof/>
        </w:rPr>
        <w:t xml:space="preserve"> („Директивата за ДДС“) Съветът, като действа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да се опрости процедурата за събиране на ДДС или да се предотвратят някои форми на отклонение от данъчно облагане или избягване на данъци.</w:t>
      </w:r>
    </w:p>
    <w:p>
      <w:pPr>
        <w:widowControl w:val="0"/>
        <w:shd w:val="clear" w:color="auto" w:fill="FFFFFF"/>
        <w:autoSpaceDE w:val="0"/>
        <w:autoSpaceDN w:val="0"/>
        <w:adjustRightInd w:val="0"/>
        <w:spacing w:before="230" w:after="0" w:line="269" w:lineRule="exact"/>
        <w:rPr>
          <w:noProof/>
        </w:rPr>
      </w:pPr>
      <w:r>
        <w:rPr>
          <w:noProof/>
        </w:rPr>
        <w:t xml:space="preserve">С писмo, заведенo в Комисията на 14 януари 2020 г., Румъния поиска разрешение да продължи след 31 декември 2020 г. да освобождава от ДДС данъчно задължените лица, чийто годишен оборот не е по-висок от равностойността в национална валута на 88 500 EUR. </w:t>
      </w:r>
    </w:p>
    <w:p>
      <w:pPr>
        <w:widowControl w:val="0"/>
        <w:shd w:val="clear" w:color="auto" w:fill="FFFFFF"/>
        <w:autoSpaceDE w:val="0"/>
        <w:autoSpaceDN w:val="0"/>
        <w:adjustRightInd w:val="0"/>
        <w:spacing w:before="230" w:after="0" w:line="269" w:lineRule="exact"/>
        <w:rPr>
          <w:noProof/>
        </w:rPr>
      </w:pPr>
      <w:r>
        <w:rPr>
          <w:noProof/>
        </w:rPr>
        <w:t xml:space="preserve">В съответствие с член 395, параграф 2 от Директивата за ДДС Комисията информира с писмо от 18 февруари 2020 г. останалите държави членки за отправеното от Румъния искане. С писмо от 19 февруари 2020 г. Комисията уведоми Румъния, че разполага с цялата информация, която счита за необходима за разглеждане на искането. </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В дял XII, глава 1 от Директивата за ДДС се предвижда възможността държавите членки да прилагат специален режим за малките предприятия, който включва възможността данъчно задължените лица, чийто годишен оборот е под определен размер, да бъдат освободени от ДДС. Данъчно задължените лица, обхванати от това освобождаване, не са длъжни да начисляват ДДС върху извършваните от тях доставки и следователно не може да приспадат ДДС за получаваните от тях доставки. </w:t>
      </w:r>
    </w:p>
    <w:p>
      <w:pPr>
        <w:pBdr>
          <w:top w:val="nil"/>
          <w:left w:val="nil"/>
          <w:bottom w:val="nil"/>
          <w:right w:val="nil"/>
          <w:between w:val="nil"/>
          <w:bar w:val="nil"/>
        </w:pBdr>
        <w:spacing w:before="0" w:after="240"/>
        <w:rPr>
          <w:rFonts w:eastAsia="Arial Unicode MS"/>
          <w:noProof/>
        </w:rPr>
      </w:pPr>
      <w:r>
        <w:rPr>
          <w:noProof/>
        </w:rPr>
        <w:t>Съгласно член 287, точка 18 от Директивата за ДДС Румъния може да освобождава от ДДС данъчно задължените лица, чийто годишен оборот не е по-висок от равностойността в национална валута на 35 000 EUR.</w:t>
      </w:r>
    </w:p>
    <w:p>
      <w:pPr>
        <w:rPr>
          <w:noProof/>
        </w:rPr>
      </w:pPr>
      <w:r>
        <w:rPr>
          <w:noProof/>
        </w:rPr>
        <w:t>С Решение за изпълнение 2012/181/ЕС на Съвета</w:t>
      </w:r>
      <w:r>
        <w:rPr>
          <w:rStyle w:val="FootnoteReference"/>
          <w:noProof/>
        </w:rPr>
        <w:footnoteReference w:id="2"/>
      </w:r>
      <w:r>
        <w:rPr>
          <w:noProof/>
        </w:rPr>
        <w:t xml:space="preserve"> на Румъния беше разрешено да освобождава от ДДС до 31 декември 2014 г. данъчно задължените лица с годишен оборот, не по-висок от равностойността в национална валута на 65 000 EUR по обменния курс в деня на присъединяването на страната към Европейския съюз. С Решение за изпълнение 2014/931/ЕС на Съвета</w:t>
      </w:r>
      <w:r>
        <w:rPr>
          <w:rStyle w:val="FootnoteReference"/>
          <w:noProof/>
        </w:rPr>
        <w:footnoteReference w:id="3"/>
      </w:r>
      <w:r>
        <w:rPr>
          <w:noProof/>
        </w:rPr>
        <w:t xml:space="preserve"> на Румъния беше разрешено да продължи да прилага до 31 декември 2017 г. специалната мярка за дерогация от член 287, точка 18 от Директивата за ДДС. Впоследствие на Румъния беше дадено разрешение с Решение за изпълнение (ЕС) 2017/1855 на Съвета</w:t>
      </w:r>
      <w:r>
        <w:rPr>
          <w:rStyle w:val="FootnoteReference"/>
          <w:noProof/>
        </w:rPr>
        <w:footnoteReference w:id="4"/>
      </w:r>
      <w:r>
        <w:rPr>
          <w:noProof/>
        </w:rPr>
        <w:t xml:space="preserve"> да увеличи прага за </w:t>
      </w:r>
      <w:r>
        <w:rPr>
          <w:noProof/>
        </w:rPr>
        <w:lastRenderedPageBreak/>
        <w:t>освобождаване на равностойността в национална валута на 88 500 EUR и да удължи до 31 декември 2013 г. срока на действие на мярката за дерогация до настъпването на по-ранната от следните две дати: 31 декември 2020 г. или датата на влизане в сила на директива за изменение на разпоредбите на членове 281—294 от Директивата за ДДС. Мярката е с незадължителен характер и на малките предприятия е позволено да изберат общия режим за ДДС.</w:t>
      </w:r>
    </w:p>
    <w:p>
      <w:pPr>
        <w:pBdr>
          <w:top w:val="nil"/>
          <w:left w:val="nil"/>
          <w:bottom w:val="nil"/>
          <w:right w:val="nil"/>
          <w:between w:val="nil"/>
          <w:bar w:val="nil"/>
        </w:pBdr>
        <w:spacing w:before="0" w:after="240"/>
        <w:rPr>
          <w:noProof/>
        </w:rPr>
      </w:pPr>
      <w:r>
        <w:rPr>
          <w:noProof/>
        </w:rPr>
        <w:t xml:space="preserve">Настоящото искане на Румъния за ново удължаване на срока на действие на мярката за дерогация без увеличаване на приложимия в момента праг от 88 500 EUR почива на същите основания като представените в предходните искания. </w:t>
      </w:r>
    </w:p>
    <w:p>
      <w:pPr>
        <w:pBdr>
          <w:top w:val="nil"/>
          <w:left w:val="nil"/>
          <w:bottom w:val="nil"/>
          <w:right w:val="nil"/>
          <w:between w:val="nil"/>
          <w:bar w:val="nil"/>
        </w:pBdr>
        <w:spacing w:before="0" w:after="240"/>
        <w:rPr>
          <w:noProof/>
        </w:rPr>
      </w:pPr>
      <w:r>
        <w:rPr>
          <w:noProof/>
        </w:rPr>
        <w:t xml:space="preserve">Румъния твърди, че удължаването на срока на действие на мярката за дерогация, както и настоящият таван за освобождаване са оправдани, като се има предвид структурата на националната икономика. Малките и средните предприятия понасят непропорционални по размер разходи за спазване на изискванията за ДДС в сравнение с големите предприятия. Освобождаването от ДДС значително намалява задълженията на малките предприятия, свързани с ДДС, като в същото време премахва тежестта за данъчните органи във връзка с наблюдението по събирането на малък обем приходи от малки и средни предприятия с годишен оборот под 88 500 EUR. </w:t>
      </w:r>
    </w:p>
    <w:p>
      <w:pPr>
        <w:pBdr>
          <w:top w:val="nil"/>
          <w:left w:val="nil"/>
          <w:bottom w:val="nil"/>
          <w:right w:val="nil"/>
          <w:between w:val="nil"/>
          <w:bar w:val="nil"/>
        </w:pBdr>
        <w:spacing w:before="0" w:after="240"/>
        <w:rPr>
          <w:noProof/>
        </w:rPr>
      </w:pPr>
      <w:r>
        <w:rPr>
          <w:noProof/>
        </w:rPr>
        <w:t xml:space="preserve">В това отношение Румъния посочва, че през 2019 г. сумата на платения в държавния бюджет ДДС от регистрирани за целите на ДДС данъчно задължени лица с годишен оборот под 88 500 EUR е представлявала 2,52 % от общите приходи от ДДС и 1,09 % от общите приходи в държавния бюджет. За същата година данъчно задължените лица с годишен оборот над 88 500 EUR (представляващи 42,85 % от общия брой на регистрираните за целите на ДДС данъчно задължени лица) са участвали с дял от 97,48 % от общите приходи от ДДС. Поради това изглежда, че отражението на мярката за дерогация върху данъчните приходи, събирани на етапа на крайното потребление, ще бъде пренебрежимо малко, докато нейното въздействие ще е значително и ще се изрази в опростяване както на данъчните задължения за засегнатите данъчно задължени лица, така и на процедурата за събиране на ДДС за данъчната администрация. </w:t>
      </w:r>
    </w:p>
    <w:p>
      <w:pPr>
        <w:autoSpaceDE w:val="0"/>
        <w:autoSpaceDN w:val="0"/>
        <w:adjustRightInd w:val="0"/>
        <w:spacing w:before="0" w:after="0"/>
        <w:rPr>
          <w:noProof/>
        </w:rPr>
      </w:pPr>
      <w:r>
        <w:rPr>
          <w:noProof/>
        </w:rPr>
        <w:t xml:space="preserve">Въз основа на предоставената от Румъния информация е ясно, че искането за удължаване на срока на мярката за дерогация цели малките предприятия да бъдат освободени от голяма част от задълженията им във връзка с ДДС при общия режим за ДДС, като наред с това се намали тежестта за данъчната администрация, свързана със събирането на данъка, което така става по-ефективно, като в същото време се спестяват административни ресурси и се намалява отклонението от данъчно облагане. Затова мярката за дерогация е в съответствие с целите, заложени в член 395, параграф 1, първа алинея от Директивата за ДДС, с който на държавите членки се позволява да въвеждат специални мерки за дерогация от разпоредбите на същата директива с цел опростяване на процедурата за събиране на ДДС или предотвратяване на отклонението от данъчно облагане. В този контекст се изтъква отново, че мярката е и ще продължи да бъде незадължителна за данъчно задължените лица, които имат право да изберат общия режим за ДДС. </w:t>
      </w:r>
    </w:p>
    <w:p>
      <w:pPr>
        <w:autoSpaceDE w:val="0"/>
        <w:autoSpaceDN w:val="0"/>
        <w:adjustRightInd w:val="0"/>
        <w:spacing w:before="0" w:after="0"/>
        <w:rPr>
          <w:noProof/>
          <w:color w:val="000000"/>
          <w:szCs w:val="24"/>
        </w:rPr>
      </w:pPr>
    </w:p>
    <w:p>
      <w:pPr>
        <w:pBdr>
          <w:top w:val="nil"/>
          <w:left w:val="nil"/>
          <w:bottom w:val="nil"/>
          <w:right w:val="nil"/>
          <w:between w:val="nil"/>
          <w:bar w:val="nil"/>
        </w:pBdr>
        <w:spacing w:before="0" w:after="240"/>
        <w:rPr>
          <w:noProof/>
          <w:color w:val="000000"/>
          <w:szCs w:val="24"/>
        </w:rPr>
      </w:pPr>
      <w:r>
        <w:rPr>
          <w:noProof/>
          <w:color w:val="000000"/>
          <w:szCs w:val="24"/>
        </w:rPr>
        <w:t xml:space="preserve">Както бе обосновано от Румъния, също така не се очаква мярката за дерогация да окаже значително въздействие върху общия размер на нейните данъчни приходи, събирани на </w:t>
      </w:r>
      <w:r>
        <w:rPr>
          <w:noProof/>
          <w:color w:val="000000"/>
          <w:szCs w:val="24"/>
        </w:rPr>
        <w:lastRenderedPageBreak/>
        <w:t>етапа на крайното потребление. Следователно изглежда, че мярката за дерогация е в съответствие с член 395, параграф 1, втора алинея от Директивата за ДДС.</w:t>
      </w:r>
      <w:r>
        <w:rPr>
          <w:noProof/>
        </w:rPr>
        <w:t xml:space="preserve"> </w:t>
      </w:r>
    </w:p>
    <w:p>
      <w:pPr>
        <w:pBdr>
          <w:top w:val="nil"/>
          <w:left w:val="nil"/>
          <w:bottom w:val="nil"/>
          <w:right w:val="nil"/>
          <w:between w:val="nil"/>
          <w:bar w:val="nil"/>
        </w:pBdr>
        <w:spacing w:before="0" w:after="240"/>
        <w:rPr>
          <w:noProof/>
          <w:color w:val="000000"/>
          <w:szCs w:val="24"/>
        </w:rPr>
      </w:pPr>
      <w:r>
        <w:rPr>
          <w:noProof/>
          <w:color w:val="000000"/>
          <w:szCs w:val="24"/>
        </w:rPr>
        <w:t xml:space="preserve">Предвид гореизложеното и с оглед на факта, че правната уредба на ЕС и фактическото положение са останали непроменени, исканото удължаване на срока на действие на мярката за дерогация изглежда обосновано. Поради това се предлага искането на Румъния да бъде удовлетворено. </w:t>
      </w:r>
    </w:p>
    <w:p>
      <w:pPr>
        <w:widowControl w:val="0"/>
        <w:shd w:val="clear" w:color="auto" w:fill="FFFFFF"/>
        <w:autoSpaceDE w:val="0"/>
        <w:autoSpaceDN w:val="0"/>
        <w:adjustRightInd w:val="0"/>
        <w:spacing w:before="230" w:after="0" w:line="269" w:lineRule="exact"/>
        <w:rPr>
          <w:noProof/>
        </w:rPr>
      </w:pPr>
      <w:r>
        <w:rPr>
          <w:noProof/>
          <w:color w:val="000000"/>
          <w:szCs w:val="24"/>
        </w:rPr>
        <w:t xml:space="preserve">По начало дерогациите се разрешават за ограничен период, за да може да се прецени дали мярката за дерогация продължава да е подходяща и ефективна. </w:t>
      </w:r>
      <w:r>
        <w:rPr>
          <w:noProof/>
        </w:rPr>
        <w:t>Освен това на 18 февруари 2020 г. Съветът прие директива за изменение на разпоредбите на членове 281—294 от Директивата за ДДС относно специалния режим за малките предприятия</w:t>
      </w:r>
      <w:r>
        <w:rPr>
          <w:rStyle w:val="FootnoteReference"/>
          <w:noProof/>
        </w:rPr>
        <w:footnoteReference w:id="5"/>
      </w:r>
      <w:r>
        <w:rPr>
          <w:noProof/>
        </w:rPr>
        <w:t>. Съгласно новата директива за по-прости правила на ДДС за малките предприятия се изисква най-късно до 31 декември 2024 г. държавите членки да приемат и публикуват законовите, подзаконовите и административните разпоредби, необходими за спазването на новите правила.</w:t>
      </w:r>
      <w:r>
        <w:rPr>
          <w:noProof/>
          <w:color w:val="000000"/>
          <w:szCs w:val="24"/>
        </w:rPr>
        <w:t xml:space="preserve"> </w:t>
      </w:r>
      <w:r>
        <w:rPr>
          <w:noProof/>
        </w:rPr>
        <w:t xml:space="preserve">Държавите членки са длъжни да започнат да прилагат посочените разпоредби от 1 януари 2025 г. </w:t>
      </w:r>
    </w:p>
    <w:p>
      <w:pPr>
        <w:autoSpaceDE w:val="0"/>
        <w:autoSpaceDN w:val="0"/>
        <w:adjustRightInd w:val="0"/>
        <w:spacing w:before="0" w:after="0"/>
        <w:rPr>
          <w:noProof/>
        </w:rPr>
      </w:pPr>
    </w:p>
    <w:p>
      <w:pPr>
        <w:autoSpaceDE w:val="0"/>
        <w:autoSpaceDN w:val="0"/>
        <w:adjustRightInd w:val="0"/>
        <w:spacing w:before="0" w:after="0"/>
        <w:rPr>
          <w:noProof/>
        </w:rPr>
      </w:pPr>
      <w:r>
        <w:rPr>
          <w:noProof/>
        </w:rPr>
        <w:t xml:space="preserve">Поради това е подходящо да се разреши на Румъния да продължи да прилага мярката за дерогация до 31 декември 2024 г.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color w:val="000000"/>
          <w:szCs w:val="24"/>
        </w:rPr>
      </w:pPr>
      <w:r>
        <w:rPr>
          <w:noProof/>
        </w:rPr>
        <w:t>Мярката за дерогация е в съгласие с философията на горепосочената директива за изменение на членове 281—294 от Директивата за ДДС, уреждащи специалния режим за малките предприятия, приета на 18 февруари 2020 г. в резултат на плана за действие във връзка с ДДС</w:t>
      </w:r>
      <w:r>
        <w:rPr>
          <w:rStyle w:val="FootnoteReference"/>
          <w:noProof/>
        </w:rPr>
        <w:footnoteReference w:id="6"/>
      </w:r>
      <w:r>
        <w:rPr>
          <w:noProof/>
        </w:rPr>
        <w:t>, и има за цел да създаде съвременен, опростен режим за тези предприятия.</w:t>
      </w:r>
      <w:r>
        <w:rPr>
          <w:noProof/>
          <w:color w:val="000000" w:themeColor="text1"/>
          <w:szCs w:val="24"/>
        </w:rPr>
        <w:t xml:space="preserve"> </w:t>
      </w:r>
      <w:r>
        <w:rPr>
          <w:noProof/>
          <w:szCs w:val="24"/>
        </w:rPr>
        <w:t>По-конкретно, тя има за цел да се намалят разходите за спазване на изискванията за ДДС, да се ограничи нарушаването на конкуренцията на национално и на съюзно равнище, да се понижи отрицателното въздействие на т.нар. „ефект на прага“, както и да се улеснят спазването на нормативните разпоредби от страна на предприятията и мониторингът от страна на данъчните администрации.</w:t>
      </w:r>
    </w:p>
    <w:p>
      <w:pPr>
        <w:pStyle w:val="Default"/>
        <w:jc w:val="both"/>
        <w:rPr>
          <w:noProof/>
          <w:lang w:val="bg-BG"/>
        </w:rPr>
      </w:pPr>
      <w:r>
        <w:rPr>
          <w:noProof/>
          <w:lang w:val="bg-BG"/>
        </w:rPr>
        <w:t>Подобни дерогации — за освобождаване от ДДС на данъчно задължените лица, чийто годишен оборот е под определен праг, съгласно предвиденото в член 285 от Директивата за ДДС — са предоставени и на други държави членки. Малта</w:t>
      </w:r>
      <w:r>
        <w:rPr>
          <w:rStyle w:val="FootnoteReference"/>
          <w:noProof/>
        </w:rPr>
        <w:footnoteReference w:id="7"/>
      </w:r>
      <w:r>
        <w:rPr>
          <w:noProof/>
          <w:lang w:val="bg-BG"/>
        </w:rPr>
        <w:t xml:space="preserve"> има разрешение да прилага праг от 20</w:t>
      </w:r>
      <w:r>
        <w:rPr>
          <w:noProof/>
        </w:rPr>
        <w:t> </w:t>
      </w:r>
      <w:r>
        <w:rPr>
          <w:noProof/>
          <w:lang w:val="bg-BG"/>
        </w:rPr>
        <w:t>000</w:t>
      </w:r>
      <w:r>
        <w:rPr>
          <w:noProof/>
        </w:rPr>
        <w:t> EUR</w:t>
      </w:r>
      <w:r>
        <w:rPr>
          <w:noProof/>
          <w:lang w:val="bg-BG"/>
        </w:rPr>
        <w:t>; Нидерландия</w:t>
      </w:r>
      <w:r>
        <w:rPr>
          <w:rStyle w:val="FootnoteReference"/>
          <w:noProof/>
        </w:rPr>
        <w:footnoteReference w:id="8"/>
      </w:r>
      <w:r>
        <w:rPr>
          <w:noProof/>
          <w:lang w:val="bg-BG"/>
        </w:rPr>
        <w:t xml:space="preserve"> — праг от 25</w:t>
      </w:r>
      <w:r>
        <w:rPr>
          <w:noProof/>
        </w:rPr>
        <w:t> </w:t>
      </w:r>
      <w:r>
        <w:rPr>
          <w:noProof/>
          <w:lang w:val="bg-BG"/>
        </w:rPr>
        <w:t>000</w:t>
      </w:r>
      <w:r>
        <w:rPr>
          <w:noProof/>
        </w:rPr>
        <w:t> EUR</w:t>
      </w:r>
      <w:r>
        <w:rPr>
          <w:noProof/>
          <w:lang w:val="bg-BG"/>
        </w:rPr>
        <w:t xml:space="preserve">; </w:t>
      </w:r>
      <w:r>
        <w:rPr>
          <w:noProof/>
          <w:lang w:val="bg-BG"/>
        </w:rPr>
        <w:lastRenderedPageBreak/>
        <w:t>Люксембург — праг от 35</w:t>
      </w:r>
      <w:r>
        <w:rPr>
          <w:noProof/>
        </w:rPr>
        <w:t> </w:t>
      </w:r>
      <w:r>
        <w:rPr>
          <w:noProof/>
          <w:lang w:val="bg-BG"/>
        </w:rPr>
        <w:t>000</w:t>
      </w:r>
      <w:r>
        <w:rPr>
          <w:noProof/>
        </w:rPr>
        <w:t> EUR</w:t>
      </w:r>
      <w:r>
        <w:rPr>
          <w:rStyle w:val="FootnoteReference"/>
          <w:noProof/>
        </w:rPr>
        <w:footnoteReference w:id="9"/>
      </w:r>
      <w:r>
        <w:rPr>
          <w:noProof/>
          <w:lang w:val="bg-BG"/>
        </w:rPr>
        <w:t>; Полша</w:t>
      </w:r>
      <w:r>
        <w:rPr>
          <w:rStyle w:val="FootnoteReference"/>
          <w:noProof/>
        </w:rPr>
        <w:footnoteReference w:id="10"/>
      </w:r>
      <w:r>
        <w:rPr>
          <w:noProof/>
          <w:lang w:val="bg-BG"/>
        </w:rPr>
        <w:t>, Естония</w:t>
      </w:r>
      <w:r>
        <w:rPr>
          <w:rStyle w:val="FootnoteReference"/>
          <w:noProof/>
        </w:rPr>
        <w:footnoteReference w:id="11"/>
      </w:r>
      <w:r>
        <w:rPr>
          <w:noProof/>
          <w:lang w:val="bg-BG"/>
        </w:rPr>
        <w:t xml:space="preserve"> и Латвия</w:t>
      </w:r>
      <w:r>
        <w:rPr>
          <w:rStyle w:val="FootnoteReference"/>
          <w:noProof/>
        </w:rPr>
        <w:footnoteReference w:id="12"/>
      </w:r>
      <w:r>
        <w:rPr>
          <w:noProof/>
          <w:lang w:val="bg-BG"/>
        </w:rPr>
        <w:t xml:space="preserve"> — праг от 40 000 </w:t>
      </w:r>
      <w:r>
        <w:rPr>
          <w:noProof/>
        </w:rPr>
        <w:t>EUR</w:t>
      </w:r>
      <w:r>
        <w:rPr>
          <w:noProof/>
          <w:lang w:val="bg-BG"/>
        </w:rPr>
        <w:t>; Хърватия</w:t>
      </w:r>
      <w:r>
        <w:rPr>
          <w:rStyle w:val="FootnoteReference"/>
          <w:noProof/>
        </w:rPr>
        <w:footnoteReference w:id="13"/>
      </w:r>
      <w:r>
        <w:rPr>
          <w:noProof/>
          <w:lang w:val="bg-BG"/>
        </w:rPr>
        <w:t xml:space="preserve"> и Литва</w:t>
      </w:r>
      <w:r>
        <w:rPr>
          <w:rStyle w:val="FootnoteReference"/>
          <w:noProof/>
        </w:rPr>
        <w:footnoteReference w:id="14"/>
      </w:r>
      <w:r>
        <w:rPr>
          <w:noProof/>
          <w:lang w:val="bg-BG"/>
        </w:rPr>
        <w:t xml:space="preserve"> — праг от 45</w:t>
      </w:r>
      <w:r>
        <w:rPr>
          <w:noProof/>
        </w:rPr>
        <w:t> </w:t>
      </w:r>
      <w:r>
        <w:rPr>
          <w:noProof/>
          <w:lang w:val="bg-BG"/>
        </w:rPr>
        <w:t>000</w:t>
      </w:r>
      <w:r>
        <w:rPr>
          <w:noProof/>
        </w:rPr>
        <w:t> EUR</w:t>
      </w:r>
      <w:r>
        <w:rPr>
          <w:noProof/>
          <w:lang w:val="bg-BG"/>
        </w:rPr>
        <w:t>; Унгария — праг от 48</w:t>
      </w:r>
      <w:r>
        <w:rPr>
          <w:noProof/>
        </w:rPr>
        <w:t> </w:t>
      </w:r>
      <w:r>
        <w:rPr>
          <w:noProof/>
          <w:lang w:val="bg-BG"/>
        </w:rPr>
        <w:t>000</w:t>
      </w:r>
      <w:r>
        <w:rPr>
          <w:noProof/>
        </w:rPr>
        <w:t> EUR</w:t>
      </w:r>
      <w:r>
        <w:rPr>
          <w:rStyle w:val="FootnoteReference"/>
          <w:noProof/>
        </w:rPr>
        <w:footnoteReference w:id="15"/>
      </w:r>
      <w:r>
        <w:rPr>
          <w:noProof/>
          <w:lang w:val="bg-BG"/>
        </w:rPr>
        <w:t>; Словения</w:t>
      </w:r>
      <w:r>
        <w:rPr>
          <w:rStyle w:val="FootnoteReference"/>
          <w:noProof/>
        </w:rPr>
        <w:footnoteReference w:id="16"/>
      </w:r>
      <w:r>
        <w:rPr>
          <w:noProof/>
          <w:lang w:val="bg-BG"/>
        </w:rPr>
        <w:t xml:space="preserve"> — праг от 50</w:t>
      </w:r>
      <w:r>
        <w:rPr>
          <w:noProof/>
        </w:rPr>
        <w:t> </w:t>
      </w:r>
      <w:r>
        <w:rPr>
          <w:noProof/>
          <w:lang w:val="bg-BG"/>
        </w:rPr>
        <w:t>000</w:t>
      </w:r>
      <w:r>
        <w:rPr>
          <w:noProof/>
        </w:rPr>
        <w:t> EUR</w:t>
      </w:r>
      <w:r>
        <w:rPr>
          <w:noProof/>
          <w:lang w:val="bg-BG"/>
        </w:rPr>
        <w:t>; Италия</w:t>
      </w:r>
      <w:r>
        <w:rPr>
          <w:rStyle w:val="FootnoteReference"/>
          <w:noProof/>
        </w:rPr>
        <w:footnoteReference w:id="17"/>
      </w:r>
      <w:r>
        <w:rPr>
          <w:noProof/>
          <w:lang w:val="bg-BG"/>
        </w:rPr>
        <w:t xml:space="preserve"> — праг от 65 000 </w:t>
      </w:r>
      <w:r>
        <w:rPr>
          <w:noProof/>
        </w:rPr>
        <w:t>EUR</w:t>
      </w:r>
      <w:r>
        <w:rPr>
          <w:noProof/>
          <w:lang w:val="bg-BG"/>
        </w:rPr>
        <w:t>.</w:t>
      </w:r>
    </w:p>
    <w:p>
      <w:pPr>
        <w:autoSpaceDE w:val="0"/>
        <w:autoSpaceDN w:val="0"/>
        <w:adjustRightInd w:val="0"/>
        <w:spacing w:before="0" w:after="0"/>
        <w:rPr>
          <w:noProof/>
        </w:rPr>
      </w:pPr>
    </w:p>
    <w:p>
      <w:pPr>
        <w:autoSpaceDE w:val="0"/>
        <w:autoSpaceDN w:val="0"/>
        <w:adjustRightInd w:val="0"/>
        <w:spacing w:before="0" w:after="0"/>
        <w:rPr>
          <w:noProof/>
          <w:color w:val="000000"/>
          <w:szCs w:val="24"/>
        </w:rPr>
      </w:pPr>
      <w:r>
        <w:rPr>
          <w:noProof/>
        </w:rPr>
        <w:t>Както вече бе изтъкнато, дерогациите от Директивата за ДДС следва винаги да са ограничени във времето, за да може да бъде оценено тяхното въздействие. Удължаването на срока на действие на мярката за дерогация до 31 декември 2024 г. е съгласувано с изискванията на новата директива за по-прости правила за ДДС за малките и средните предприятия.</w:t>
      </w:r>
      <w:r>
        <w:rPr>
          <w:noProof/>
          <w:color w:val="000000" w:themeColor="text1"/>
          <w:szCs w:val="24"/>
        </w:rPr>
        <w:t xml:space="preserve"> </w:t>
      </w:r>
      <w:r>
        <w:rPr>
          <w:noProof/>
          <w:szCs w:val="24"/>
        </w:rPr>
        <w:t>В тази директива се предвижда, че от 1 януари 2025 г. държавите членки са длъжни да прилагат националните разпоредби, които те трябва да приемат, за да се съобразят с нея.</w:t>
      </w:r>
      <w:r>
        <w:rPr>
          <w:noProof/>
          <w:color w:val="000000"/>
          <w:szCs w:val="24"/>
        </w:rPr>
        <w:t xml:space="preserve"> </w:t>
      </w:r>
    </w:p>
    <w:p>
      <w:pPr>
        <w:autoSpaceDE w:val="0"/>
        <w:autoSpaceDN w:val="0"/>
        <w:adjustRightInd w:val="0"/>
        <w:spacing w:before="0" w:after="0"/>
        <w:rPr>
          <w:rFonts w:ascii="EUAlbertina" w:hAnsi="EUAlbertina" w:cs="EUAlbertina"/>
          <w:noProof/>
        </w:rPr>
      </w:pPr>
    </w:p>
    <w:p>
      <w:pPr>
        <w:pBdr>
          <w:top w:val="nil"/>
          <w:left w:val="nil"/>
          <w:bottom w:val="nil"/>
          <w:right w:val="nil"/>
          <w:between w:val="nil"/>
          <w:bar w:val="nil"/>
        </w:pBdr>
        <w:spacing w:before="0" w:after="240"/>
        <w:rPr>
          <w:noProof/>
        </w:rPr>
      </w:pPr>
      <w:r>
        <w:rPr>
          <w:noProof/>
        </w:rPr>
        <w:t>Следователно предложената мярка е съгласувана с действащите разпоредби на Директивата за ДДС.</w:t>
      </w:r>
    </w:p>
    <w:p>
      <w:pPr>
        <w:pStyle w:val="Text1"/>
        <w:rPr>
          <w:b/>
          <w:noProof/>
        </w:rPr>
      </w:pPr>
      <w:r>
        <w:rPr>
          <w:b/>
          <w:noProof/>
        </w:rPr>
        <w:t xml:space="preserve">Съгласуваност с други политики на Съюза </w:t>
      </w:r>
    </w:p>
    <w:p>
      <w:pPr>
        <w:pBdr>
          <w:top w:val="nil"/>
          <w:left w:val="nil"/>
          <w:bottom w:val="nil"/>
          <w:right w:val="nil"/>
          <w:between w:val="nil"/>
          <w:bar w:val="nil"/>
        </w:pBdr>
        <w:spacing w:before="0" w:after="240"/>
        <w:rPr>
          <w:noProof/>
        </w:rPr>
      </w:pPr>
      <w:r>
        <w:rPr>
          <w:noProof/>
          <w:color w:val="000000"/>
          <w:szCs w:val="24"/>
        </w:rPr>
        <w:t xml:space="preserve">В своите годишни работни програми Комисията неотменно подчертава необходимостта от по-прости правила за малките предприятия. </w:t>
      </w:r>
      <w:r>
        <w:rPr>
          <w:noProof/>
        </w:rPr>
        <w:t xml:space="preserve">В тази връзка в работната програма на </w:t>
      </w:r>
      <w:r>
        <w:rPr>
          <w:noProof/>
        </w:rPr>
        <w:lastRenderedPageBreak/>
        <w:t>Комисията за 2020 г.</w:t>
      </w:r>
      <w:r>
        <w:rPr>
          <w:rStyle w:val="FootnoteReference"/>
          <w:noProof/>
        </w:rPr>
        <w:footnoteReference w:id="18"/>
      </w:r>
      <w:r>
        <w:rPr>
          <w:noProof/>
        </w:rPr>
        <w:t xml:space="preserve"> се посочва „специална стратегия за МСП, която ще улесни работата, разрастването и разширяването на дейността на малките и средните предприятия“. </w:t>
      </w:r>
      <w:r>
        <w:rPr>
          <w:noProof/>
          <w:color w:val="000000"/>
          <w:szCs w:val="24"/>
        </w:rPr>
        <w:t xml:space="preserve">Мярката за дерогация е в съответствие с тези цели, доколкото са засегнати данъчните правила. </w:t>
      </w:r>
      <w:r>
        <w:rPr>
          <w:noProof/>
        </w:rPr>
        <w:t>Тя е най-вече в съответствие с работната програма на Комисията за 2017 г.</w:t>
      </w:r>
      <w:r>
        <w:rPr>
          <w:rStyle w:val="FootnoteReference"/>
          <w:noProof/>
          <w:szCs w:val="23"/>
        </w:rPr>
        <w:footnoteReference w:id="19"/>
      </w:r>
      <w:r>
        <w:rPr>
          <w:noProof/>
        </w:rPr>
        <w:t>, в която се посочва конкретно ДДС, като се изтъква, че административната тежест във връзка с изискванията за ДДС за малките предприятия е голяма, а техническите иновации поставят нови предизвикателства пред ефективното събиране на данъка, поради което е нужно ДДС да се опрости за малките предприятия.</w:t>
      </w:r>
      <w:r>
        <w:rPr>
          <w:noProof/>
          <w:color w:val="000000"/>
          <w:szCs w:val="24"/>
        </w:rPr>
        <w:t xml:space="preserve"> </w:t>
      </w:r>
    </w:p>
    <w:p>
      <w:pPr>
        <w:pBdr>
          <w:top w:val="nil"/>
          <w:left w:val="nil"/>
          <w:bottom w:val="nil"/>
          <w:right w:val="nil"/>
          <w:between w:val="nil"/>
          <w:bar w:val="nil"/>
        </w:pBdr>
        <w:spacing w:before="0" w:after="240"/>
        <w:rPr>
          <w:noProof/>
          <w:color w:val="000000"/>
          <w:szCs w:val="24"/>
        </w:rPr>
      </w:pPr>
      <w:r>
        <w:rPr>
          <w:noProof/>
        </w:rPr>
        <w:t>Мярката е в съответствие и със стратегията за единния пазар от 2015 г.</w:t>
      </w:r>
      <w:r>
        <w:rPr>
          <w:rStyle w:val="FootnoteReference"/>
          <w:noProof/>
          <w:szCs w:val="24"/>
        </w:rPr>
        <w:footnoteReference w:id="20"/>
      </w:r>
      <w:r>
        <w:rPr>
          <w:noProof/>
        </w:rPr>
        <w:t>, в която Комисията се ангажира да помогне на малките и средните предприятия да се развиват, като, наред с другото, намали административните тежести, които им пречат да се възползват в пълна степен от единния пазар. Тя следва и философията на съобщението на Комисията от 2013 г. „План за действие „Предприемачество 2020 г.:</w:t>
      </w:r>
      <w:r>
        <w:rPr>
          <w:noProof/>
          <w:color w:val="000000"/>
          <w:szCs w:val="24"/>
        </w:rPr>
        <w:t xml:space="preserve"> Възраждане на предприемаческия дух в Европа“</w:t>
      </w:r>
      <w:r>
        <w:rPr>
          <w:rStyle w:val="FootnoteReference"/>
          <w:noProof/>
          <w:color w:val="000000"/>
          <w:szCs w:val="24"/>
        </w:rPr>
        <w:footnoteReference w:id="21"/>
      </w:r>
      <w:r>
        <w:rPr>
          <w:noProof/>
          <w:color w:val="000000"/>
          <w:szCs w:val="24"/>
        </w:rPr>
        <w:t>, в което се подчертава необходимостта да се опрости данъчното законодателство за малките предприятия.</w:t>
      </w:r>
    </w:p>
    <w:p>
      <w:pPr>
        <w:pBdr>
          <w:top w:val="nil"/>
          <w:left w:val="nil"/>
          <w:bottom w:val="nil"/>
          <w:right w:val="nil"/>
          <w:between w:val="nil"/>
          <w:bar w:val="nil"/>
        </w:pBdr>
        <w:spacing w:before="0" w:after="240"/>
        <w:rPr>
          <w:noProof/>
          <w:color w:val="000000"/>
          <w:szCs w:val="24"/>
        </w:rPr>
      </w:pPr>
      <w:r>
        <w:rPr>
          <w:noProof/>
        </w:rPr>
        <w:t>И накрая, мярката е в съответствие с политиките на Съюза по отношение на малките и средните предприятия, изложени в Съобщението от 2016 г.</w:t>
      </w:r>
      <w:r>
        <w:rPr>
          <w:rStyle w:val="FootnoteReference"/>
          <w:noProof/>
          <w:szCs w:val="24"/>
        </w:rPr>
        <w:footnoteReference w:id="22"/>
      </w:r>
      <w:r>
        <w:rPr>
          <w:noProof/>
        </w:rPr>
        <w:t xml:space="preserve"> относно стартиращите предприятия, както и в съобщението от 2008 г. „Мисли първо за малките!“ — „Small Business Act“ за Европа“</w:t>
      </w:r>
      <w:r>
        <w:rPr>
          <w:rStyle w:val="FootnoteReference"/>
          <w:noProof/>
          <w:szCs w:val="24"/>
        </w:rPr>
        <w:footnoteReference w:id="23"/>
      </w:r>
      <w:r>
        <w:rPr>
          <w:noProof/>
        </w:rPr>
        <w:t>, в което държавите членки бяха призовани да вземат предвид характерните особености на МСП, когато съставят законодателство, и да опростят съществуващата нормативна уредба.</w:t>
      </w:r>
    </w:p>
    <w:p>
      <w:pPr>
        <w:pBdr>
          <w:top w:val="nil"/>
          <w:left w:val="nil"/>
          <w:bottom w:val="nil"/>
          <w:right w:val="nil"/>
          <w:between w:val="nil"/>
          <w:bar w:val="nil"/>
        </w:pBdr>
        <w:spacing w:before="0" w:after="240"/>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noProof/>
        </w:rPr>
      </w:pPr>
      <w:r>
        <w:rPr>
          <w:noProof/>
        </w:rPr>
        <w:t>Член 395 от Директивата за ДДС е единственото възможно правно основание.</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noProof/>
        </w:rPr>
      </w:pPr>
      <w:r>
        <w:rPr>
          <w:noProof/>
        </w:rPr>
        <w:t>Предвид разпоредбата от Директивата за ДДС, на която се основава, предложението е от изключителната компетентност на Европейския съюз. Съответно принципът на субсидиарност не се прилага.</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Решението се отнася до даване на разрешение на държава членка по нейно искане и не представлява задължение.</w:t>
      </w:r>
    </w:p>
    <w:p>
      <w:pPr>
        <w:pBdr>
          <w:top w:val="nil"/>
          <w:left w:val="nil"/>
          <w:bottom w:val="nil"/>
          <w:right w:val="nil"/>
          <w:between w:val="nil"/>
          <w:bar w:val="nil"/>
        </w:pBdr>
        <w:spacing w:before="0" w:after="240"/>
        <w:rPr>
          <w:noProof/>
        </w:rPr>
      </w:pPr>
      <w:r>
        <w:rPr>
          <w:noProof/>
        </w:rPr>
        <w:t>Предвид ограничения обхват на дерогацията специалната мярка е пропорционална на поставената цел, а именно — да се опрости събирането на данъка за малките данъчно задължени лица и за данъчната администрация, както и да се спестят административни ресурси и да се намали отклонението от данъчно облагане.</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noProof/>
        </w:rPr>
      </w:pPr>
      <w:r>
        <w:rPr>
          <w:noProof/>
        </w:rPr>
        <w:t>Предложеният инструмент е решение за изпълнение на Съвета.</w:t>
      </w:r>
    </w:p>
    <w:p>
      <w:pPr>
        <w:pBdr>
          <w:top w:val="nil"/>
          <w:left w:val="nil"/>
          <w:bottom w:val="nil"/>
          <w:right w:val="nil"/>
          <w:between w:val="nil"/>
          <w:bar w:val="nil"/>
        </w:pBdr>
        <w:spacing w:before="0" w:after="240"/>
        <w:rPr>
          <w:noProof/>
        </w:rPr>
      </w:pPr>
      <w:r>
        <w:rPr>
          <w:noProof/>
        </w:rPr>
        <w:t>Съгласно член 395 от Директивата за ДДС дерогация от общите правила за ДДС е възможна единствено след разрешение на Съвета, действащ с единодушие по предложение на Комисията. Решението за изпълнение на Съвета е най-подходящият инструмент,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noProof/>
        </w:rPr>
      </w:pPr>
      <w:r>
        <w:rPr>
          <w:noProof/>
        </w:rPr>
        <w:t>Не беше проведена консултация със заинтересованите страни. Настоящото предложение се основава на искане, отправено от Румъния, и се отнася само за тази конкретна държава членка.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Не бяха необходими външни експертни становища. </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rPr>
          <w:noProof/>
          <w:szCs w:val="24"/>
        </w:rPr>
      </w:pPr>
      <w:r>
        <w:rPr>
          <w:noProof/>
        </w:rPr>
        <w:t>Предложението за решение за изпълнение на Съвета има за цел удължаване на срока на мярка за опростяване, с която се премахва голяма част от свързаните с ДДС задължения за предприятията с годишен оборот, не по-висок от 88 500 EUR или тяхната равностойност в национална валута. Това би могло да окаже потенциално положително въздействие върху намаляването на административната тежест за 241 417 малки предприятия, представляващи 57,15 % от общия брой на регистрираните за целите на ДДС данъчно задължени лица и 17,79 % от общия брой на активните данъчно задължени лица в Румъния за 2019 г. (до 31 октомври). По подобен начин мярката за дерогация би могла значително да намали тежестта за данъчната администрация, свързана със събирането на данъка, което така става по-ефективно, като в същото време се спестяват административни ресурси и се намалява отклонението от данъчно облагане. За данъчно задължените лица тази мярка за дерогация е и ще продължи да бъде незадължителна. Данъчно задължените лица все така ще имат право да изберат да прилагат общия режим за ДДС в съответствие с член 290 от Директива 2006/112/ЕО. Отражението върху бюджета, изразено в приходи от ДДС за 2019 г., се оценява от Румъния като незначително.</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noProof/>
        </w:rPr>
      </w:pPr>
      <w:r>
        <w:rPr>
          <w:noProof/>
        </w:rPr>
        <w:t>Предложението няма никакво отражение върху защитата на основните права.</w:t>
      </w:r>
    </w:p>
    <w:p>
      <w:pPr>
        <w:pStyle w:val="ManualHeading1"/>
        <w:rPr>
          <w:noProof/>
        </w:rPr>
      </w:pPr>
      <w:r>
        <w:rPr>
          <w:noProof/>
        </w:rPr>
        <w:lastRenderedPageBreak/>
        <w:t>4.</w:t>
      </w:r>
      <w:r>
        <w:rPr>
          <w:noProof/>
        </w:rPr>
        <w:tab/>
        <w:t>ОТРАЖЕНИЕ ВЪРХУ БЮДЖЕТА</w:t>
      </w:r>
    </w:p>
    <w:p>
      <w:pPr>
        <w:spacing w:before="0" w:after="240"/>
        <w:rPr>
          <w:noProof/>
        </w:rPr>
      </w:pPr>
      <w:r>
        <w:rPr>
          <w:noProof/>
        </w:rPr>
        <w:t xml:space="preserve">Предложението няма да има отрицателно отражение върху бюджета на ЕС, тъй като Румъния ще изчисли съответната компенсация съгласно член 6 от Регламент (ЕИО, Евратом) № 1553/89 на Съвета.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2020/0136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за изпълнение (EС) 2017/1855 за предоставяне на разрешение на Румъния да прилага специална мярка за дерогация от член 287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за данъка върху добавената стойност</w:t>
      </w:r>
      <w:r>
        <w:rPr>
          <w:rStyle w:val="FootnoteReference"/>
          <w:noProof/>
        </w:rPr>
        <w:footnoteReference w:id="24"/>
      </w:r>
      <w:r>
        <w:rPr>
          <w:noProof/>
        </w:rPr>
        <w:t>, и по-специално член 395, параграф 1, първа алинея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Съгласно член 287, точка 18 от Директива 2006/112/ЕО Румъния може да освобождава от данък върху добавената стойност (ДДС) данъчно задължените лица, чийто годишен оборот не надвишава равностойността в национална валута на 35 000 EUR по обменния курс в деня на присъединяването на страната към ЕС.</w:t>
      </w:r>
    </w:p>
    <w:p>
      <w:pPr>
        <w:pStyle w:val="ManualConsidrant"/>
        <w:rPr>
          <w:noProof/>
        </w:rPr>
      </w:pPr>
      <w:r>
        <w:t>(2)</w:t>
      </w:r>
      <w:r>
        <w:tab/>
      </w:r>
      <w:r>
        <w:rPr>
          <w:noProof/>
        </w:rPr>
        <w:t>С Решение за изпълнение 2012/181/ЕС на Съвета</w:t>
      </w:r>
      <w:r>
        <w:rPr>
          <w:rStyle w:val="FootnoteReference"/>
          <w:noProof/>
        </w:rPr>
        <w:footnoteReference w:id="25"/>
      </w:r>
      <w:r>
        <w:rPr>
          <w:noProof/>
        </w:rPr>
        <w:t xml:space="preserve"> на Румъния бе дадено разрешение да въведе специална мярка за дерогация от член 287 от Директива 2006/112/ЕО („мярката за дерогация“), за да освобождава от ДДС данъчно задължените лица, чийто годишен оборот е не по-висок от 65 000 EUR. Мярката за дерогация изтече на 31 декември 2014 г.</w:t>
      </w:r>
    </w:p>
    <w:p>
      <w:pPr>
        <w:pStyle w:val="ManualConsidrant"/>
        <w:rPr>
          <w:noProof/>
        </w:rPr>
      </w:pPr>
      <w:r>
        <w:t>(3)</w:t>
      </w:r>
      <w:r>
        <w:tab/>
      </w:r>
      <w:r>
        <w:rPr>
          <w:noProof/>
        </w:rPr>
        <w:t>С Решение за изпълнение 2014/931/ЕС на Съвета</w:t>
      </w:r>
      <w:r>
        <w:rPr>
          <w:rStyle w:val="FootnoteReference"/>
          <w:noProof/>
        </w:rPr>
        <w:footnoteReference w:id="26"/>
      </w:r>
      <w:r>
        <w:rPr>
          <w:noProof/>
        </w:rPr>
        <w:t xml:space="preserve"> беше разрешено на Румъния да продължи да прилага мярката за дерогация до 31 декември 2017 г. </w:t>
      </w:r>
    </w:p>
    <w:p>
      <w:pPr>
        <w:pStyle w:val="ManualConsidrant"/>
        <w:rPr>
          <w:noProof/>
        </w:rPr>
      </w:pPr>
      <w:r>
        <w:t>(4)</w:t>
      </w:r>
      <w:r>
        <w:tab/>
      </w:r>
      <w:r>
        <w:rPr>
          <w:noProof/>
        </w:rPr>
        <w:t>С Решение за изпълнение (ЕС) 2017/1855 на Съвета</w:t>
      </w:r>
      <w:r>
        <w:rPr>
          <w:rStyle w:val="FootnoteReference"/>
          <w:noProof/>
        </w:rPr>
        <w:footnoteReference w:id="27"/>
      </w:r>
      <w:r>
        <w:rPr>
          <w:noProof/>
        </w:rPr>
        <w:t xml:space="preserve"> на Румъния беше разрешено да прилага специална мярка за дерогация от член 287 от Директива 2006/112/ЕО, за да освобождава от ДДС данъчно задължените лица, чийто годишен оборот е не по-висок от равностойността в национална валута на 88 500 </w:t>
      </w:r>
      <w:r>
        <w:rPr>
          <w:noProof/>
        </w:rPr>
        <w:lastRenderedPageBreak/>
        <w:t xml:space="preserve">EUR по обменния курс в деня на присъединяването на страната към Съюза. Мярката за дерогация е разрешена до настъпването на по-ранната от следните две дати: 31 декември 2020 г. или датата на влизане в сила на директива за изменение на разпоредбите на членове 281—294 от Директива 2006/112/ЕО. </w:t>
      </w:r>
    </w:p>
    <w:p>
      <w:pPr>
        <w:pStyle w:val="ManualConsidrant"/>
        <w:rPr>
          <w:noProof/>
        </w:rPr>
      </w:pPr>
      <w:r>
        <w:t>(5)</w:t>
      </w:r>
      <w:r>
        <w:tab/>
      </w:r>
      <w:r>
        <w:rPr>
          <w:noProof/>
        </w:rPr>
        <w:t>На 18 февруари 2020 г. Съветът прие Директива (ЕС) 2020/285</w:t>
      </w:r>
      <w:r>
        <w:rPr>
          <w:rStyle w:val="FootnoteReference"/>
          <w:noProof/>
          <w:szCs w:val="24"/>
        </w:rPr>
        <w:footnoteReference w:id="28"/>
      </w:r>
      <w:r>
        <w:rPr>
          <w:noProof/>
        </w:rPr>
        <w:t xml:space="preserve"> за изменение на членове 281—294 от Директива 2006/112/ЕО по отношение на специалния режим за малките предприятия и за определяне на нови правила за малките предприятия, включително прага на годишен оборот, който държавата членка може да определи на максимум 85 000 EUR или тяхната равностойност в национална валута. </w:t>
      </w:r>
    </w:p>
    <w:p>
      <w:pPr>
        <w:pStyle w:val="ManualConsidrant"/>
        <w:rPr>
          <w:noProof/>
        </w:rPr>
      </w:pPr>
      <w:r>
        <w:t>(6)</w:t>
      </w:r>
      <w:r>
        <w:tab/>
      </w:r>
      <w:r>
        <w:rPr>
          <w:noProof/>
        </w:rPr>
        <w:t>С писмо, заведено в Комисията на 14 януари 2020 г., Румъния поиска разрешение да продължи да прилага мярката след 31 декември 2020 г.</w:t>
      </w:r>
    </w:p>
    <w:p>
      <w:pPr>
        <w:pStyle w:val="ManualConsidrant"/>
        <w:rPr>
          <w:noProof/>
        </w:rPr>
      </w:pPr>
      <w:r>
        <w:t>(7)</w:t>
      </w:r>
      <w:r>
        <w:tab/>
      </w:r>
      <w:r>
        <w:rPr>
          <w:noProof/>
        </w:rPr>
        <w:t xml:space="preserve">Съгласно член 395, параграф 2, втора алинея от Директива 2006/112/ЕО, с писмо от 18 февруари 2020 г. Комисията информира останалите държави членки за отправеното от Румъния искане. С писмо от 19 февруари 2020 г. Комисията уведоми Румъния, че разполага с цялата необходима информация, за да разгледа искането. </w:t>
      </w:r>
    </w:p>
    <w:p>
      <w:pPr>
        <w:pStyle w:val="ManualConsidrant"/>
        <w:rPr>
          <w:noProof/>
        </w:rPr>
      </w:pPr>
      <w:r>
        <w:t>(8)</w:t>
      </w:r>
      <w:r>
        <w:tab/>
      </w:r>
      <w:r>
        <w:rPr>
          <w:noProof/>
        </w:rPr>
        <w:t>Според предоставената от Румъния информация мотивите за мярката за дерогация остават като цяло непроменени. Мярката за дерогация е мярка за опростяване, с която се намаляват свързаните с ДДС задължения за редица малки предприятия. Мярката също така намалява тежестта върху данъчната администрация чрез премахване на необходимостта тя да следи събирането на малки по обем приходи от по-голям брой малки предприятия. Запазването на настоящия праг за освобождаване изглежда е ефективен начин за спестяване на административни ресурси и намаляване на отклонението от данъчно облагане.</w:t>
      </w:r>
    </w:p>
    <w:p>
      <w:pPr>
        <w:pStyle w:val="ManualConsidrant"/>
        <w:rPr>
          <w:noProof/>
        </w:rPr>
      </w:pPr>
      <w:r>
        <w:t>(9)</w:t>
      </w:r>
      <w:r>
        <w:tab/>
      </w:r>
      <w:r>
        <w:rPr>
          <w:noProof/>
        </w:rPr>
        <w:t xml:space="preserve">За данъчно задължените лица тази мярка за дерогация е и ще продължи да бъде незадължителна. Данъчно задължените лица все така ще имат право да изберат да прилагат общия режим за ДДС в съответствие с член 290 от Директива 2006/112/ЕО. </w:t>
      </w:r>
    </w:p>
    <w:p>
      <w:pPr>
        <w:pStyle w:val="ManualConsidrant"/>
        <w:rPr>
          <w:noProof/>
        </w:rPr>
      </w:pPr>
      <w:r>
        <w:t>(10)</w:t>
      </w:r>
      <w:r>
        <w:tab/>
      </w:r>
      <w:r>
        <w:rPr>
          <w:noProof/>
        </w:rPr>
        <w:t xml:space="preserve">Съгласно предоставената от Румъния информация мярката за дерогация ще има само незначително въздействие върху общия размер на данъчните приходи на Румъния, събирани на етапа на крайното потребление.  </w:t>
      </w:r>
    </w:p>
    <w:p>
      <w:pPr>
        <w:pStyle w:val="ManualConsidrant"/>
        <w:rPr>
          <w:noProof/>
        </w:rPr>
      </w:pPr>
      <w:r>
        <w:t>(11)</w:t>
      </w:r>
      <w:r>
        <w:tab/>
      </w:r>
      <w:r>
        <w:rPr>
          <w:noProof/>
        </w:rPr>
        <w:t>Мярката за дерогация няма да окаже отрицателно въздействие върху собствените ресурси на Съюза, формирани от ДДС, тъй като Румъния ще изчисли съответната компенсация съгласно член 6 от Регламент (ЕИО, Евратом) № 1553/89 на Съвета</w:t>
      </w:r>
      <w:r>
        <w:rPr>
          <w:rStyle w:val="FootnoteReference"/>
          <w:noProof/>
        </w:rPr>
        <w:footnoteReference w:id="29"/>
      </w:r>
      <w:r>
        <w:rPr>
          <w:noProof/>
        </w:rPr>
        <w:t>.</w:t>
      </w:r>
    </w:p>
    <w:p>
      <w:pPr>
        <w:pStyle w:val="ManualConsidrant"/>
        <w:rPr>
          <w:noProof/>
        </w:rPr>
      </w:pPr>
      <w:r>
        <w:t>(12)</w:t>
      </w:r>
      <w:r>
        <w:tab/>
      </w:r>
      <w:r>
        <w:rPr>
          <w:noProof/>
        </w:rPr>
        <w:t xml:space="preserve">Като се има предвид потенциалното положително въздействие на мярката за дерогация върху намаляването на административната тежест за малките предприятия и за данъчните органи, както и липсата на значително въздействие </w:t>
      </w:r>
      <w:r>
        <w:rPr>
          <w:noProof/>
        </w:rPr>
        <w:lastRenderedPageBreak/>
        <w:t xml:space="preserve">върху общите генерирани приходи от ДДС, на Румъния следва да бъде разрешено да прилага мярката за дерогация за допълнителен период. </w:t>
      </w:r>
    </w:p>
    <w:p>
      <w:pPr>
        <w:pStyle w:val="ManualConsidrant"/>
        <w:rPr>
          <w:noProof/>
        </w:rPr>
      </w:pPr>
      <w:r>
        <w:t>(13)</w:t>
      </w:r>
      <w:r>
        <w:tab/>
      </w:r>
      <w:r>
        <w:rPr>
          <w:noProof/>
        </w:rPr>
        <w:t xml:space="preserve">Разрешението да се прилага мярката за дерогация следва да бъде ограничено във времето. Ограничението във времето следва да бъде достатъчно, за да позволи да бъдат оценени ефективността и целесъобразността на прага. Освен това в съответствие с Директива (ЕС) 2020/285 държавите членки трябва да приемат и публикуват до 31 декември 2024 г. законовите, подзаконовите и административните разпоредби, за да се съобразят с член 1 от същата директива, и да ги прилагат от 1 януари 2025 г. Поради това е целесъобразно да се разреши на Румъния да прилага мярката за дерогация до 31 декември 2024 г. </w:t>
      </w:r>
    </w:p>
    <w:p>
      <w:pPr>
        <w:pStyle w:val="ManualConsidrant"/>
        <w:rPr>
          <w:noProof/>
        </w:rPr>
      </w:pPr>
      <w:r>
        <w:t>(14)</w:t>
      </w:r>
      <w:r>
        <w:tab/>
      </w:r>
      <w:r>
        <w:rPr>
          <w:noProof/>
        </w:rPr>
        <w:t>Поради това Решение за изпълнение (ЕС) 2017/1855 следва да бъде съответно изменено,</w:t>
      </w:r>
    </w:p>
    <w:p>
      <w:pPr>
        <w:pStyle w:val="Formuledadoption"/>
        <w:rPr>
          <w:noProof/>
        </w:rPr>
      </w:pPr>
      <w:r>
        <w:rPr>
          <w:noProof/>
        </w:rPr>
        <w:t xml:space="preserve">ПРИЕ НАСТОЯЩОТО РЕШЕНИЕ: </w:t>
      </w:r>
    </w:p>
    <w:p>
      <w:pPr>
        <w:pStyle w:val="Titrearticle"/>
        <w:rPr>
          <w:noProof/>
        </w:rPr>
      </w:pPr>
      <w:r>
        <w:rPr>
          <w:noProof/>
        </w:rPr>
        <w:t xml:space="preserve"> Член 1</w:t>
      </w:r>
    </w:p>
    <w:p>
      <w:pPr>
        <w:rPr>
          <w:noProof/>
        </w:rPr>
      </w:pPr>
      <w:r>
        <w:rPr>
          <w:noProof/>
        </w:rPr>
        <w:t>В член 2 от Решение за изпълнение (ЕС) 2017/1855 втората алинея се заменя със следното:</w:t>
      </w:r>
    </w:p>
    <w:p>
      <w:pPr>
        <w:rPr>
          <w:noProof/>
        </w:rPr>
      </w:pPr>
      <w:r>
        <w:rPr>
          <w:noProof/>
        </w:rPr>
        <w:t>„Настоящото решение се прилага от 1 януари 2018 г. до 31 декември 2024 г.“</w:t>
      </w:r>
    </w:p>
    <w:p>
      <w:pPr>
        <w:pStyle w:val="Titrearticle"/>
        <w:rPr>
          <w:noProof/>
        </w:rPr>
      </w:pPr>
      <w:r>
        <w:rPr>
          <w:noProof/>
        </w:rPr>
        <w:t>Член 2</w:t>
      </w:r>
    </w:p>
    <w:p>
      <w:pPr>
        <w:keepNext/>
        <w:keepLines/>
        <w:rPr>
          <w:noProof/>
          <w:color w:val="000000"/>
        </w:rPr>
      </w:pPr>
      <w:r>
        <w:rPr>
          <w:noProof/>
          <w:color w:val="000000"/>
        </w:rPr>
        <w:t>Адресат на настоящото решение е Румъния.</w:t>
      </w:r>
    </w:p>
    <w:p>
      <w:pPr>
        <w:keepNext/>
        <w:keepLines/>
        <w:rPr>
          <w:noProof/>
          <w:color w:val="000000"/>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11.12.2006 г., стр. 1.</w:t>
      </w:r>
    </w:p>
  </w:footnote>
  <w:footnote w:id="2">
    <w:p>
      <w:pPr>
        <w:pStyle w:val="FootnoteText"/>
      </w:pPr>
      <w:r>
        <w:rPr>
          <w:rStyle w:val="FootnoteReference"/>
        </w:rPr>
        <w:footnoteRef/>
      </w:r>
      <w:r>
        <w:tab/>
        <w:t>Решение за изпълнение 2012/181/ЕС на Съвета от 26 март 2012 г. за предоставяне на разрешение на Румъния да въведе специална мярка за дерогация от член 287 от Директива 2006/112/ЕО относно общата система на данъка върху добавената стойност (ОВ L 92, 30.3.2012 г., стр. 26).</w:t>
      </w:r>
    </w:p>
  </w:footnote>
  <w:footnote w:id="3">
    <w:p>
      <w:pPr>
        <w:pStyle w:val="FootnoteText"/>
      </w:pPr>
      <w:r>
        <w:rPr>
          <w:rStyle w:val="FootnoteReference"/>
        </w:rPr>
        <w:footnoteRef/>
      </w:r>
      <w:r>
        <w:tab/>
        <w:t>Решение за изпълнение 2014/931/ЕС на Съвета от 16 декември 2014 г. за удължаване на срока на прилагане на Решение за изпълнение 2012/181/ЕС за предоставяне на разрешение на Румъния да въведе специална мярка за дерогация от член 287 от Директива 2006/112/ЕО относно общата система на данъка върху добавената стойност (ОВ L 365, 19.12.2014 г., стр. 145).</w:t>
      </w:r>
    </w:p>
  </w:footnote>
  <w:footnote w:id="4">
    <w:p>
      <w:pPr>
        <w:pStyle w:val="FootnoteText"/>
      </w:pPr>
      <w:r>
        <w:rPr>
          <w:rStyle w:val="FootnoteReference"/>
        </w:rPr>
        <w:footnoteRef/>
      </w:r>
      <w:r>
        <w:tab/>
        <w:t>Решение за изпълнение (ЕС) 2017/1855 на Съвета от 10 октомври 2017 г. за предоставяне на разрешение на Румъния да прилага специална мярка за дерогация от член 287 от Директива 2006/112/ЕО относно общата система на данъка върху добавената стойност (ОВ L 265, 14.10.2017 г., стр. 19).</w:t>
      </w:r>
    </w:p>
  </w:footnote>
  <w:footnote w:id="5">
    <w:p>
      <w:pPr>
        <w:pStyle w:val="FootnoteText"/>
      </w:pPr>
      <w:r>
        <w:rPr>
          <w:rStyle w:val="FootnoteReference"/>
        </w:rPr>
        <w:footnoteRef/>
      </w:r>
      <w:r>
        <w:tab/>
        <w:t>Директива (EС) 2020/285 на Съвета от 18 февруари 2020 г. за изменение на Директива 2006/112/ЕО относно общата система на данъка върху добавената стойност по отношение на специалния режим за малките предприятия и Регламент (ЕС) № 904/2010 относно административното сътрудничество и обмена на информация за целите на наблюдението на правилното прилагане на специалния режим за малките предприятия (OВ L 62, 2.3.2020 г., стр. 13).</w:t>
      </w:r>
    </w:p>
  </w:footnote>
  <w:footnote w:id="6">
    <w:p>
      <w:pPr>
        <w:pStyle w:val="FootnoteText"/>
      </w:pPr>
      <w:r>
        <w:rPr>
          <w:rStyle w:val="FootnoteReference"/>
        </w:rPr>
        <w:footnoteRef/>
      </w:r>
      <w:r>
        <w:tab/>
        <w:t>Съобщение на Комисията до Европейския парламент, Съвета и Европейския икономически и социален комитет относно план за действие във връзка с ДДС — Към единно пространство на ЕС по отношение на ДДС — Време за избор (COM(2016) 148 final).</w:t>
      </w:r>
    </w:p>
  </w:footnote>
  <w:footnote w:id="7">
    <w:p>
      <w:pPr>
        <w:pStyle w:val="FootnoteText"/>
      </w:pPr>
      <w:r>
        <w:rPr>
          <w:rStyle w:val="FootnoteReference"/>
        </w:rPr>
        <w:footnoteRef/>
      </w:r>
      <w:r>
        <w:tab/>
        <w:t>Решение за изпълнение (ЕС) 2018/279 на Съвета от 20 февруари 2018 г. за предоставяне на разрешение на Малта да прилага специална мярка за дерогация от член 287 от Директива 2006/112/ЕО относно общата система на данъка върху добавената стойност (ОВ L 54, 24.2.2018 г., стр. 14).</w:t>
      </w:r>
    </w:p>
  </w:footnote>
  <w:footnote w:id="8">
    <w:p>
      <w:pPr>
        <w:pStyle w:val="FootnoteText"/>
      </w:pPr>
      <w:r>
        <w:rPr>
          <w:rStyle w:val="FootnoteReference"/>
        </w:rPr>
        <w:footnoteRef/>
      </w:r>
      <w:r>
        <w:tab/>
        <w:t>Решение за изпълнение (ЕС) 2018/1904 на Съвета от 4 декември 2018 г. за предоставяне на разрешение на Нидерландия да въведе специална мярка за дерогация от член 285 от Директива 2006/112/ЕО относно общата система на данъка върху добавената стойност (ОВ L 310, 6.12.2018 г., стр. 25).</w:t>
      </w:r>
    </w:p>
  </w:footnote>
  <w:footnote w:id="9">
    <w:p>
      <w:pPr>
        <w:pStyle w:val="FootnoteText"/>
      </w:pPr>
      <w:r>
        <w:rPr>
          <w:rStyle w:val="FootnoteReference"/>
        </w:rPr>
        <w:footnoteRef/>
      </w:r>
      <w:r>
        <w:tab/>
        <w:t>Решение за изпълнение (ЕС) 2019/2210 на Съвета от 19 декември 2019 г. за изменение на Решение за изпълнение 2013/677/ЕС за предоставяне на разрешение на Люксембург да въведе специална мярка за дерогация от член 285 от Директива 2006/112/ЕО относно общата система на данъка върху добавената стойност (ОВ L 332, 23.12.2019 г., стр. 155).</w:t>
      </w:r>
    </w:p>
  </w:footnote>
  <w:footnote w:id="10">
    <w:p>
      <w:pPr>
        <w:pStyle w:val="FootnoteText"/>
      </w:pPr>
      <w:r>
        <w:rPr>
          <w:rStyle w:val="FootnoteReference"/>
        </w:rPr>
        <w:footnoteRef/>
      </w:r>
      <w:r>
        <w:tab/>
        <w:t>Решение за изпълнение (ЕС) 2018/1919 на Съвета от 4 декември 2018 г. за изменение на Решение 2009/790/ЕО за даване на разрешение на Република Полша да приложи мярка за дерогация от член 287 от Директива 2006/112/ЕО относно общата система на данъка върху добавената стойност (ОВ L 311, 7.12.2018 г., стр. 32).</w:t>
      </w:r>
    </w:p>
  </w:footnote>
  <w:footnote w:id="11">
    <w:p>
      <w:pPr>
        <w:pStyle w:val="FootnoteText"/>
      </w:pPr>
      <w:r>
        <w:rPr>
          <w:rStyle w:val="FootnoteReference"/>
        </w:rPr>
        <w:footnoteRef/>
      </w:r>
      <w:r>
        <w:tab/>
        <w:t>Решение за изпълнение (ЕС) 2017/563 на Съвета от 21 март 2017 г. за даване на разрешение на Република Естония да прилага специална мярка за дерогация от член 287 от Директива 2006/112/ЕО относно общата система на данъка върху добавената стойност (ОВ L 80, 25.3.2017 г., стр. 33).</w:t>
      </w:r>
    </w:p>
  </w:footnote>
  <w:footnote w:id="12">
    <w:p>
      <w:pPr>
        <w:pStyle w:val="FootnoteText"/>
      </w:pPr>
      <w:r>
        <w:rPr>
          <w:rStyle w:val="FootnoteReference"/>
        </w:rPr>
        <w:footnoteRef/>
      </w:r>
      <w:r>
        <w:tab/>
        <w:t>Решение за изпълнение (ЕС) 2017/2408 на Съвета от 18 декември 2017 г. за предоставяне на разрешение на Република Латвия да прилага специална мярка за дерогация от член 287 от Директива 2006/112/ЕО относно общата система на данъка върху добавената стойност (ОВ L 342, 21.12.2017 г., стр. 8).</w:t>
      </w:r>
    </w:p>
  </w:footnote>
  <w:footnote w:id="13">
    <w:p>
      <w:pPr>
        <w:pStyle w:val="FootnoteText"/>
      </w:pPr>
      <w:r>
        <w:rPr>
          <w:rStyle w:val="FootnoteReference"/>
        </w:rPr>
        <w:footnoteRef/>
      </w:r>
      <w:r>
        <w:tab/>
        <w:t>Решение за изпълнение (ЕС) 2017/1768 на Съвета от 25 септември 2017 г. за даване на разрешение на Република Хърватия да въведе специална мярка за дерогация от член 287 от Директива 2006/112/ЕО относно общата система на данъка върху добавената стойност (ОВ L 250, 28.9.2017 г., стр. 71).</w:t>
      </w:r>
    </w:p>
  </w:footnote>
  <w:footnote w:id="14">
    <w:p>
      <w:pPr>
        <w:pStyle w:val="FootnoteText"/>
      </w:pPr>
      <w:r>
        <w:rPr>
          <w:rStyle w:val="FootnoteReference"/>
        </w:rPr>
        <w:footnoteRef/>
      </w:r>
      <w:r>
        <w:tab/>
        <w:t>Решение за изпълнение (EС) 2017/1853 на Съвета от 10 октомври 2017 г. за изменение на Решение за изпълнение 2011/335/ЕС за даване на разрешение на Република Литва да прилага мярка за дерогация от член 287 от Директива 2006/112/ЕО относно общата система на данъка върху добавената стойност (ОВ L 265, 14.10.2017 г., стр. 15).</w:t>
      </w:r>
    </w:p>
  </w:footnote>
  <w:footnote w:id="15">
    <w:p>
      <w:pPr>
        <w:pStyle w:val="FootnoteText"/>
      </w:pPr>
      <w:r>
        <w:rPr>
          <w:rStyle w:val="FootnoteReference"/>
        </w:rPr>
        <w:footnoteRef/>
      </w:r>
      <w:r>
        <w:tab/>
        <w:t>Решение за изпълнение (ЕС) 2018/1490 на Съвета от 2 октомври 2018 г. за даване на разрешение на Унгария да въведе специална мярка за дерогация от член 287 от Директива 2006/112/ЕО относно общата система на данъка върху добавената стойност (ОВ L 252, 8.10.2018 г., стр. 38).</w:t>
      </w:r>
    </w:p>
  </w:footnote>
  <w:footnote w:id="16">
    <w:p>
      <w:pPr>
        <w:pStyle w:val="FootnoteText"/>
      </w:pPr>
      <w:r>
        <w:rPr>
          <w:rStyle w:val="FootnoteReference"/>
        </w:rPr>
        <w:footnoteRef/>
      </w:r>
      <w:r>
        <w:tab/>
        <w:t>Решение за изпълнение (ЕС) 2018/1700 на Съвета от 6 ноември 2018 г. за изменение на Решение за изпълнение 2013/54/ЕС за предоставяне на разрешение на Република Словения да въведе специална мярка за дерогация от член 287 от Директива 2006/112/ЕО относно общата система на данъка върху добавената стойност (ОВ L 285, 13.11.2018 г., стр. 78).</w:t>
      </w:r>
    </w:p>
  </w:footnote>
  <w:footnote w:id="17">
    <w:p>
      <w:pPr>
        <w:pStyle w:val="FootnoteText"/>
        <w:rPr>
          <w:i/>
        </w:rPr>
      </w:pPr>
      <w:r>
        <w:rPr>
          <w:rStyle w:val="FootnoteReference"/>
        </w:rPr>
        <w:footnoteRef/>
      </w:r>
      <w:r>
        <w:tab/>
        <w:t xml:space="preserve">Решение за изпълнение (ЕС) 2020/647 на Съвета от 11 май 2020 г. за даване на разрешение на Италианската република да прилага специална мярка за дерогация от член 285 от Директива 2006/112/ЕО относно общата система на данъка върху добавената стойност (ОВ L 151, 14.5.2020 г., стр. 7). </w:t>
      </w:r>
    </w:p>
  </w:footnote>
  <w:footnote w:id="18">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Работна програма на Комисията за 2020 г. — Съюз с по-големи амбиции (COM(2020) 37 final).</w:t>
      </w:r>
    </w:p>
  </w:footnote>
  <w:footnote w:id="19">
    <w:p>
      <w:pPr>
        <w:pStyle w:val="FootnoteText"/>
      </w:pPr>
      <w:r>
        <w:rPr>
          <w:rStyle w:val="FootnoteReference"/>
        </w:rPr>
        <w:footnoteRef/>
      </w:r>
      <w:r>
        <w:tab/>
        <w:t xml:space="preserve">Съобщение на Комисията до Европейския парламент, Съвета, Европейския икономически и социален комитет и Комитета на регионите — Работна програма на Комисията за 2017 г. (COM(2016) 710 final). </w:t>
      </w:r>
    </w:p>
  </w:footnote>
  <w:footnote w:id="20">
    <w:p>
      <w:pPr>
        <w:pStyle w:val="FootnoteText"/>
      </w:pPr>
      <w:r>
        <w:rPr>
          <w:rStyle w:val="FootnoteReference"/>
        </w:rPr>
        <w:footnoteRef/>
      </w:r>
      <w:r>
        <w:tab/>
        <w:t xml:space="preserve">Съобщение на Комисията до Европейския парламент, Съвета, Европейския икономически и социален комитет и Комитета на регионите „Осъвременяване на единния пазар: повече възможности за гражданите и предприятията“ (COM(2015) 550 final).  </w:t>
      </w:r>
    </w:p>
  </w:footnote>
  <w:footnote w:id="21">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План за действие „Предприемачество 2020 г.:</w:t>
      </w:r>
      <w:r>
        <w:rPr>
          <w:color w:val="000000"/>
          <w:szCs w:val="24"/>
        </w:rPr>
        <w:t xml:space="preserve"> Възраждане на предприемаческия дух в Европа (COM(2012) 795 final).</w:t>
      </w:r>
    </w:p>
  </w:footnote>
  <w:footnote w:id="22">
    <w:p>
      <w:pPr>
        <w:pStyle w:val="FootnoteText"/>
      </w:pPr>
      <w:r>
        <w:rPr>
          <w:rStyle w:val="FootnoteReference"/>
        </w:rPr>
        <w:footnoteRef/>
      </w:r>
      <w:r>
        <w:tab/>
        <w:t xml:space="preserve">Съобщение на Комисията до Европейския парламент, Съвета, Европейския икономически и социален комитет и Комитета на регионите „Новите европейски лидери — инициатива за подкрепа на стартиращи и разрастващи се предприятия“ </w:t>
      </w:r>
      <w:r>
        <w:rPr>
          <w:b/>
          <w:bCs/>
        </w:rPr>
        <w:t>(</w:t>
      </w:r>
      <w:r>
        <w:t>COM(2016) 733 final</w:t>
      </w:r>
      <w:r>
        <w:rPr>
          <w:b/>
          <w:bCs/>
        </w:rPr>
        <w:t>)</w:t>
      </w:r>
      <w:r>
        <w:t>.</w:t>
      </w:r>
    </w:p>
  </w:footnote>
  <w:footnote w:id="23">
    <w:p>
      <w:pPr>
        <w:pStyle w:val="FootnoteText"/>
      </w:pPr>
      <w:r>
        <w:rPr>
          <w:rStyle w:val="FootnoteReference"/>
        </w:rPr>
        <w:footnoteRef/>
      </w:r>
      <w:r>
        <w:tab/>
        <w:t xml:space="preserve">Съобщение на Комисията до Съвета, Европейския парламент, Европейския икономически и социален комитет и Комитета на регионите — „Мисли първо за малките!“ — „Small Business Act“ за Европа (COM(2008) 394 окончателен). </w:t>
      </w:r>
    </w:p>
  </w:footnote>
  <w:footnote w:id="24">
    <w:p>
      <w:pPr>
        <w:pStyle w:val="FootnoteText"/>
      </w:pPr>
      <w:r>
        <w:rPr>
          <w:rStyle w:val="FootnoteReference"/>
        </w:rPr>
        <w:footnoteRef/>
      </w:r>
      <w:r>
        <w:tab/>
        <w:t>ОВ L 347, 11.12.2006 г., стр. 1.</w:t>
      </w:r>
    </w:p>
  </w:footnote>
  <w:footnote w:id="25">
    <w:p>
      <w:pPr>
        <w:pStyle w:val="FootnoteText"/>
      </w:pPr>
      <w:r>
        <w:rPr>
          <w:rStyle w:val="FootnoteReference"/>
        </w:rPr>
        <w:footnoteRef/>
      </w:r>
      <w:r>
        <w:tab/>
        <w:t xml:space="preserve">Решение за изпълнение 2012/181/ЕС на Съвета от 26 март 2012 г. за предоставяне на разрешение на Румъния да въведе специална мярка за дерогация от член 287 от Директива 2006/112/ЕО относно общата система на данъка върху добавената стойност (ОВ L 92, 30.3.2012 г., стр. 26). </w:t>
      </w:r>
    </w:p>
  </w:footnote>
  <w:footnote w:id="26">
    <w:p>
      <w:pPr>
        <w:pStyle w:val="FootnoteText"/>
      </w:pPr>
      <w:r>
        <w:rPr>
          <w:rStyle w:val="FootnoteReference"/>
        </w:rPr>
        <w:footnoteRef/>
      </w:r>
      <w:r>
        <w:tab/>
        <w:t>Решение за изпълнение 2014/931/ЕС на Съвета от 16 декември 2014 г. за удължаване на срока на прилагане на Решение за изпълнение 2012/181/ЕС за предоставяне на разрешение на Румъния да въведе специална мярка за дерогация от член 287 от Директива 2006/112/ЕО относно общата система на данъка върху добавената стойност (ОВ L 365, 19.12.2014 г., стр. 145).</w:t>
      </w:r>
    </w:p>
  </w:footnote>
  <w:footnote w:id="27">
    <w:p>
      <w:pPr>
        <w:pStyle w:val="FootnoteText"/>
      </w:pPr>
      <w:r>
        <w:rPr>
          <w:rStyle w:val="FootnoteReference"/>
        </w:rPr>
        <w:footnoteRef/>
      </w:r>
      <w:r>
        <w:tab/>
        <w:t>Решение за изпълнение (ЕС) 2017/1855 на Съвета от 10 октомври 2017 г. за предоставяне на разрешение на Румъния да прилага специална мярка за дерогация от член 287 от Директива 2006/112/ЕО относно общата система на данъка върху добавената стойност (ОВ L 265, 14.10.2017 г., стр. 19).</w:t>
      </w:r>
    </w:p>
  </w:footnote>
  <w:footnote w:id="28">
    <w:p>
      <w:pPr>
        <w:pStyle w:val="FootnoteText"/>
      </w:pPr>
      <w:r>
        <w:rPr>
          <w:rStyle w:val="FootnoteReference"/>
        </w:rPr>
        <w:footnoteRef/>
      </w:r>
      <w:r>
        <w:tab/>
        <w:t>Директива (EС) 2020/285 на Съвета от 18 февруари 2020 г. за изменение на Директива 2006/112/ЕО относно общата система на данъка върху добавената стойност по отношение на специалния режим за малките предприятия и Регламент (ЕС) № 904/2010 относно административното сътрудничество и обмена на информация за целите на наблюдението на правилното прилагане на специалния режим за малките предприятия (OВ L 62, 2.3.2020 г., стр. 13).</w:t>
      </w:r>
    </w:p>
  </w:footnote>
  <w:footnote w:id="29">
    <w:p>
      <w:pPr>
        <w:pStyle w:val="FootnoteText"/>
      </w:pPr>
      <w:r>
        <w:rPr>
          <w:rStyle w:val="FootnoteReference"/>
        </w:rPr>
        <w:footnoteRef/>
      </w:r>
      <w:r>
        <w:tab/>
        <w:t>Регламент (ЕИО, Евратом) № 1553/89 на Съвета от 29 май 1989 г. за окончателни унифицирани схеми за събирането на собствените ресурси, набирани от данък добавена стойност (ОВ L 155, 7.6.1989 г., стр.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3640F4"/>
    <w:lvl w:ilvl="0">
      <w:start w:val="1"/>
      <w:numFmt w:val="decimal"/>
      <w:pStyle w:val="ListNumber4"/>
      <w:lvlText w:val="%1."/>
      <w:lvlJc w:val="left"/>
      <w:pPr>
        <w:tabs>
          <w:tab w:val="num" w:pos="1842"/>
        </w:tabs>
        <w:ind w:left="1842" w:hanging="360"/>
      </w:pPr>
    </w:lvl>
  </w:abstractNum>
  <w:abstractNum w:abstractNumId="1">
    <w:nsid w:val="FFFFFF7E"/>
    <w:multiLevelType w:val="singleLevel"/>
    <w:tmpl w:val="18B8C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9475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3E93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E09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54CF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360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234EBF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6-30 08:56:3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75AA4DC3-D928-4C3F-B838-A297DDA179B1"/>
    <w:docVar w:name="LW_COVERPAGE_TYPE" w:val="1"/>
    <w:docVar w:name="LW_CROSSREFERENCE" w:val="&lt;UNUSED&gt;"/>
    <w:docVar w:name="LW_DocType" w:val="COM"/>
    <w:docVar w:name="LW_EMISSION" w:val="7.7.2020"/>
    <w:docVar w:name="LW_EMISSION_ISODATE" w:val="2020-07-07"/>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6"/>
    <w:docVar w:name="LW_REF.II.NEW.CP_YEAR" w:val="2020"/>
    <w:docVar w:name="LW_REF.INST.NEW" w:val="COM"/>
    <w:docVar w:name="LW_REF.INST.NEW_ADOPTED" w:val="final"/>
    <w:docVar w:name="LW_REF.INST.NEW_TEXT" w:val="(2020) 2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E\u1057?) 2017/1855 \u1079?\u1072? \u1087?\u1088?\u1077?\u1076?\u1086?\u1089?\u1090?\u1072?\u1074?\u1103?\u1085?\u1077? \u1085?\u1072? \u1088?\u1072?\u1079?\u1088?\u1077?\u1096?\u1077?\u1085?\u1080?\u1077? \u1085?\u1072? \u1056?\u1091?\u1084?\u1098?\u1085?\u1080?\u1103? \u1076?\u1072? \u1087?\u1088?\u1080?\u1083?\u1072?\u1075?\u1072? \u1089?\u1087?\u1077?\u1094?\u1080?\u1072?\u1083?\u1085?\u1072? \u1084?\u1103?\u1088?\u1082?\u1072? \u1079?\u1072? \u1076?\u1077?\u1088?\u1086?\u1075?\u1072?\u1094?\u1080?\u1103? \u1086?\u1090? \u1095?\u1083?\u1077?\u1085? 287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8090">
      <w:bodyDiv w:val="1"/>
      <w:marLeft w:val="0"/>
      <w:marRight w:val="0"/>
      <w:marTop w:val="0"/>
      <w:marBottom w:val="0"/>
      <w:divBdr>
        <w:top w:val="none" w:sz="0" w:space="0" w:color="auto"/>
        <w:left w:val="none" w:sz="0" w:space="0" w:color="auto"/>
        <w:bottom w:val="none" w:sz="0" w:space="0" w:color="auto"/>
        <w:right w:val="none" w:sz="0" w:space="0" w:color="auto"/>
      </w:divBdr>
    </w:div>
    <w:div w:id="200825691">
      <w:bodyDiv w:val="1"/>
      <w:marLeft w:val="0"/>
      <w:marRight w:val="0"/>
      <w:marTop w:val="0"/>
      <w:marBottom w:val="0"/>
      <w:divBdr>
        <w:top w:val="none" w:sz="0" w:space="0" w:color="auto"/>
        <w:left w:val="none" w:sz="0" w:space="0" w:color="auto"/>
        <w:bottom w:val="none" w:sz="0" w:space="0" w:color="auto"/>
        <w:right w:val="none" w:sz="0" w:space="0" w:color="auto"/>
      </w:divBdr>
    </w:div>
    <w:div w:id="851410333">
      <w:bodyDiv w:val="1"/>
      <w:marLeft w:val="0"/>
      <w:marRight w:val="0"/>
      <w:marTop w:val="0"/>
      <w:marBottom w:val="0"/>
      <w:divBdr>
        <w:top w:val="none" w:sz="0" w:space="0" w:color="auto"/>
        <w:left w:val="none" w:sz="0" w:space="0" w:color="auto"/>
        <w:bottom w:val="none" w:sz="0" w:space="0" w:color="auto"/>
        <w:right w:val="none" w:sz="0" w:space="0" w:color="auto"/>
      </w:divBdr>
    </w:div>
    <w:div w:id="1208683066">
      <w:bodyDiv w:val="1"/>
      <w:marLeft w:val="0"/>
      <w:marRight w:val="0"/>
      <w:marTop w:val="0"/>
      <w:marBottom w:val="0"/>
      <w:divBdr>
        <w:top w:val="none" w:sz="0" w:space="0" w:color="auto"/>
        <w:left w:val="none" w:sz="0" w:space="0" w:color="auto"/>
        <w:bottom w:val="none" w:sz="0" w:space="0" w:color="auto"/>
        <w:right w:val="none" w:sz="0" w:space="0" w:color="auto"/>
      </w:divBdr>
    </w:div>
    <w:div w:id="1372537966">
      <w:bodyDiv w:val="1"/>
      <w:marLeft w:val="0"/>
      <w:marRight w:val="0"/>
      <w:marTop w:val="0"/>
      <w:marBottom w:val="0"/>
      <w:divBdr>
        <w:top w:val="none" w:sz="0" w:space="0" w:color="auto"/>
        <w:left w:val="none" w:sz="0" w:space="0" w:color="auto"/>
        <w:bottom w:val="none" w:sz="0" w:space="0" w:color="auto"/>
        <w:right w:val="none" w:sz="0" w:space="0" w:color="auto"/>
      </w:divBdr>
    </w:div>
    <w:div w:id="1728340801">
      <w:bodyDiv w:val="1"/>
      <w:marLeft w:val="0"/>
      <w:marRight w:val="0"/>
      <w:marTop w:val="0"/>
      <w:marBottom w:val="0"/>
      <w:divBdr>
        <w:top w:val="none" w:sz="0" w:space="0" w:color="auto"/>
        <w:left w:val="none" w:sz="0" w:space="0" w:color="auto"/>
        <w:bottom w:val="none" w:sz="0" w:space="0" w:color="auto"/>
        <w:right w:val="none" w:sz="0" w:space="0" w:color="auto"/>
      </w:divBdr>
      <w:divsChild>
        <w:div w:id="374429681">
          <w:marLeft w:val="0"/>
          <w:marRight w:val="0"/>
          <w:marTop w:val="0"/>
          <w:marBottom w:val="0"/>
          <w:divBdr>
            <w:top w:val="none" w:sz="0" w:space="0" w:color="auto"/>
            <w:left w:val="none" w:sz="0" w:space="0" w:color="auto"/>
            <w:bottom w:val="none" w:sz="0" w:space="0" w:color="auto"/>
            <w:right w:val="none" w:sz="0" w:space="0" w:color="auto"/>
          </w:divBdr>
          <w:divsChild>
            <w:div w:id="685403097">
              <w:marLeft w:val="0"/>
              <w:marRight w:val="0"/>
              <w:marTop w:val="0"/>
              <w:marBottom w:val="0"/>
              <w:divBdr>
                <w:top w:val="none" w:sz="0" w:space="0" w:color="auto"/>
                <w:left w:val="none" w:sz="0" w:space="0" w:color="auto"/>
                <w:bottom w:val="none" w:sz="0" w:space="0" w:color="auto"/>
                <w:right w:val="none" w:sz="0" w:space="0" w:color="auto"/>
              </w:divBdr>
              <w:divsChild>
                <w:div w:id="1070469656">
                  <w:marLeft w:val="0"/>
                  <w:marRight w:val="0"/>
                  <w:marTop w:val="0"/>
                  <w:marBottom w:val="0"/>
                  <w:divBdr>
                    <w:top w:val="none" w:sz="0" w:space="0" w:color="auto"/>
                    <w:left w:val="none" w:sz="0" w:space="0" w:color="auto"/>
                    <w:bottom w:val="none" w:sz="0" w:space="0" w:color="auto"/>
                    <w:right w:val="none" w:sz="0" w:space="0" w:color="auto"/>
                  </w:divBdr>
                  <w:divsChild>
                    <w:div w:id="976299249">
                      <w:marLeft w:val="-150"/>
                      <w:marRight w:val="-150"/>
                      <w:marTop w:val="0"/>
                      <w:marBottom w:val="0"/>
                      <w:divBdr>
                        <w:top w:val="none" w:sz="0" w:space="0" w:color="auto"/>
                        <w:left w:val="none" w:sz="0" w:space="0" w:color="auto"/>
                        <w:bottom w:val="none" w:sz="0" w:space="0" w:color="auto"/>
                        <w:right w:val="none" w:sz="0" w:space="0" w:color="auto"/>
                      </w:divBdr>
                      <w:divsChild>
                        <w:div w:id="1708333529">
                          <w:marLeft w:val="0"/>
                          <w:marRight w:val="0"/>
                          <w:marTop w:val="0"/>
                          <w:marBottom w:val="0"/>
                          <w:divBdr>
                            <w:top w:val="none" w:sz="0" w:space="0" w:color="auto"/>
                            <w:left w:val="none" w:sz="0" w:space="0" w:color="auto"/>
                            <w:bottom w:val="none" w:sz="0" w:space="0" w:color="auto"/>
                            <w:right w:val="none" w:sz="0" w:space="0" w:color="auto"/>
                          </w:divBdr>
                          <w:divsChild>
                            <w:div w:id="474369682">
                              <w:marLeft w:val="0"/>
                              <w:marRight w:val="0"/>
                              <w:marTop w:val="0"/>
                              <w:marBottom w:val="0"/>
                              <w:divBdr>
                                <w:top w:val="none" w:sz="0" w:space="0" w:color="auto"/>
                                <w:left w:val="none" w:sz="0" w:space="0" w:color="auto"/>
                                <w:bottom w:val="none" w:sz="0" w:space="0" w:color="auto"/>
                                <w:right w:val="none" w:sz="0" w:space="0" w:color="auto"/>
                              </w:divBdr>
                              <w:divsChild>
                                <w:div w:id="430130331">
                                  <w:marLeft w:val="0"/>
                                  <w:marRight w:val="0"/>
                                  <w:marTop w:val="0"/>
                                  <w:marBottom w:val="300"/>
                                  <w:divBdr>
                                    <w:top w:val="none" w:sz="0" w:space="0" w:color="auto"/>
                                    <w:left w:val="none" w:sz="0" w:space="0" w:color="auto"/>
                                    <w:bottom w:val="none" w:sz="0" w:space="0" w:color="auto"/>
                                    <w:right w:val="none" w:sz="0" w:space="0" w:color="auto"/>
                                  </w:divBdr>
                                  <w:divsChild>
                                    <w:div w:id="896549263">
                                      <w:marLeft w:val="0"/>
                                      <w:marRight w:val="0"/>
                                      <w:marTop w:val="0"/>
                                      <w:marBottom w:val="0"/>
                                      <w:divBdr>
                                        <w:top w:val="none" w:sz="0" w:space="0" w:color="auto"/>
                                        <w:left w:val="none" w:sz="0" w:space="0" w:color="auto"/>
                                        <w:bottom w:val="none" w:sz="0" w:space="0" w:color="auto"/>
                                        <w:right w:val="none" w:sz="0" w:space="0" w:color="auto"/>
                                      </w:divBdr>
                                      <w:divsChild>
                                        <w:div w:id="56049473">
                                          <w:marLeft w:val="0"/>
                                          <w:marRight w:val="0"/>
                                          <w:marTop w:val="0"/>
                                          <w:marBottom w:val="0"/>
                                          <w:divBdr>
                                            <w:top w:val="none" w:sz="0" w:space="0" w:color="auto"/>
                                            <w:left w:val="none" w:sz="0" w:space="0" w:color="auto"/>
                                            <w:bottom w:val="none" w:sz="0" w:space="0" w:color="auto"/>
                                            <w:right w:val="none" w:sz="0" w:space="0" w:color="auto"/>
                                          </w:divBdr>
                                          <w:divsChild>
                                            <w:div w:id="16893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7D8BD3A-E6C0-40F0-ACC1-A849AAE3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3002</Words>
  <Characters>16364</Characters>
  <Application>Microsoft Office Word</Application>
  <DocSecurity>0</DocSecurity>
  <Lines>297</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2020-02-19T17:38:00Z</cp:lastPrinted>
  <dcterms:created xsi:type="dcterms:W3CDTF">2020-06-29T12:38:00Z</dcterms:created>
  <dcterms:modified xsi:type="dcterms:W3CDTF">2020-06-30T06:56:00Z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