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CA98D58-FF83-4846-A45E-D385BCB8C897" style="width:450.35pt;height:393.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решението за установяване на позицията, която трябва да се заеме от името на Европейския съюз в рамките на Комитета по търговия, създаден съгласно Временното споразумение за партньорство между Европейската общност, от една страна, и държавите от Тихоокеанския басейн, от друга страна (наричано по-нататък „споразумението“), във връзка с предвижданото приемане на решение за изменение на някои разпоредби на протокол II към споразумението.</w:t>
      </w:r>
    </w:p>
    <w:p>
      <w:pPr>
        <w:pStyle w:val="ManualHeading1"/>
        <w:rPr>
          <w:bCs/>
          <w:noProof/>
        </w:rPr>
      </w:pPr>
      <w:r>
        <w:t>2.</w:t>
      </w:r>
      <w:r>
        <w:tab/>
      </w:r>
      <w:r>
        <w:rPr>
          <w:noProof/>
        </w:rPr>
        <w:t>Контекст на предложението</w:t>
      </w:r>
    </w:p>
    <w:p>
      <w:pPr>
        <w:pStyle w:val="ManualHeading2"/>
        <w:rPr>
          <w:noProof/>
        </w:rPr>
      </w:pPr>
      <w:r>
        <w:t>2.1.</w:t>
      </w:r>
      <w:r>
        <w:tab/>
      </w:r>
      <w:r>
        <w:rPr>
          <w:rStyle w:val="Heading2Char"/>
          <w:b/>
          <w:noProof/>
          <w:lang w:val="bg-BG"/>
        </w:rPr>
        <w:t>Споразумението за партньорство между Европейската общност, от една страна, и държавите от Тихоокеанския басейн, от друга страна</w:t>
      </w:r>
      <w:r>
        <w:rPr>
          <w:noProof/>
        </w:rPr>
        <w:t>.</w:t>
      </w:r>
    </w:p>
    <w:p>
      <w:pPr>
        <w:rPr>
          <w:rFonts w:eastAsia="Arial Unicode MS"/>
          <w:noProof/>
        </w:rPr>
      </w:pPr>
      <w:r>
        <w:rPr>
          <w:noProof/>
        </w:rPr>
        <w:t xml:space="preserve">Споразумението за партньорство между Европейската общност, от една страна, и държавите от Тихоокеанския басейн, от друга страна, има за цел а) да позволи на държавите от Тихоокеанския басейн да се ползват от по-добър достъп до пазара, предоставен от Европейския съюз (ЕС); б) да насърчи устойчивото икономическо развитие и постепенното интегриране на държавите от Тихоокеанския басейн в световната икономика; в) да създаде зони за свободна търговия между Европейския съюз и държавите от Тихоокеанския басейн на основата на взаимния интерес чрез поетапна либерализация на търговията по начин, съответстващ на приложимите правила на СТО и принципа на асиметричния подход, като се вземат предвид специфичните нужди и ограниченията по отношение на капацитета на държавите от Тихоокеанския басейн, що се отнася до равнището на ангажиментите и предвидения график за изпълнението им; г) да установи подходящите механизми за уреждане на спорове; и д) да установи подходящите институционални договорености. </w:t>
      </w:r>
    </w:p>
    <w:p>
      <w:pPr>
        <w:rPr>
          <w:rStyle w:val="Heading2Char"/>
          <w:rFonts w:eastAsia="Arial Unicode MS"/>
          <w:b w:val="0"/>
          <w:bCs w:val="0"/>
          <w:noProof/>
          <w:szCs w:val="22"/>
          <w:lang w:val="bg-BG"/>
        </w:rPr>
      </w:pPr>
      <w:r>
        <w:rPr>
          <w:noProof/>
        </w:rPr>
        <w:t>На 13 юли 2009 г. ЕС подписа споразумението</w:t>
      </w:r>
      <w:r>
        <w:rPr>
          <w:rStyle w:val="FootnoteReference"/>
          <w:noProof/>
        </w:rPr>
        <w:footnoteReference w:id="1"/>
      </w:r>
      <w:r>
        <w:rPr>
          <w:noProof/>
        </w:rPr>
        <w:t>, което се прилага временно от Папуа-Нова Гвинея и Република Фиджи, съответно от 20 декември 2009 г. и 28 юли 2014 г. След като се присъединиха към споразумението, Независимата държава Самоа и Соломоновите острови също го прилагат временно, съответно от 31 декември 2018 г. и 17 май 2020 г.</w:t>
      </w:r>
    </w:p>
    <w:p>
      <w:pPr>
        <w:pStyle w:val="ManualHeading2"/>
        <w:rPr>
          <w:rStyle w:val="Heading2Char"/>
          <w:noProof/>
        </w:rPr>
      </w:pPr>
      <w:r>
        <w:rPr>
          <w:rStyle w:val="Heading2Char"/>
        </w:rPr>
        <w:t>2.2.</w:t>
      </w:r>
      <w:r>
        <w:rPr>
          <w:rStyle w:val="Heading2Char"/>
        </w:rPr>
        <w:tab/>
      </w:r>
      <w:r>
        <w:rPr>
          <w:rStyle w:val="Heading2Char"/>
          <w:b/>
          <w:noProof/>
        </w:rPr>
        <w:t>КОМИТЕТЪТ ПО ТЪРГОВИЯ</w:t>
      </w:r>
    </w:p>
    <w:p>
      <w:pPr>
        <w:rPr>
          <w:rFonts w:eastAsia="Arial Unicode MS"/>
          <w:noProof/>
          <w:color w:val="008000"/>
        </w:rPr>
      </w:pPr>
      <w:r>
        <w:rPr>
          <w:noProof/>
        </w:rPr>
        <w:t xml:space="preserve">Комитетът по търговия е орган, създаден в съответствие с член 68 от споразумението. Той се състои от представители на ЕС и на държавите от Тихоокеанския басейн (Папуа-Нова Гвинея, Фиджи, Самоа и Соломоновите острови). Комитетът по търговия приема свой процедурен правилник и се председателства съвместно от представител на ЕС и представител на държавите от Тихоокеанския басейн. </w:t>
      </w:r>
    </w:p>
    <w:p>
      <w:pPr>
        <w:rPr>
          <w:rFonts w:eastAsia="Arial Unicode MS"/>
          <w:noProof/>
        </w:rPr>
      </w:pPr>
      <w:r>
        <w:rPr>
          <w:noProof/>
        </w:rPr>
        <w:t xml:space="preserve">Комитетът по търговия се занимава с всички въпроси от значение за прилагането на споразумението, включително сътрудничеството за развитие. В изпълнението на своите функции Комитетът по търговия може а) да създава всякакви специални комитети или органи, необходими за прилагането на споразумението, и да упражнява надзор над тях; б) да заседава по всяко време, за което страните са постигнали съгласие; в) да разглежда всякакви въпроси, попадащи в приложното поле на споразумението, и да </w:t>
      </w:r>
      <w:r>
        <w:rPr>
          <w:noProof/>
        </w:rPr>
        <w:lastRenderedPageBreak/>
        <w:t xml:space="preserve">предприема подходящи действия при изпълнението на функциите си; г) да взема решения или да отправя препоръки в случаите, предвидени в споразумението. </w:t>
      </w:r>
    </w:p>
    <w:p>
      <w:pPr>
        <w:rPr>
          <w:rFonts w:eastAsia="Arial Unicode MS"/>
          <w:noProof/>
        </w:rPr>
      </w:pPr>
      <w:r>
        <w:rPr>
          <w:noProof/>
        </w:rPr>
        <w:t>Комитетът по търговия делегира конкретни правомощия за вземане на решения на специалните комитети, както е предвидено в съответните разпоредби на споразумението, и по-специално на Специалния комитет за митническо сътрудничество и правила за произход.</w:t>
      </w:r>
    </w:p>
    <w:p>
      <w:pPr>
        <w:pStyle w:val="ManualHeading2"/>
        <w:rPr>
          <w:rStyle w:val="Heading2Char"/>
          <w:b/>
          <w:noProof/>
          <w:lang w:val="bg-BG"/>
        </w:rPr>
      </w:pPr>
      <w:r>
        <w:rPr>
          <w:rStyle w:val="Heading2Char"/>
        </w:rPr>
        <w:t>2.3.</w:t>
      </w:r>
      <w:r>
        <w:rPr>
          <w:rStyle w:val="Heading2Char"/>
        </w:rPr>
        <w:tab/>
      </w:r>
      <w:r>
        <w:rPr>
          <w:rStyle w:val="Heading2Char"/>
          <w:b/>
          <w:noProof/>
          <w:lang w:val="bg-BG"/>
        </w:rPr>
        <w:t>Предвиденият акт на Комитета по търговия</w:t>
      </w:r>
    </w:p>
    <w:p>
      <w:pPr>
        <w:rPr>
          <w:rFonts w:eastAsia="Arial Unicode MS"/>
          <w:noProof/>
        </w:rPr>
      </w:pPr>
      <w:r>
        <w:rPr>
          <w:noProof/>
        </w:rPr>
        <w:t>На *септември 2020 г*., по време на своето осмо заседание, Комитетът по търговия трябва да приеме решение във връзка с изменението на някои разпоредби на протокол II относно определението на понятието „продукти с произход“ и методите на административно сътрудничество (наричано по-нататък „предвиденият акт“).</w:t>
      </w:r>
    </w:p>
    <w:p>
      <w:pPr>
        <w:rPr>
          <w:rFonts w:eastAsia="Arial Unicode MS"/>
          <w:noProof/>
        </w:rPr>
      </w:pPr>
      <w:r>
        <w:rPr>
          <w:noProof/>
        </w:rPr>
        <w:t>Целта на предвидения акт е:</w:t>
      </w:r>
    </w:p>
    <w:p>
      <w:pPr>
        <w:pStyle w:val="Tiret0"/>
        <w:numPr>
          <w:ilvl w:val="0"/>
          <w:numId w:val="11"/>
        </w:numPr>
        <w:rPr>
          <w:noProof/>
        </w:rPr>
      </w:pPr>
      <w:r>
        <w:rPr>
          <w:noProof/>
        </w:rPr>
        <w:t>Да се актуализират разпоредбите относно правилата за произход в съответствие с последните промени, а на икономическите оператори да се осигурят опростени и по-гъвкави правила за произход чрез приемане на следните изменения:</w:t>
      </w:r>
    </w:p>
    <w:p>
      <w:pPr>
        <w:pStyle w:val="Point1"/>
        <w:rPr>
          <w:noProof/>
        </w:rPr>
      </w:pPr>
      <w:r>
        <w:rPr>
          <w:noProof/>
        </w:rPr>
        <w:t>а)</w:t>
      </w:r>
      <w:r>
        <w:rPr>
          <w:noProof/>
        </w:rPr>
        <w:tab/>
        <w:t>заличаване на следните разпоредби, които вече не са актуални:</w:t>
      </w:r>
    </w:p>
    <w:p>
      <w:pPr>
        <w:pStyle w:val="Tiret2"/>
        <w:numPr>
          <w:ilvl w:val="0"/>
          <w:numId w:val="12"/>
        </w:numPr>
        <w:rPr>
          <w:noProof/>
        </w:rPr>
      </w:pPr>
      <w:r>
        <w:rPr>
          <w:noProof/>
        </w:rPr>
        <w:t>член 3, параграф 7: вече не е необходимо да се уточнява, че кумулацията е започнала да се прилага след 1 януари 2010 г. и 1 октомври 2015 г.;</w:t>
      </w:r>
    </w:p>
    <w:p>
      <w:pPr>
        <w:pStyle w:val="Tiret2"/>
        <w:rPr>
          <w:noProof/>
        </w:rPr>
      </w:pPr>
      <w:r>
        <w:rPr>
          <w:noProof/>
        </w:rPr>
        <w:t>член 4а и приложение VIII A: вече не са актуални, тъй като не са установени съседни развиващи се държави;</w:t>
      </w:r>
    </w:p>
    <w:p>
      <w:pPr>
        <w:pStyle w:val="Tiret2"/>
        <w:rPr>
          <w:noProof/>
        </w:rPr>
      </w:pPr>
      <w:r>
        <w:rPr>
          <w:noProof/>
        </w:rPr>
        <w:t>член 4, параграф 8, второто изречение и приложение XII: вече не е необходимо да се изброяват продуктите с произход от Южна Африка, по отношение на които кумулацията е започнала да се прилага след 31 декември 2009 г.;</w:t>
      </w:r>
    </w:p>
    <w:p>
      <w:pPr>
        <w:pStyle w:val="Point1"/>
        <w:rPr>
          <w:noProof/>
        </w:rPr>
      </w:pPr>
      <w:r>
        <w:rPr>
          <w:noProof/>
        </w:rPr>
        <w:t>б)</w:t>
      </w:r>
      <w:r>
        <w:rPr>
          <w:noProof/>
        </w:rPr>
        <w:tab/>
        <w:t>уеднаквяване на заглавието на член 7 със заглавието в съдържанието;</w:t>
      </w:r>
    </w:p>
    <w:p>
      <w:pPr>
        <w:pStyle w:val="Point1"/>
        <w:rPr>
          <w:noProof/>
        </w:rPr>
      </w:pPr>
      <w:r>
        <w:rPr>
          <w:noProof/>
        </w:rPr>
        <w:t>в)</w:t>
      </w:r>
      <w:r>
        <w:rPr>
          <w:noProof/>
        </w:rPr>
        <w:tab/>
        <w:t>въвеждане в дял II на нов член 12, озаглавен „Счетоводно разделяне“, който ще позволи на икономическите оператори да спестят разходи чрез използването на този метод за управление на стоково-материалните запаси;</w:t>
      </w:r>
    </w:p>
    <w:p>
      <w:pPr>
        <w:pStyle w:val="Point1"/>
        <w:rPr>
          <w:noProof/>
        </w:rPr>
      </w:pPr>
      <w:r>
        <w:rPr>
          <w:noProof/>
        </w:rPr>
        <w:t>г)</w:t>
      </w:r>
      <w:r>
        <w:rPr>
          <w:noProof/>
        </w:rPr>
        <w:tab/>
      </w:r>
      <w:r>
        <w:rPr>
          <w:noProof/>
        </w:rPr>
        <w:tab/>
        <w:t>заличаване на член 13 от дял III и замяната му с нов член 14, озаглавен „Забрана за промяна“, за да се позволи повече гъвкавост на икономическите оператори във връзка с доказателствата, които да се представят на митническите органи на държавата вносител, когато в трета държава се извършва претоварване или митническо складиране на стоки с произход;</w:t>
      </w:r>
    </w:p>
    <w:p>
      <w:pPr>
        <w:pStyle w:val="Point1"/>
        <w:rPr>
          <w:noProof/>
        </w:rPr>
      </w:pPr>
      <w:r>
        <w:rPr>
          <w:noProof/>
        </w:rPr>
        <w:t>д)</w:t>
      </w:r>
      <w:r>
        <w:rPr>
          <w:noProof/>
        </w:rPr>
        <w:tab/>
      </w:r>
      <w:r>
        <w:rPr>
          <w:noProof/>
        </w:rPr>
        <w:tab/>
        <w:t>заличаване на член 14 „Изложения“ и член 38 „Свободни зони“, които вече не са нужни вследствие на въвеждането на разпоредбата за „забраната за промяна“;</w:t>
      </w:r>
    </w:p>
    <w:p>
      <w:pPr>
        <w:pStyle w:val="Point1"/>
        <w:rPr>
          <w:noProof/>
        </w:rPr>
      </w:pPr>
      <w:r>
        <w:rPr>
          <w:noProof/>
        </w:rPr>
        <w:t>е)</w:t>
      </w:r>
      <w:r>
        <w:rPr>
          <w:noProof/>
        </w:rPr>
        <w:tab/>
      </w:r>
      <w:r>
        <w:rPr>
          <w:noProof/>
        </w:rPr>
        <w:tab/>
        <w:t>изменение на член 15 от дял IV, за да се позволи повече гъвкавост на икономическите оператори при спазване на изискванията за доказателствата за произход;</w:t>
      </w:r>
    </w:p>
    <w:p>
      <w:pPr>
        <w:pStyle w:val="Point1"/>
        <w:rPr>
          <w:iCs/>
          <w:noProof/>
        </w:rPr>
      </w:pPr>
      <w:r>
        <w:rPr>
          <w:noProof/>
        </w:rPr>
        <w:lastRenderedPageBreak/>
        <w:t>ж)</w:t>
      </w:r>
      <w:r>
        <w:rPr>
          <w:noProof/>
        </w:rPr>
        <w:tab/>
        <w:t>въвеждане на нов член 39, в който се обобщават споменатите в различни разпоредби на протокол II функции и отговорности на Специалния комитет за митническо сътрудничество и правила за произход, и съответстваща актуализация на член 41.</w:t>
      </w:r>
    </w:p>
    <w:p>
      <w:pPr>
        <w:pStyle w:val="Tiret0"/>
        <w:rPr>
          <w:iCs/>
          <w:noProof/>
        </w:rPr>
      </w:pPr>
      <w:r>
        <w:rPr>
          <w:noProof/>
        </w:rPr>
        <w:t>Да се актуализира приложение II към протокол II към споразумението с цел привеждането му в съответствие с версията на номенклатурата на ХС от 2017 г.</w:t>
      </w:r>
    </w:p>
    <w:p>
      <w:pPr>
        <w:keepNext/>
        <w:ind w:left="720"/>
        <w:outlineLvl w:val="3"/>
        <w:rPr>
          <w:iCs/>
          <w:noProof/>
        </w:rPr>
      </w:pPr>
      <w:r>
        <w:rPr>
          <w:noProof/>
        </w:rPr>
        <w:t>Приложение II към протокол II се основава на версията от 2007 г. на номенклатурата на Хармонизираната система (ХС), приложена към Международната конвенция по хармонизираната система за описание и кодиране на стоките на Световната митническа организация (СМО). През 2017 г. СМО издаде нова номенклатура на ХС, която е в сила от 1 януари 2017 г. При все това статуквото по отношение на правилата за произход следва да се запази, тъй като промените в номенклатурата на ХС нямат за цел да засегнат правилото за произход, приложимо към даден продукт.</w:t>
      </w:r>
    </w:p>
    <w:p>
      <w:pPr>
        <w:pStyle w:val="Tiret0"/>
        <w:tabs>
          <w:tab w:val="clear" w:pos="850"/>
          <w:tab w:val="num" w:pos="709"/>
        </w:tabs>
        <w:ind w:left="709" w:hanging="709"/>
        <w:rPr>
          <w:noProof/>
        </w:rPr>
      </w:pPr>
      <w:r>
        <w:rPr>
          <w:noProof/>
        </w:rPr>
        <w:t>Да се измени текстът на приложение IV към протокол II към споразумението, за да се включи версията на декларацията върху фактура на хърватски език.</w:t>
      </w:r>
    </w:p>
    <w:p>
      <w:pPr>
        <w:keepNext/>
        <w:tabs>
          <w:tab w:val="left" w:pos="284"/>
        </w:tabs>
        <w:ind w:left="720"/>
        <w:outlineLvl w:val="3"/>
        <w:rPr>
          <w:iCs/>
          <w:noProof/>
        </w:rPr>
      </w:pPr>
      <w:r>
        <w:rPr>
          <w:noProof/>
        </w:rPr>
        <w:t xml:space="preserve">Договорът за присъединяване на Република Хърватия към Европейския съюз бе подписан на 9 декември 2011 г. и се прилага от 1 юли 2013 г. Споразумението се прилага, от една страна, на териториите, на които се прилага Договорът за функционирането на Европейския съюз, и при условията, определени в посочения договор, а от друга страна, на териториите на договарящите държави от Тихоокеанския басейн. </w:t>
      </w:r>
    </w:p>
    <w:p>
      <w:pPr>
        <w:pStyle w:val="Tiret0"/>
        <w:tabs>
          <w:tab w:val="clear" w:pos="850"/>
          <w:tab w:val="num" w:pos="709"/>
        </w:tabs>
        <w:ind w:left="709" w:hanging="709"/>
        <w:rPr>
          <w:iCs/>
          <w:noProof/>
        </w:rPr>
      </w:pPr>
      <w:r>
        <w:rPr>
          <w:noProof/>
        </w:rPr>
        <w:t>Да се актуализира списъкът на ОСТ в приложение VIII към протокол II към споразумението, за да бъде приведен в съответствие с Договора за функционирането на Европейския съюз.</w:t>
      </w:r>
    </w:p>
    <w:p>
      <w:pPr>
        <w:autoSpaceDE w:val="0"/>
        <w:autoSpaceDN w:val="0"/>
        <w:adjustRightInd w:val="0"/>
        <w:ind w:left="720"/>
        <w:contextualSpacing/>
        <w:rPr>
          <w:noProof/>
        </w:rPr>
      </w:pPr>
    </w:p>
    <w:p>
      <w:pPr>
        <w:autoSpaceDE w:val="0"/>
        <w:autoSpaceDN w:val="0"/>
        <w:adjustRightInd w:val="0"/>
        <w:ind w:left="720"/>
        <w:contextualSpacing/>
        <w:rPr>
          <w:noProof/>
        </w:rPr>
      </w:pPr>
      <w:r>
        <w:rPr>
          <w:noProof/>
        </w:rPr>
        <w:t xml:space="preserve">В приложение VIII към протокол II към споразумението са изброени отвъдморските страни и територии (ОСТ) на Европейския съюз. Неотдавна статутът на някои от тези територии беше променен: Сен Бартелеми (Франция) и Бермудските острови (Обединено кралство) станаха асоциирани със Съюза ОСТ съответно на 1 януари 2012 г. и на 1 януари 2014 г., докато Майот (Франция) стана най-отдалечен регион (НОР) на Съюза на 1 януари 2014 г. </w:t>
      </w:r>
    </w:p>
    <w:p>
      <w:pPr>
        <w:autoSpaceDE w:val="0"/>
        <w:autoSpaceDN w:val="0"/>
        <w:adjustRightInd w:val="0"/>
        <w:ind w:left="720"/>
        <w:contextualSpacing/>
        <w:rPr>
          <w:noProof/>
        </w:rPr>
      </w:pPr>
    </w:p>
    <w:p>
      <w:pPr>
        <w:pStyle w:val="Tiret0"/>
        <w:tabs>
          <w:tab w:val="clear" w:pos="850"/>
          <w:tab w:val="num" w:pos="709"/>
        </w:tabs>
        <w:ind w:left="709" w:hanging="709"/>
        <w:rPr>
          <w:noProof/>
        </w:rPr>
      </w:pPr>
      <w:r>
        <w:rPr>
          <w:noProof/>
        </w:rPr>
        <w:t>В резултат от присъединяването на Самоа и Соломоновите острови към споразумението да се премахнат и двете държави от списъка с „други държави от АКТБ“ в приложение X към протокол II.</w:t>
      </w:r>
    </w:p>
    <w:p>
      <w:pPr>
        <w:rPr>
          <w:rFonts w:eastAsia="Arial Unicode MS"/>
          <w:noProof/>
        </w:rPr>
      </w:pPr>
      <w:r>
        <w:rPr>
          <w:noProof/>
        </w:rPr>
        <w:t>Предвид броя на промените, които трябва да бъдат направени в протокол II към споразумението и в неговите приложения, с оглед на постигане на по-голяма яснота, е нужно протоколът да бъде изцяло заменен.</w:t>
      </w:r>
    </w:p>
    <w:p>
      <w:pPr>
        <w:pStyle w:val="ManualHeading1"/>
        <w:rPr>
          <w:rFonts w:eastAsia="Arial Unicode MS"/>
          <w:noProof/>
        </w:rPr>
      </w:pPr>
      <w:r>
        <w:t>3.</w:t>
      </w:r>
      <w:r>
        <w:tab/>
      </w:r>
      <w:r>
        <w:rPr>
          <w:noProof/>
        </w:rPr>
        <w:t>Позиция, която трябва да се заеме от името на Съюза</w:t>
      </w:r>
    </w:p>
    <w:p>
      <w:pPr>
        <w:rPr>
          <w:rFonts w:eastAsia="Arial Unicode MS"/>
          <w:noProof/>
          <w:color w:val="000000"/>
        </w:rPr>
      </w:pPr>
      <w:r>
        <w:rPr>
          <w:noProof/>
          <w:color w:val="000000"/>
        </w:rPr>
        <w:t xml:space="preserve">Протокол II относно определението на понятието „продукти с произход“ и методите на административно сътрудничество бе сключен през 2009 г. Някои от разпоредбите на първоначалния протокол II не са в крак с последните промени при правилата за произход, което пречи да се усвои пълната полза от преференциалното третиране, предоставено съгласно споразумението. </w:t>
      </w:r>
    </w:p>
    <w:p>
      <w:pPr>
        <w:rPr>
          <w:rFonts w:eastAsia="Arial Unicode MS"/>
          <w:noProof/>
          <w:color w:val="000000"/>
        </w:rPr>
      </w:pPr>
      <w:r>
        <w:rPr>
          <w:noProof/>
          <w:color w:val="000000"/>
        </w:rPr>
        <w:lastRenderedPageBreak/>
        <w:t xml:space="preserve">Благодарение на предложените изменения изпълнението на изискванията и процедурите във връзка с правилата за произход ще се опрости и ще стане по-гъвкаво. Например: </w:t>
      </w:r>
    </w:p>
    <w:p>
      <w:pPr>
        <w:pStyle w:val="Tiret1"/>
        <w:numPr>
          <w:ilvl w:val="0"/>
          <w:numId w:val="13"/>
        </w:numPr>
        <w:rPr>
          <w:noProof/>
        </w:rPr>
      </w:pPr>
      <w:r>
        <w:rPr>
          <w:noProof/>
        </w:rPr>
        <w:t>счетоводното разделяне ще позволи на икономическите оператори да спестят разходи при управлението на своите стоково-материални запаси;</w:t>
      </w:r>
    </w:p>
    <w:p>
      <w:pPr>
        <w:pStyle w:val="Tiret1"/>
        <w:rPr>
          <w:noProof/>
        </w:rPr>
      </w:pPr>
      <w:r>
        <w:rPr>
          <w:noProof/>
        </w:rPr>
        <w:t>позволява се повече гъвкавост на икономическите оператори във връзка с доказателствата, които да се представят на митническите органи на държавата вносител, когато в трета държава се извършва претоварване или митническо складиране на стоки с произход;</w:t>
      </w:r>
    </w:p>
    <w:p>
      <w:pPr>
        <w:pStyle w:val="Tiret1"/>
        <w:rPr>
          <w:noProof/>
        </w:rPr>
      </w:pPr>
      <w:r>
        <w:rPr>
          <w:noProof/>
        </w:rPr>
        <w:t>възможността регистриран износител да използва единствено декларация върху фактура като валидно доказателство за произход ще опрости процедурите за доказване на произхода и ще намали административните разходи, свързани с издаването на сертификати за движение EUR.1, което ще позволи на икономическите оператори да се ползват в пълна степен от преференциалното тарифно третиране с евентуално положително въздействие върху търговията.</w:t>
      </w:r>
    </w:p>
    <w:p>
      <w:pPr>
        <w:rPr>
          <w:rFonts w:eastAsia="Arial Unicode MS"/>
          <w:noProof/>
          <w:color w:val="000000"/>
        </w:rPr>
      </w:pPr>
      <w:r>
        <w:rPr>
          <w:noProof/>
        </w:rPr>
        <w:t>Следователно това опростяване ще улесни търговията и ще засили икономическото развитие в Тихоокеанския регион, като позволи на икономическите оператори да се ползват в пълна степен от преференциалното тарифно третиране съгласно Временното споразумение за икономическо партньорство.</w:t>
      </w:r>
    </w:p>
    <w:p>
      <w:pPr>
        <w:rPr>
          <w:rFonts w:eastAsia="Arial Unicode MS"/>
          <w:noProof/>
          <w:color w:val="000000"/>
        </w:rPr>
      </w:pPr>
      <w:r>
        <w:rPr>
          <w:noProof/>
          <w:color w:val="000000"/>
        </w:rPr>
        <w:t>Благодарение на измененията изпълнението на изискванията и процедурите във връзка с правилата за произход ще се опрости и ще стане по-гъвкаво. Това опростяване ще улесни търговията и ще оптимизира използването на преференциалното третиране за икономическите оператори. Освен това, като улесняват операторите да изпълняват правилата за произход, предложените изменения ще насърчат регионалната интеграция и икономическото развитие в държавите от Тихоокеанския басейн.</w:t>
      </w:r>
    </w:p>
    <w:p>
      <w:pPr>
        <w:rPr>
          <w:rFonts w:eastAsia="Arial Unicode MS"/>
          <w:noProof/>
          <w:color w:val="000000"/>
        </w:rPr>
      </w:pPr>
      <w:r>
        <w:rPr>
          <w:noProof/>
          <w:color w:val="000000"/>
        </w:rPr>
        <w:t>Измененията на позициите и описанията на продуктите от приложение II към протокол II към споразумението са необходими, за да се отчетат актуализациите, внесени от СМО в изданията на номенклатурата на ХС от 2012 и 2017 г., и за осигуряване на съгласуваност на описанията на продуктите и класирането им по ХС с Хармонизираната система.</w:t>
      </w:r>
    </w:p>
    <w:p>
      <w:pPr>
        <w:rPr>
          <w:rFonts w:eastAsia="Arial Unicode MS"/>
          <w:noProof/>
          <w:color w:val="000000"/>
        </w:rPr>
      </w:pPr>
      <w:r>
        <w:rPr>
          <w:noProof/>
          <w:color w:val="000000"/>
        </w:rPr>
        <w:t>В приложение VIII към протокол II към споразумението са изброени отвъдморските страни и територии на ЕС. По смисъла на протокол II „отвъдморски страни и територии“ са държавите и териториите, посочени в част четвърта от Договора за създаване на Европейската общност. Списъкът следва да бъде актуализиран, за да се отчете неотдавнашната промяна в статута на някои от отвъдморските страни и територии.</w:t>
      </w:r>
    </w:p>
    <w:p>
      <w:pPr>
        <w:rPr>
          <w:rFonts w:eastAsia="Arial Unicode MS"/>
          <w:noProof/>
          <w:color w:val="000000"/>
        </w:rPr>
      </w:pPr>
      <w:r>
        <w:rPr>
          <w:noProof/>
          <w:color w:val="000000"/>
        </w:rPr>
        <w:t>Следва да се отбележи, че с Решение (EС) 2019/2143 на Съвета от 11 ноември 2019 г. вече е установена позицията, която трябва да се заеме от името на ЕС в рамките на Комитета по търговия, създаден съгласно Споразумението между Европейската общност, от една страна, и държавите от Тихоокеанския басейн, от друга страна, по отношение на изменението на приложения II и VIII към протокол II към споразумението (OВ L 331, 20.12.2019 г., стр.1). За яснота тази позиция е възприета без промяна в рамките на настоящата инициатива.</w:t>
      </w:r>
    </w:p>
    <w:p>
      <w:pPr>
        <w:rPr>
          <w:rFonts w:eastAsia="Arial Unicode MS"/>
          <w:noProof/>
          <w:color w:val="000000"/>
        </w:rPr>
      </w:pPr>
      <w:r>
        <w:rPr>
          <w:noProof/>
          <w:color w:val="000000"/>
        </w:rPr>
        <w:t>С предложеното решение се изпълняват задълженията на ЕС съгласно разпоредбите на споразумението.</w:t>
      </w:r>
    </w:p>
    <w:p>
      <w:pPr>
        <w:pStyle w:val="ManualHeading1"/>
        <w:rPr>
          <w:noProof/>
        </w:rPr>
      </w:pPr>
      <w:r>
        <w:lastRenderedPageBreak/>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2"/>
      </w:r>
      <w:r>
        <w:rPr>
          <w:noProof/>
        </w:rPr>
        <w:t>.</w:t>
      </w:r>
    </w:p>
    <w:p>
      <w:pPr>
        <w:pStyle w:val="ManualHeading3"/>
        <w:rPr>
          <w:noProof/>
        </w:rPr>
      </w:pPr>
      <w:r>
        <w:t>4.1.2.</w:t>
      </w:r>
      <w:r>
        <w:tab/>
      </w:r>
      <w:r>
        <w:rPr>
          <w:noProof/>
        </w:rPr>
        <w:t>Прилагане в конкретния случай</w:t>
      </w:r>
    </w:p>
    <w:p>
      <w:pPr>
        <w:rPr>
          <w:noProof/>
          <w:color w:val="008000"/>
        </w:rPr>
      </w:pPr>
      <w:r>
        <w:rPr>
          <w:noProof/>
        </w:rPr>
        <w:t xml:space="preserve">Актът, който Комитетът по търговия има за задача да приеме, представлява акт с правно действие и ще бъде обвързващ съгласно международното право в съответствие с членове 8, 68 и 78 от споразумението.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Прилагане в конкретния случай</w:t>
      </w:r>
    </w:p>
    <w:p>
      <w:pPr>
        <w:rPr>
          <w:noProof/>
          <w:color w:val="0000FF"/>
        </w:rPr>
      </w:pPr>
      <w:r>
        <w:rPr>
          <w:noProof/>
        </w:rPr>
        <w:t>Основната цел и съдържанието на предвидения акт са свързани с общата търговска политика.</w:t>
      </w:r>
    </w:p>
    <w:p>
      <w:pPr>
        <w:rPr>
          <w:i/>
          <w:noProof/>
        </w:rPr>
      </w:pPr>
      <w:r>
        <w:rPr>
          <w:noProof/>
        </w:rPr>
        <w:t>Поради това материалноправното основание за предложеното решение следва да бъде член 207, параграф 4, първа алинея от ДФЕС.</w:t>
      </w:r>
    </w:p>
    <w:p>
      <w:pPr>
        <w:pStyle w:val="ManualHeading2"/>
        <w:rPr>
          <w:noProof/>
        </w:rPr>
      </w:pPr>
      <w:r>
        <w:t>4.3.</w:t>
      </w:r>
      <w:r>
        <w:tab/>
      </w:r>
      <w:r>
        <w:rPr>
          <w:noProof/>
        </w:rPr>
        <w:t>Заключение</w:t>
      </w:r>
    </w:p>
    <w:p>
      <w:pPr>
        <w:rPr>
          <w:noProof/>
        </w:rPr>
      </w:pPr>
      <w:r>
        <w:rPr>
          <w:noProof/>
        </w:rPr>
        <w:t>Правното основание на предложеното решение следва да бъде член 207 от ДФЕС във връзка с член 218, параграф 9 от ДФЕС.</w:t>
      </w:r>
    </w:p>
    <w:p>
      <w:pPr>
        <w:pStyle w:val="ManualHeading2"/>
        <w:rPr>
          <w:noProof/>
        </w:rPr>
      </w:pPr>
      <w:r>
        <w:lastRenderedPageBreak/>
        <w:t>4.4.</w:t>
      </w:r>
      <w:r>
        <w:tab/>
      </w:r>
      <w:r>
        <w:rPr>
          <w:noProof/>
        </w:rPr>
        <w:t>Публикуване на предвидения акт</w:t>
      </w:r>
    </w:p>
    <w:p>
      <w:pPr>
        <w:rPr>
          <w:noProof/>
        </w:rPr>
      </w:pPr>
      <w:r>
        <w:rPr>
          <w:noProof/>
        </w:rPr>
        <w:t xml:space="preserve">Тъй като с акта на Комитета по търговия ще бъде изменено Временното споразумение за икономическо партньорство между Европейската общност, от една страна, и държавите от Тихоокеанския басейн, от друга страна, е целесъобразно след приемането му той да бъде публикуван в </w:t>
      </w:r>
      <w:r>
        <w:rPr>
          <w:i/>
          <w:noProof/>
        </w:rPr>
        <w:t>Официален вестник на Европейския съюз</w:t>
      </w:r>
      <w:r>
        <w:rPr>
          <w:noProof/>
        </w:rPr>
        <w: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lastRenderedPageBreak/>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Комитета по търговия, създаден по силата на Временното споразумение за партньорство между Европейската общност, от една страна, и държавите от Тихоокеанския басейн, от друга страна, във връзка с изменението на някои разпоредби на протокол II относно определението на понятието „продукти с произход“ и методите на административно сътрудничество</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Временното споразумение за партньорство между Европейската общност, от една страна, и държавите от Тихоокеанския басейн, от друга страна</w:t>
      </w:r>
      <w:r>
        <w:rPr>
          <w:rStyle w:val="FootnoteReference"/>
          <w:rFonts w:eastAsia="Times New Roman"/>
          <w:noProof/>
          <w:szCs w:val="24"/>
        </w:rPr>
        <w:footnoteReference w:id="3"/>
      </w:r>
      <w:r>
        <w:rPr>
          <w:noProof/>
        </w:rPr>
        <w:t xml:space="preserve"> (наричано по-нататък „споразумението“), с което се установява рамка за споразумение за икономическо партньорство, се прилага временно от Папуа-Нова Гвинея и от Република Фиджи, съответно от 20 декември 2009 г. и от 28 юли 2014 г. След като се присъединиха към споразумението, Независимата държава Самоа и Соломоновите острови също го прилагат временно, съответно от 31 декември 2018 г. и 17 май 2020 г. </w:t>
      </w:r>
    </w:p>
    <w:p>
      <w:pPr>
        <w:pStyle w:val="ManualConsidrant"/>
        <w:rPr>
          <w:noProof/>
        </w:rPr>
      </w:pPr>
      <w:r>
        <w:t>(2)</w:t>
      </w:r>
      <w:r>
        <w:tab/>
      </w:r>
      <w:r>
        <w:rPr>
          <w:noProof/>
        </w:rPr>
        <w:t>Съгласно членове 13 и 68 от споразумението и член 41 от протокол II към споразумението Комитетът по търговия може да приема изменения на разпоредбите на протокол II към споразумението.</w:t>
      </w:r>
    </w:p>
    <w:p>
      <w:pPr>
        <w:pStyle w:val="ManualConsidrant"/>
        <w:rPr>
          <w:noProof/>
        </w:rPr>
      </w:pPr>
      <w:r>
        <w:t>(3)</w:t>
      </w:r>
      <w:r>
        <w:tab/>
      </w:r>
      <w:r>
        <w:rPr>
          <w:noProof/>
        </w:rPr>
        <w:t>По време на осмото си заседание на *септември 2020 г.* Комитетът по търговия трябва да приеме решение за изменение на някои разпоредби на протокол II относно определението на понятието „продукти с произход“ и методите на административно сътрудничество.</w:t>
      </w:r>
    </w:p>
    <w:p>
      <w:pPr>
        <w:pStyle w:val="ManualConsidrant"/>
        <w:rPr>
          <w:noProof/>
        </w:rPr>
      </w:pPr>
      <w:r>
        <w:t>(4)</w:t>
      </w:r>
      <w:r>
        <w:tab/>
      </w:r>
      <w:r>
        <w:rPr>
          <w:noProof/>
        </w:rPr>
        <w:t>Тъй като решението ще бъде обвързващо за Съюза, е целесъобразно да се установи позицията, която трябва да се заеме от името на Съюза в рамките на Комитета по търговия.</w:t>
      </w:r>
    </w:p>
    <w:p>
      <w:pPr>
        <w:pStyle w:val="ManualConsidrant"/>
        <w:rPr>
          <w:noProof/>
        </w:rPr>
      </w:pPr>
      <w:r>
        <w:t>(5)</w:t>
      </w:r>
      <w:r>
        <w:tab/>
      </w:r>
      <w:r>
        <w:rPr>
          <w:noProof/>
        </w:rPr>
        <w:t xml:space="preserve">Необходимо е някои разпоредби на протокол II относно определението на понятието „продукти с произход“ и методите на административно сътрудничество да бъдат изменени, за да се актуализират правилата за произход предвид последните промени в тази област, така че тези правила да станат по-гъвкави и опростени с цел улесняване на търговията за икономическите оператори и по-оптимизирано използване на преференциалното третиране. </w:t>
      </w:r>
    </w:p>
    <w:p>
      <w:pPr>
        <w:pStyle w:val="ManualConsidrant"/>
        <w:rPr>
          <w:noProof/>
        </w:rPr>
      </w:pPr>
      <w:r>
        <w:lastRenderedPageBreak/>
        <w:t>(6)</w:t>
      </w:r>
      <w:r>
        <w:tab/>
      </w:r>
      <w:r>
        <w:rPr>
          <w:noProof/>
        </w:rPr>
        <w:t>Необходимо е позициите и описанията на продуктите от приложение II към протокол II към споразумението да се изменят, за да бъдат приведени в съответствие с актуализациите, внесени от СМО в изданията на номенклатурата на ХС от 2012 и 2017 г., и за да се осигури съгласуваност на описанията и класирането на продуктите по ХС с Хармонизираната система.</w:t>
      </w:r>
    </w:p>
    <w:p>
      <w:pPr>
        <w:pStyle w:val="ManualConsidrant"/>
        <w:rPr>
          <w:noProof/>
        </w:rPr>
      </w:pPr>
      <w:r>
        <w:t>(7)</w:t>
      </w:r>
      <w:r>
        <w:tab/>
      </w:r>
      <w:r>
        <w:rPr>
          <w:noProof/>
        </w:rPr>
        <w:t>Договорът за присъединяване на Република Хърватия към Европейския съюз бе подписан на 9 декември 2011 г. и се прилага от 1 юли 2013 г. Споразумението се прилага, от една страна, на териториите, на които се прилага Договорът за функционирането на Европейския съюз, и при условията, определени в посочения договор, а от друга страна, на териториите на договарящите държави от Тихоокеанския басейн. Текстът на приложение IV към протокол II към споразумението следва да бъде съответно изменен, за да се включи версията на декларацията върху фактура на хърватски език.</w:t>
      </w:r>
    </w:p>
    <w:p>
      <w:pPr>
        <w:pStyle w:val="ManualConsidrant"/>
        <w:rPr>
          <w:noProof/>
        </w:rPr>
      </w:pPr>
      <w:r>
        <w:t>(8)</w:t>
      </w:r>
      <w:r>
        <w:tab/>
      </w:r>
      <w:r>
        <w:rPr>
          <w:noProof/>
        </w:rPr>
        <w:t>В приложение VIII към протокол II към споразумението са изброени отвъдморските страни и територии на ЕС. По смисъла на протокола „отвъдморски страни и територии“ са държавите и териториите, посочени в част четвърта от Договора за създаване на Европейската общност. Списъкът следва да бъде актуализиран, за да се отчете неотдавнашната промяна в статута на някои от отвъдморските страни и територии.</w:t>
      </w:r>
    </w:p>
    <w:p>
      <w:pPr>
        <w:pStyle w:val="ManualConsidrant"/>
        <w:rPr>
          <w:noProof/>
        </w:rPr>
      </w:pPr>
      <w:r>
        <w:t>(9)</w:t>
      </w:r>
      <w:r>
        <w:tab/>
      </w:r>
      <w:r>
        <w:rPr>
          <w:noProof/>
        </w:rPr>
        <w:t>В резултат от присъединяването на Самоа и Соломоновите острови към споразумението и двете държави следва да бъдат премахнати от списъка с „други държави от АКТБ“ в приложение X към протокол II,</w:t>
      </w:r>
    </w:p>
    <w:p>
      <w:pPr>
        <w:pStyle w:val="Formuledadoption"/>
        <w:rPr>
          <w:noProof/>
        </w:rPr>
      </w:pPr>
      <w:r>
        <w:rPr>
          <w:noProof/>
        </w:rPr>
        <w:t>ПРИЕ НАСТОЯЩОТО РЕШЕНИЕ:</w:t>
      </w:r>
    </w:p>
    <w:p>
      <w:pPr>
        <w:pStyle w:val="Titrearticle"/>
        <w:rPr>
          <w:noProof/>
        </w:rPr>
      </w:pPr>
      <w:r>
        <w:rPr>
          <w:noProof/>
        </w:rPr>
        <w:t>Член 1</w:t>
      </w:r>
    </w:p>
    <w:p>
      <w:pPr>
        <w:jc w:val="left"/>
        <w:rPr>
          <w:i/>
          <w:noProof/>
        </w:rPr>
      </w:pPr>
      <w:r>
        <w:rPr>
          <w:noProof/>
        </w:rPr>
        <w:t>Позицията, която трябва да се заеме от името на Съюза на осмото заседание на Комитета по търговия, се основава на приложения към настоящото решение проект на акт на Комитета по търговия.</w:t>
      </w:r>
    </w:p>
    <w:p>
      <w:pPr>
        <w:pStyle w:val="Titrearticle"/>
        <w:rPr>
          <w:noProof/>
        </w:rPr>
      </w:pPr>
      <w:r>
        <w:rPr>
          <w:noProof/>
        </w:rPr>
        <w:t>Член 2</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42" w:hanging="142"/>
      </w:pPr>
      <w:r>
        <w:rPr>
          <w:rStyle w:val="FootnoteReference"/>
        </w:rPr>
        <w:footnoteRef/>
      </w:r>
      <w:r>
        <w:tab/>
        <w:t>Решение 2009/729/ЕО на Съвета от 13 юли 2009 г. за подписване и временно прилагане на Временното споразумение за партньорство между Европейската общност, от една страна, и държавите от Тихоокеанския басейн, от друга страна (ОВ L 272, 16.10.2009 г., стр. 1).</w:t>
      </w:r>
    </w:p>
  </w:footnote>
  <w:footnote w:id="2">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3">
    <w:p>
      <w:pPr>
        <w:pStyle w:val="FootnoteText"/>
      </w:pPr>
      <w:r>
        <w:rPr>
          <w:rStyle w:val="FootnoteReference"/>
        </w:rPr>
        <w:footnoteRef/>
      </w:r>
      <w:r>
        <w:tab/>
        <w:t>Решение 2009/729/ЕО на Съвета от 13 юли 2009 г. за подписване и временно прилагане на Временното споразумение за партньорство между Европейската общност, от една страна, и държавите от Тихоокеанския басейн, от друга страна (ОВ L 272, 16.10.2009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CACDD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1DEFA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143D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28CFFF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35E7C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F2CB1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FCA5638"/>
    <w:lvl w:ilvl="0">
      <w:start w:val="1"/>
      <w:numFmt w:val="decimal"/>
      <w:pStyle w:val="ListNumber"/>
      <w:lvlText w:val="%1."/>
      <w:lvlJc w:val="left"/>
      <w:pPr>
        <w:tabs>
          <w:tab w:val="num" w:pos="360"/>
        </w:tabs>
        <w:ind w:left="360" w:hanging="360"/>
      </w:pPr>
    </w:lvl>
  </w:abstractNum>
  <w:abstractNum w:abstractNumId="7">
    <w:nsid w:val="FFFFFF89"/>
    <w:multiLevelType w:val="singleLevel"/>
    <w:tmpl w:val="4C6AFD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20"/>
    <w:lvlOverride w:ilvl="0">
      <w:startOverride w:val="1"/>
    </w:lvlOverride>
  </w:num>
  <w:num w:numId="13">
    <w:abstractNumId w:val="12"/>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01 18:34:2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CA98D58-FF83-4846-A45E-D385BCB8C897"/>
    <w:docVar w:name="LW_COVERPAGE_TYPE" w:val="1"/>
    <w:docVar w:name="LW_CROSSREFERENCE" w:val="&lt;UNUSED&gt;"/>
    <w:docVar w:name="LW_DocType" w:val="COM"/>
    <w:docVar w:name="LW_EMISSION" w:val="7.7.2020"/>
    <w:docVar w:name="LW_EMISSION_ISODATE" w:val="2020-07-07"/>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2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90?\u1098?\u1088?\u1075?\u1086?\u1074?\u1080?\u1103?, \u1089?\u1098?\u1079?\u1076?\u1072?\u1076?\u1077?\u1085? \u1087?\u1086? \u1089?\u1080?\u1083?\u1072?\u1090?\u1072? \u1085?\u1072? \u1042?\u1088?\u1077?\u1084?\u1077?\u1085?\u1085?\u1086?\u1090?\u1086? \u1089?\u1087?\u1086?\u1088?\u1072?\u1079?\u1091?\u1084?\u1077?\u1085?\u1080?\u1077? \u1079?\u1072? \u1087?\u1072?\u1088?\u1090?\u1085?\u1100?\u1086?\u1088?\u1089?\u1090?\u1074?\u1086? \u1084?\u1077?\u1078?\u1076?\u1091? \u1045?\u1074?\u1088?\u1086?\u1087?\u1077?\u1081?\u1089?\u1082?\u1072?\u1090?\u1072? \u1086?\u1073?\u1097?\u1085?\u1086?\u1089?\u1090?, \u1086?\u1090? \u1077?\u1076?\u1085?\u1072? \u1089?\u1090?\u1088?\u1072?\u1085?\u1072?, \u1080? \u1076?\u1098?\u1088?\u1078?\u1072?\u1074?\u1080?\u1090?\u1077? \u1086?\u1090? \u1058?\u1080?\u1093?\u1086?\u1086?\u1082?\u1077?\u1072?\u1085?\u1089?\u1082?\u1080?\u1103? \u1073?\u1072?\u1089?\u1077?\u1081?\u1085?, \u1086?\u1090? \u1076?\u1088?\u1091?\u1075?\u1072? \u1089?\u1090?\u1088?\u1072?\u1085?\u1072?, \u1074?\u1098?\u1074? \u1074?\u1088?\u1098?\u1079?\u1082?\u1072? \u1089? \u1080?\u1079?\u1084?\u1077?\u1085?\u1077?\u1085?\u1080?\u1077?\u1090?\u1086? \u1085?\u1072? \u1085?\u1103?\u1082?\u1086?\u1080? \u1088?\u1072?\u1079?\u1087?\u1086?\u1088?\u1077?\u1076?\u1073?\u1080? \u1085?\u1072? \u1087?\u1088?\u1086?\u1090?\u1086?\u1082?\u1086?\u1083? II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Herading3">
    <w:name w:val="Herading 3"/>
    <w:basedOn w:val="Normal"/>
    <w:pPr>
      <w:keepNext/>
      <w:tabs>
        <w:tab w:val="num" w:pos="850"/>
      </w:tabs>
      <w:ind w:left="850" w:hanging="850"/>
      <w:outlineLvl w:val="2"/>
    </w:pPr>
    <w:rPr>
      <w:rFonts w:eastAsiaTheme="majorEastAsia"/>
      <w:bCs/>
      <w:i/>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Herading3">
    <w:name w:val="Herading 3"/>
    <w:basedOn w:val="Normal"/>
    <w:pPr>
      <w:keepNext/>
      <w:tabs>
        <w:tab w:val="num" w:pos="850"/>
      </w:tabs>
      <w:ind w:left="850" w:hanging="850"/>
      <w:outlineLvl w:val="2"/>
    </w:pPr>
    <w:rPr>
      <w:rFonts w:eastAsiaTheme="majorEastAsia"/>
      <w:bCs/>
      <w:i/>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E24CA5B-DD10-48C9-9C85-35D768427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2716</Words>
  <Characters>15429</Characters>
  <Application>Microsoft Office Word</Application>
  <DocSecurity>0</DocSecurity>
  <Lines>291</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cp:lastPrinted>2020-02-17T14:15:00Z</cp:lastPrinted>
  <dcterms:created xsi:type="dcterms:W3CDTF">2020-07-01T09:55:00Z</dcterms:created>
  <dcterms:modified xsi:type="dcterms:W3CDTF">2020-07-01T16:34:00Z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