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alt="B66A4400-6D27-428E-94E0-224F4D1BF260" style="width:450.25pt;height:435.2pt">
            <v:imagedata r:id="rId9" o:title=""/>
          </v:shape>
        </w:pict>
      </w:r>
    </w:p>
    <w:bookmarkEnd w:id="0"/>
    <w:p>
      <w:pPr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ind w:left="-142"/>
        <w:jc w:val="center"/>
        <w:rPr>
          <w:rFonts w:ascii="Times New Roman" w:hAnsi="Times New Roman" w:cs="Times New Roman"/>
          <w:b/>
          <w:caps/>
          <w:noProof/>
          <w:sz w:val="24"/>
          <w:szCs w:val="24"/>
        </w:rPr>
      </w:pPr>
      <w:bookmarkStart w:id="1" w:name="_GoBack"/>
      <w:bookmarkEnd w:id="1"/>
      <w:r>
        <w:rPr>
          <w:rFonts w:ascii="Times New Roman" w:hAnsi="Times New Roman"/>
          <w:b/>
          <w:caps/>
          <w:noProof/>
          <w:sz w:val="24"/>
          <w:szCs w:val="24"/>
        </w:rPr>
        <w:lastRenderedPageBreak/>
        <w:t>ПРИЛОЖЕНИЕ</w:t>
      </w:r>
    </w:p>
    <w:p>
      <w:pPr>
        <w:ind w:left="-142"/>
        <w:jc w:val="center"/>
        <w:rPr>
          <w:rFonts w:ascii="Times New Roman" w:hAnsi="Times New Roman" w:cs="Times New Roman"/>
          <w:caps/>
          <w:noProof/>
          <w:sz w:val="24"/>
          <w:szCs w:val="24"/>
        </w:rPr>
      </w:pPr>
      <w:r>
        <w:rPr>
          <w:rFonts w:ascii="Times New Roman" w:hAnsi="Times New Roman"/>
          <w:caps/>
          <w:noProof/>
          <w:sz w:val="24"/>
          <w:szCs w:val="24"/>
        </w:rPr>
        <w:t>Статус на постигнатите резултати по третия работен план на ЕС за спорта (2017—2020 г.)</w:t>
      </w:r>
    </w:p>
    <w:p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783" w:type="dxa"/>
        <w:tblInd w:w="-134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51"/>
        <w:gridCol w:w="4155"/>
        <w:gridCol w:w="1275"/>
        <w:gridCol w:w="1985"/>
        <w:gridCol w:w="1417"/>
      </w:tblGrid>
      <w:tr>
        <w:trPr>
          <w:trHeight w:val="304"/>
        </w:trPr>
        <w:tc>
          <w:tcPr>
            <w:tcW w:w="97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>
            <w:pPr>
              <w:spacing w:before="60" w:after="6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Приоритет 1 — Почтеност в спорта</w:t>
            </w:r>
          </w:p>
        </w:tc>
      </w:tr>
      <w:tr>
        <w:trPr>
          <w:trHeight w:val="304"/>
        </w:trPr>
        <w:tc>
          <w:tcPr>
            <w:tcW w:w="97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>
            <w:pPr>
              <w:spacing w:before="60" w:after="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Основен въпрос: Антидопинг</w:t>
            </w:r>
          </w:p>
        </w:tc>
      </w:tr>
      <w:tr>
        <w:trPr>
          <w:trHeight w:val="569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Дейност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Резултат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Срок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b/>
                <w:noProof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pacing w:val="-6"/>
                <w:sz w:val="24"/>
                <w:szCs w:val="24"/>
              </w:rPr>
              <w:t>Ръководител(и)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Статус</w:t>
            </w:r>
          </w:p>
        </w:tc>
      </w:tr>
      <w:tr>
        <w:trPr>
          <w:trHeight w:val="772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Съветът и неговите подготвителни органи — Осигуряване на експертен принос по въпросите на борбата с допинга, който да бъде подготвен в рамките на експертните срещи и обсъден в работна група „Спорт“, по-специално що се отнася до съвместимостта с правото на ЕС, във връзка с евентуално последващо преразглеждане на Антидопинговия кодекс на Световната антидопингова агенция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2017—2019 г.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4"/>
                <w:sz w:val="24"/>
                <w:szCs w:val="24"/>
              </w:rPr>
              <w:t>Председателство на Комисията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Изпълнено</w:t>
            </w:r>
          </w:p>
        </w:tc>
      </w:tr>
      <w:tr>
        <w:trPr>
          <w:trHeight w:val="584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Изготвяне на позицията на ЕС и неговите държави членки за заседанията на Европейския комитет за Световната антидопингова агенция (CAHAMA) и Световната антидопингова агенция, ако е необходимо, въз основа на експертни срещи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2017—2020 г.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4"/>
                <w:sz w:val="24"/>
                <w:szCs w:val="24"/>
              </w:rPr>
              <w:t>Председателство на Комисията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Текущо</w:t>
            </w:r>
          </w:p>
        </w:tc>
      </w:tr>
      <w:tr>
        <w:trPr>
          <w:trHeight w:val="584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Семинар — Начини за предотвратяване на употребата на допинг от млади хора в професионалния и масовия спорт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Втората половина на 2017 г.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4"/>
                <w:sz w:val="24"/>
                <w:szCs w:val="24"/>
              </w:rPr>
              <w:t>Комисия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Изпълнено</w:t>
            </w:r>
          </w:p>
        </w:tc>
      </w:tr>
      <w:tr>
        <w:trPr>
          <w:trHeight w:val="445"/>
        </w:trPr>
        <w:tc>
          <w:tcPr>
            <w:tcW w:w="97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>
            <w:pPr>
              <w:spacing w:before="60" w:after="60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pacing w:val="-4"/>
                <w:sz w:val="24"/>
                <w:szCs w:val="24"/>
              </w:rPr>
              <w:t>Основна тема: Добро управление</w:t>
            </w:r>
          </w:p>
        </w:tc>
      </w:tr>
      <w:tr>
        <w:trPr>
          <w:trHeight w:val="872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4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Експертна група — Почтеност</w:t>
            </w:r>
          </w:p>
          <w:p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Прилагане на международно признати стандарти и инициативи за добро управление и борба с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корупцията, по-специално от заинтересовани страни извън спорта, които да се прилагат в областта на спорта</w:t>
            </w:r>
          </w:p>
          <w:p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Уреждане на изхода от спортни срещи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2018—2020 г.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4"/>
                <w:sz w:val="24"/>
                <w:szCs w:val="24"/>
              </w:rPr>
              <w:t>Комисия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Организирани са 5 заседания</w:t>
            </w:r>
          </w:p>
        </w:tc>
      </w:tr>
      <w:tr>
        <w:trPr>
          <w:trHeight w:val="584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5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Съветът и неговите подготвителни органи — Препоръки за възможни бъдещи действия срещу корупцията в спорта на равнище ЕС.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Втората половина на 2019 г.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4"/>
                <w:sz w:val="24"/>
                <w:szCs w:val="24"/>
              </w:rPr>
              <w:t>Председателство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Изпълнено</w:t>
            </w:r>
          </w:p>
        </w:tc>
      </w:tr>
      <w:tr>
        <w:trPr>
          <w:trHeight w:val="427"/>
        </w:trPr>
        <w:tc>
          <w:tcPr>
            <w:tcW w:w="97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>
            <w:pPr>
              <w:spacing w:before="60" w:after="60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pacing w:val="-4"/>
                <w:sz w:val="24"/>
                <w:szCs w:val="24"/>
              </w:rPr>
              <w:t>Основна тема: Защита на малолетните и непълнолетните</w:t>
            </w:r>
          </w:p>
        </w:tc>
      </w:tr>
      <w:tr>
        <w:trPr>
          <w:trHeight w:val="562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Проучване — Разпространение на малтретирането на деца в спорта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16"/>
                <w:sz w:val="24"/>
                <w:szCs w:val="24"/>
              </w:rPr>
              <w:t>Първата половина на 2019 г.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4"/>
                <w:sz w:val="24"/>
                <w:szCs w:val="24"/>
              </w:rPr>
              <w:t>Комисия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Изпълнено</w:t>
            </w:r>
          </w:p>
        </w:tc>
      </w:tr>
      <w:tr>
        <w:trPr>
          <w:trHeight w:val="584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Семинар — Последващи действия във връзка с препоръките за защита на младите атлети и гарантиране на правата на децата в спорта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Втората половина на 2019 г.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4"/>
                <w:sz w:val="24"/>
                <w:szCs w:val="24"/>
              </w:rPr>
              <w:t>Председателство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Изпълнено</w:t>
            </w:r>
          </w:p>
        </w:tc>
      </w:tr>
      <w:tr>
        <w:trPr>
          <w:trHeight w:val="584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Съветът и неговите подготвителни органи — Защита на физическата и моралната неприкосновеност на малолетните и непълнолетните в масовия и елитния спорт.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Втората половина на 2019 г.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4"/>
                <w:sz w:val="24"/>
                <w:szCs w:val="24"/>
              </w:rPr>
              <w:t>Председателство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Изпълнено</w:t>
            </w:r>
          </w:p>
        </w:tc>
      </w:tr>
      <w:tr>
        <w:trPr>
          <w:trHeight w:val="333"/>
        </w:trPr>
        <w:tc>
          <w:tcPr>
            <w:tcW w:w="97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>
            <w:pPr>
              <w:spacing w:before="60" w:after="60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pacing w:val="-4"/>
                <w:sz w:val="24"/>
                <w:szCs w:val="24"/>
              </w:rPr>
              <w:t>Основен въпрос: Специфика на спорта</w:t>
            </w:r>
          </w:p>
        </w:tc>
      </w:tr>
      <w:tr>
        <w:trPr>
          <w:trHeight w:val="622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Група от заинтересовани държави членки — Правото на ЕС по отношение на спорта и спортните организации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8"/>
                <w:sz w:val="24"/>
                <w:szCs w:val="24"/>
              </w:rPr>
              <w:t>Първата половина на 2019 г.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4"/>
                <w:sz w:val="24"/>
                <w:szCs w:val="24"/>
              </w:rPr>
              <w:t>Швеция, Франция, Испания, Нидерландия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Отменено</w:t>
            </w:r>
          </w:p>
        </w:tc>
      </w:tr>
      <w:tr>
        <w:trPr>
          <w:trHeight w:val="637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Семинар — Специфика на спорта в ЕС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Втората половина на 2019 г.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4"/>
                <w:sz w:val="24"/>
                <w:szCs w:val="24"/>
              </w:rPr>
              <w:t>Комисия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Изпълнено</w:t>
            </w:r>
          </w:p>
        </w:tc>
      </w:tr>
      <w:tr>
        <w:trPr>
          <w:trHeight w:val="368"/>
        </w:trPr>
        <w:tc>
          <w:tcPr>
            <w:tcW w:w="97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>
            <w:pPr>
              <w:spacing w:before="60" w:after="60"/>
              <w:rPr>
                <w:rFonts w:ascii="Times New Roman" w:hAnsi="Times New Roman" w:cs="Times New Roman"/>
                <w:b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pacing w:val="-4"/>
                <w:sz w:val="24"/>
                <w:szCs w:val="24"/>
              </w:rPr>
              <w:t xml:space="preserve">Приоритет 2 — Икономическо измерение на спорта </w:t>
            </w:r>
          </w:p>
        </w:tc>
      </w:tr>
      <w:tr>
        <w:trPr>
          <w:trHeight w:val="302"/>
        </w:trPr>
        <w:tc>
          <w:tcPr>
            <w:tcW w:w="97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>
            <w:pPr>
              <w:spacing w:before="60" w:after="60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pacing w:val="-4"/>
                <w:sz w:val="24"/>
                <w:szCs w:val="24"/>
              </w:rPr>
              <w:t>Основен въпрос: Иновации в областта на спорта</w:t>
            </w:r>
          </w:p>
        </w:tc>
      </w:tr>
      <w:tr>
        <w:trPr>
          <w:trHeight w:val="1117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4"/>
                <w:sz w:val="24"/>
                <w:szCs w:val="24"/>
              </w:rPr>
              <w:t>Икономическите ползи от спорта посредством създаването на сателитни сметки за спорта. Практическата полза на сателитните сметки за спорта за изготвящите политиката в областта на спорта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6"/>
                <w:sz w:val="24"/>
                <w:szCs w:val="24"/>
              </w:rPr>
              <w:t>Първата половина на 2018 г.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4"/>
                <w:sz w:val="24"/>
                <w:szCs w:val="24"/>
              </w:rPr>
              <w:t>Комисия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Изпълнено</w:t>
            </w:r>
          </w:p>
        </w:tc>
      </w:tr>
      <w:tr>
        <w:trPr>
          <w:trHeight w:val="562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Повишаване на осведомеността за икономическото измерение на спорта, по-специално с оглед на стратегията „Европа 2020“ — акцент върху икономическите ползи от спорта и иновациите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Втората половина на 2018 г.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4"/>
                <w:sz w:val="24"/>
                <w:szCs w:val="24"/>
              </w:rPr>
              <w:t>Председателство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Изпълнено</w:t>
            </w:r>
          </w:p>
        </w:tc>
      </w:tr>
      <w:tr>
        <w:trPr>
          <w:trHeight w:val="584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Конференция — Повишаване на осведомеността за икономическото измерение на спорта, по-специално с оглед на стратегията „Европа 2020“ — акцент върху икономическите ползи от спорта и иновациите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Втората половина на 2018 г.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4"/>
                <w:sz w:val="24"/>
                <w:szCs w:val="24"/>
              </w:rPr>
              <w:t>Председателство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Изпълнено</w:t>
            </w:r>
          </w:p>
        </w:tc>
      </w:tr>
      <w:tr>
        <w:trPr>
          <w:trHeight w:val="375"/>
        </w:trPr>
        <w:tc>
          <w:tcPr>
            <w:tcW w:w="97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>
            <w:pPr>
              <w:spacing w:before="60" w:after="60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pacing w:val="-4"/>
                <w:sz w:val="24"/>
                <w:szCs w:val="24"/>
              </w:rPr>
              <w:t>Основен въпрос: Спорт и цифров единен пазар</w:t>
            </w:r>
          </w:p>
        </w:tc>
      </w:tr>
      <w:tr>
        <w:trPr>
          <w:trHeight w:val="584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Семинар — Преимущества и предизвикателства, свързани с цифровия единен пазар, с оглед на по-доброто финансиране и комерсиализацията на спорта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Първата половина на 2019 г.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4"/>
                <w:sz w:val="24"/>
                <w:szCs w:val="24"/>
              </w:rPr>
              <w:t>Председателство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Отменено</w:t>
            </w:r>
          </w:p>
        </w:tc>
      </w:tr>
      <w:tr>
        <w:trPr>
          <w:trHeight w:val="421"/>
        </w:trPr>
        <w:tc>
          <w:tcPr>
            <w:tcW w:w="97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>
            <w:pPr>
              <w:spacing w:before="60" w:after="60"/>
              <w:rPr>
                <w:rFonts w:ascii="Times New Roman" w:hAnsi="Times New Roman" w:cs="Times New Roman"/>
                <w:b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pacing w:val="-4"/>
                <w:sz w:val="24"/>
                <w:szCs w:val="24"/>
              </w:rPr>
              <w:t>Приоритет 3 — Спорт и общество</w:t>
            </w:r>
          </w:p>
        </w:tc>
      </w:tr>
      <w:tr>
        <w:trPr>
          <w:trHeight w:val="216"/>
        </w:trPr>
        <w:tc>
          <w:tcPr>
            <w:tcW w:w="97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>
            <w:pPr>
              <w:spacing w:before="60" w:after="60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pacing w:val="-4"/>
                <w:sz w:val="24"/>
                <w:szCs w:val="24"/>
              </w:rPr>
              <w:t>Основен въпрос: Спорт и медии</w:t>
            </w:r>
          </w:p>
        </w:tc>
      </w:tr>
      <w:tr>
        <w:trPr>
          <w:trHeight w:val="1117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Конференция — Роля и влияние на медиите в спорта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Първата половина на 2020 г.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4"/>
                <w:sz w:val="24"/>
                <w:szCs w:val="24"/>
              </w:rPr>
              <w:t>Председателство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Предстои да бъде организирано</w:t>
            </w:r>
          </w:p>
        </w:tc>
      </w:tr>
      <w:tr>
        <w:trPr>
          <w:trHeight w:val="562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Съветът и неговите подготвителни органи — Роля и влияние на медиите в спорта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Първата половина на 2020 г.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4"/>
                <w:sz w:val="24"/>
                <w:szCs w:val="24"/>
              </w:rPr>
              <w:t>Председателство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Отменено</w:t>
            </w:r>
          </w:p>
        </w:tc>
      </w:tr>
      <w:tr>
        <w:trPr>
          <w:trHeight w:val="336"/>
        </w:trPr>
        <w:tc>
          <w:tcPr>
            <w:tcW w:w="97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>
            <w:pPr>
              <w:spacing w:before="60" w:after="60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pacing w:val="-4"/>
                <w:sz w:val="24"/>
                <w:szCs w:val="24"/>
              </w:rPr>
              <w:t>Основен въпрос: Роля на треньорите</w:t>
            </w:r>
          </w:p>
        </w:tc>
      </w:tr>
      <w:tr>
        <w:trPr>
          <w:trHeight w:val="584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Съветът и неговите подготвителни органи — Ролята на треньорите в обществото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Втората половина на 2017 г.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4"/>
                <w:sz w:val="24"/>
                <w:szCs w:val="24"/>
              </w:rPr>
              <w:t>Председателство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Изпълнено</w:t>
            </w:r>
          </w:p>
        </w:tc>
      </w:tr>
      <w:tr>
        <w:trPr>
          <w:trHeight w:val="584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Конференция — Роля, статут и отговорност на треньорите в обществото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Втората половина на 2017 г.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4"/>
                <w:sz w:val="24"/>
                <w:szCs w:val="24"/>
              </w:rPr>
              <w:t>Председателство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Изпълнено</w:t>
            </w:r>
          </w:p>
        </w:tc>
      </w:tr>
      <w:tr>
        <w:trPr>
          <w:trHeight w:val="307"/>
        </w:trPr>
        <w:tc>
          <w:tcPr>
            <w:tcW w:w="97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>
            <w:pPr>
              <w:spacing w:before="60" w:after="60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pacing w:val="-4"/>
                <w:sz w:val="24"/>
                <w:szCs w:val="24"/>
              </w:rPr>
              <w:t>Основен въпрос: Образование в областта на спорта и чрез него</w:t>
            </w:r>
          </w:p>
        </w:tc>
      </w:tr>
      <w:tr>
        <w:trPr>
          <w:trHeight w:val="584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19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Конференция — Физическата активност, спортът и двойната кариера на атлетите с акцент върху университетите и образованието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Втората половина на 2017 г.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4"/>
                <w:sz w:val="24"/>
                <w:szCs w:val="24"/>
              </w:rPr>
              <w:t>Председателство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Изпълнено</w:t>
            </w:r>
          </w:p>
        </w:tc>
      </w:tr>
      <w:tr>
        <w:trPr>
          <w:trHeight w:val="584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Експертна група — Умения и развитие на човешките ресурси в спорта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2018—2020 г.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4"/>
                <w:sz w:val="24"/>
                <w:szCs w:val="24"/>
              </w:rPr>
              <w:t>Комисия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Организирани 5 заседания</w:t>
            </w:r>
          </w:p>
        </w:tc>
      </w:tr>
      <w:tr>
        <w:trPr>
          <w:trHeight w:val="584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21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Семинар — Спортни квалификации и компетенции на треньорите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Първата половина на 2020 г.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4"/>
                <w:sz w:val="24"/>
                <w:szCs w:val="24"/>
              </w:rPr>
              <w:t>Председателство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Изпълнено</w:t>
            </w:r>
          </w:p>
        </w:tc>
      </w:tr>
      <w:tr>
        <w:trPr>
          <w:trHeight w:val="457"/>
        </w:trPr>
        <w:tc>
          <w:tcPr>
            <w:tcW w:w="97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>
            <w:pPr>
              <w:spacing w:before="60" w:after="60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pacing w:val="-4"/>
                <w:sz w:val="24"/>
                <w:szCs w:val="24"/>
              </w:rPr>
              <w:t>Основен въпрос: Социално приобщаване</w:t>
            </w:r>
          </w:p>
        </w:tc>
      </w:tr>
      <w:tr>
        <w:trPr>
          <w:trHeight w:val="55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22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Съветът и неговите подготвителни органи — Утвърждаване на европейските ценности чрез спорта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Първата половина на 2018 г.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4"/>
                <w:sz w:val="24"/>
                <w:szCs w:val="24"/>
              </w:rPr>
              <w:t>Председателство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Изпълнено</w:t>
            </w:r>
          </w:p>
        </w:tc>
      </w:tr>
      <w:tr>
        <w:trPr>
          <w:trHeight w:val="562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23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Конференция — Масовият спорт като средство за интеграция и мост между традицията и иновациите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Първата половина на 2018 г.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4"/>
                <w:sz w:val="24"/>
                <w:szCs w:val="24"/>
              </w:rPr>
              <w:t>Председателство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Изпълнено</w:t>
            </w:r>
          </w:p>
        </w:tc>
      </w:tr>
      <w:tr>
        <w:trPr>
          <w:trHeight w:val="584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24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Проучване — Достъп до спортна дейност за хората с увреждания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Втората половина на 2018 г.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4"/>
                <w:sz w:val="24"/>
                <w:szCs w:val="24"/>
              </w:rPr>
              <w:t>Комисия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Изпълнено</w:t>
            </w:r>
          </w:p>
        </w:tc>
      </w:tr>
      <w:tr>
        <w:trPr>
          <w:trHeight w:val="584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25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Съветът и неговите подготвителни органи — Достъп до спортна дейност за хората с увреждания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Първата половина на 2019 г.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4"/>
                <w:sz w:val="24"/>
                <w:szCs w:val="24"/>
              </w:rPr>
              <w:t>Председателство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Изпълнено</w:t>
            </w:r>
          </w:p>
        </w:tc>
      </w:tr>
      <w:tr>
        <w:trPr>
          <w:trHeight w:val="584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26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Конференция — Преимуществото да се практикува спорт в организирана среда за хора с ограничени възможности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Първата половина на 2019 г.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4"/>
                <w:sz w:val="24"/>
                <w:szCs w:val="24"/>
              </w:rPr>
              <w:t>Председателство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Изпълнено</w:t>
            </w:r>
          </w:p>
        </w:tc>
      </w:tr>
      <w:tr>
        <w:trPr>
          <w:trHeight w:val="584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27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Тематична среща — Насърчаване на укрепващите здравето физически дейности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Втората половина на 2017 г.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4"/>
                <w:sz w:val="24"/>
                <w:szCs w:val="24"/>
              </w:rPr>
              <w:t>Комисия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Изпълнено</w:t>
            </w:r>
          </w:p>
        </w:tc>
      </w:tr>
      <w:tr>
        <w:trPr>
          <w:trHeight w:val="484"/>
        </w:trPr>
        <w:tc>
          <w:tcPr>
            <w:tcW w:w="97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>
            <w:pPr>
              <w:spacing w:before="60" w:after="60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pacing w:val="-4"/>
                <w:sz w:val="24"/>
                <w:szCs w:val="24"/>
              </w:rPr>
              <w:t>Основен въпрос: Спорт и здраве</w:t>
            </w:r>
          </w:p>
        </w:tc>
      </w:tr>
      <w:tr>
        <w:trPr>
          <w:trHeight w:val="584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28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Семинар — Спорт и физическа активност на работното място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Втората половина на 2018 г.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4"/>
                <w:sz w:val="24"/>
                <w:szCs w:val="24"/>
              </w:rPr>
              <w:t>Председателство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Изпълнено</w:t>
            </w:r>
          </w:p>
        </w:tc>
      </w:tr>
      <w:tr>
        <w:trPr>
          <w:trHeight w:val="339"/>
        </w:trPr>
        <w:tc>
          <w:tcPr>
            <w:tcW w:w="97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>
            <w:pPr>
              <w:spacing w:before="60" w:after="60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pacing w:val="-4"/>
                <w:sz w:val="24"/>
                <w:szCs w:val="24"/>
              </w:rPr>
              <w:t>Основен въпрос: Спорт и околна среда</w:t>
            </w:r>
          </w:p>
        </w:tc>
      </w:tr>
      <w:tr>
        <w:trPr>
          <w:trHeight w:val="584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29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Група от заинтересовани държави членки — Градско развитие, спорт сред природата, устойчивост на околната среда в контекста на големи спортни събития; екологосъобразни и енергийноефективни спортни съоръжения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2018—2020 г.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4"/>
                <w:sz w:val="24"/>
                <w:szCs w:val="24"/>
              </w:rPr>
              <w:t>Франция, Германия, Португалия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Изпълнено</w:t>
            </w:r>
          </w:p>
        </w:tc>
      </w:tr>
      <w:tr>
        <w:trPr>
          <w:trHeight w:val="120"/>
        </w:trPr>
        <w:tc>
          <w:tcPr>
            <w:tcW w:w="97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>
            <w:pPr>
              <w:spacing w:before="60" w:after="60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pacing w:val="-4"/>
                <w:sz w:val="24"/>
                <w:szCs w:val="24"/>
              </w:rPr>
              <w:t>Основен въпрос: Спортна дипломация</w:t>
            </w:r>
          </w:p>
        </w:tc>
      </w:tr>
      <w:tr>
        <w:trPr>
          <w:trHeight w:val="584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30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Проучване — Спортът в подкрепа на външните отношения на ЕС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Втората половина на 2017 г.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4"/>
                <w:sz w:val="24"/>
                <w:szCs w:val="24"/>
              </w:rPr>
              <w:t>Комисия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Изпълнено</w:t>
            </w:r>
          </w:p>
        </w:tc>
      </w:tr>
      <w:tr>
        <w:trPr>
          <w:trHeight w:val="584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31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Семинар — Последващи действия от страна на Групата на високо равнище при Комисията, заключения на Съвета от ноември 2016 г. и семинар по спортна дипломация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Втората половина на 2017 г.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4"/>
                <w:sz w:val="24"/>
                <w:szCs w:val="24"/>
              </w:rPr>
              <w:t>Комисия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Изпълнено</w:t>
            </w:r>
          </w:p>
        </w:tc>
      </w:tr>
    </w:tbl>
    <w:p>
      <w:pPr>
        <w:rPr>
          <w:noProof/>
        </w:rPr>
      </w:pPr>
    </w:p>
    <w:sectPr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jc w:val="center"/>
      <w:rPr>
        <w:caps/>
        <w:noProof/>
      </w:rPr>
    </w:pPr>
    <w:r>
      <w:rPr>
        <w:caps/>
      </w:rPr>
      <w:fldChar w:fldCharType="begin"/>
    </w:r>
    <w:r>
      <w:rPr>
        <w:caps/>
      </w:rPr>
      <w:instrText xml:space="preserve"> PAGE   \* MERGEFORMAT </w:instrText>
    </w:r>
    <w:r>
      <w:rPr>
        <w:caps/>
      </w:rPr>
      <w:fldChar w:fldCharType="separate"/>
    </w:r>
    <w:r>
      <w:rPr>
        <w:caps/>
        <w:noProof/>
      </w:rPr>
      <w:t>2</w:t>
    </w:r>
    <w:r>
      <w:rPr>
        <w:caps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13E32"/>
    <w:multiLevelType w:val="hybridMultilevel"/>
    <w:tmpl w:val="98A2EA6A"/>
    <w:lvl w:ilvl="0" w:tplc="7FBCE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CA73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7E52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CAC5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AA9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DCA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8CB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8617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F048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hideGrammaticalErrors/>
  <w:revisionView w:markup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ocStatus" w:val="Green"/>
    <w:docVar w:name="LW_ACCOMPAGNANT.CP" w:val="\u1082?\u1098?\u1084?"/>
    <w:docVar w:name="LW_ANNEX_NBR_FIRST" w:val="1"/>
    <w:docVar w:name="LW_ANNEX_NBR_LAST" w:val="1"/>
    <w:docVar w:name="LW_ANNEX_UNIQUE" w:val="1"/>
    <w:docVar w:name="LW_CORRIGENDUM" w:val="&lt;UNUSED&gt;"/>
    <w:docVar w:name="LW_COVERPAGE_EXISTS" w:val="True"/>
    <w:docVar w:name="LW_COVERPAGE_GUID" w:val="B66A4400-6D27-428E-94E0-224F4D1BF260"/>
    <w:docVar w:name="LW_COVERPAGE_TYPE" w:val="1"/>
    <w:docVar w:name="LW_CROSSREFERENCE" w:val="&lt;UNUSED&gt;"/>
    <w:docVar w:name="LW_DocType" w:val="NORMAL"/>
    <w:docVar w:name="LW_EMISSION" w:val="7.7.2020"/>
    <w:docVar w:name="LW_EMISSION_ISODATE" w:val="2020-07-07"/>
    <w:docVar w:name="LW_EMISSION_LOCATION" w:val="BRX"/>
    <w:docVar w:name="LW_EMISSION_PREFIX" w:val="Брюксел, "/>
    <w:docVar w:name="LW_EMISSION_SUFFIX" w:val=" \u1075?."/>
    <w:docVar w:name="LW_ID_DOCTYPE_NONLW" w:val="CP-039"/>
    <w:docVar w:name="LW_LANGUE" w:val="BG"/>
    <w:docVar w:name="LW_LEVEL_OF_SENSITIVITY" w:val="Standard treatment"/>
    <w:docVar w:name="LW_NOM.INST" w:val="\u1045?\u1042?\u1056?\u1054?\u1055?\u1045?\u1049?\u1057?\u1050?\u1040? \u1050?\u1054?\u1052?\u1048?\u1057?\u1048?\u1071?"/>
    <w:docVar w:name="LW_NOM.INST_JOINTDOC" w:val="&lt;EMPTY&gt;"/>
    <w:docVar w:name="LW_OBJETACTEPRINCIPAL.CP" w:val="&lt;FMT:Font=Calibri&gt;\u1086?\u1090?\u1085?\u1086?\u1089?\u1085?\u1086? \u1080?\u1079?\u1087?\u1098?\u1083?\u1085?\u1077?\u1085?\u1080?\u1077?\u1090?\u1086? \u1080? \u1094?\u1077?\u1083?\u1077?\u1089?\u1098?\u1086?\u1073?\u1088?\u1072?\u1079?\u1085?\u1086?\u1089?\u1090?\u1090?\u1072? \u1085?\u1072? \u1088?\u1072?\u1073?\u1086?\u1090?\u1085?\u1080?\u1103? \u1087?\u1083?\u1072?\u1085? \u1085?\u1072? \u1045?\u1074?\u1088?\u1086?\u1087?\u1077?\u1081?\u1089?\u1082?\u1080?\u1103? \u1089?\u1098?\u1102?\u1079? \u1079?\u1072? \u1089?\u1087?\u1086?\u1088?\u1090?\u1072? \u1079?\u1072? \u1087?\u1077?\u1088?\u1080?\u1086?\u1076?\u1072? 2017-2020 \u1075?. &lt;/FMT&gt;_x000d__x000d__x000d__x000d__x000b__x000d__x000d__x000d__x000d__x000b_"/>
    <w:docVar w:name="LW_PART_NBR" w:val="1"/>
    <w:docVar w:name="LW_PART_NBR_TOTAL" w:val="1"/>
    <w:docVar w:name="LW_REF.INST.NEW" w:val="COM"/>
    <w:docVar w:name="LW_REF.INST.NEW_ADOPTED" w:val="final"/>
    <w:docVar w:name="LW_REF.INST.NEW_TEXT" w:val="(2020) 293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.CP" w:val="\u1055?\u1056?\u1048?\u1051?\u1054?\u1046?\u1045?\u1053?\u1048?\u1045?_x000b_"/>
    <w:docVar w:name="LW_TYPEACTEPRINCIPAL.CP" w:val="\u1044?\u1086?\u1082?\u1083?\u1072?\u1076? \u1085?\u1072? \u1050?\u1086?\u1084?\u1080?\u1089?\u1080?\u1103?\u1090?\u1072? \u1076?\u1086? \u1045?\u1074?\u1088?\u1086?\u1087?\u1077?\u1081?\u1089?\u1082?\u1080?\u1103? \u1087?\u1072?\u1088?\u1083?\u1072?\u1084?\u1077?\u1085?\u1090?, \u1057?\u1098?\u1074?\u1077?\u1090?\u1072?, \u1045?\u1074?\u1088?\u1086?\u1087?\u1077?\u1081?\u1089?\u1082?\u1080?\u1103? \u1080?\u1082?\u1086?\u1085?\u1086?\u1084?\u1080?\u1095?\u1077?\u1089?\u1082?\u1080? \u1080? \u1089?\u1086?\u1094?\u1080?\u1072?\u1083?\u1077?\u1085? \u1082?\u1086?\u1084?\u1080?\u1090?\u1077?\u1090? \u1080? \u1050?\u1086?\u1084?\u1080?\u1090?\u1077?\u1090?\u1072? \u1085?\u1072? \u1088?\u1077?\u1075?\u1080?\u1086?\u1085?\u1080?\u1090?\u1077?  _x000b_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Typedudocument">
    <w:name w:val="Type du document"/>
    <w:basedOn w:val="Normal"/>
    <w:next w:val="Normal"/>
    <w:link w:val="TypedudocumentChar"/>
    <w:pPr>
      <w:spacing w:before="360" w:after="0" w:line="240" w:lineRule="auto"/>
      <w:jc w:val="center"/>
    </w:pPr>
    <w:rPr>
      <w:rFonts w:ascii="Times New Roman" w:hAnsi="Times New Roman" w:cs="Times New Roman"/>
      <w:b/>
      <w:sz w:val="24"/>
    </w:rPr>
  </w:style>
  <w:style w:type="paragraph" w:customStyle="1" w:styleId="Accompagnant">
    <w:name w:val="Accompagnant"/>
    <w:basedOn w:val="Normal"/>
    <w:next w:val="Normal"/>
    <w:pPr>
      <w:spacing w:after="240" w:line="240" w:lineRule="auto"/>
      <w:jc w:val="center"/>
    </w:pPr>
    <w:rPr>
      <w:rFonts w:ascii="Times New Roman" w:hAnsi="Times New Roman" w:cs="Times New Roman"/>
      <w:b/>
      <w:i/>
      <w:sz w:val="24"/>
    </w:rPr>
  </w:style>
  <w:style w:type="paragraph" w:customStyle="1" w:styleId="Typeacteprincipal">
    <w:name w:val="Type acte principal"/>
    <w:basedOn w:val="Normal"/>
    <w:next w:val="Normal"/>
    <w:pPr>
      <w:spacing w:after="240" w:line="240" w:lineRule="auto"/>
      <w:jc w:val="center"/>
    </w:pPr>
    <w:rPr>
      <w:rFonts w:ascii="Times New Roman" w:hAnsi="Times New Roman" w:cs="Times New Roman"/>
      <w:b/>
      <w:sz w:val="24"/>
    </w:rPr>
  </w:style>
  <w:style w:type="paragraph" w:customStyle="1" w:styleId="Objetacteprincipal">
    <w:name w:val="Objet acte principal"/>
    <w:basedOn w:val="Normal"/>
    <w:next w:val="Normal"/>
    <w:pPr>
      <w:spacing w:after="360" w:line="240" w:lineRule="auto"/>
      <w:jc w:val="center"/>
    </w:pPr>
    <w:rPr>
      <w:rFonts w:ascii="Times New Roman" w:hAnsi="Times New Roman" w:cs="Times New Roman"/>
      <w:b/>
      <w:sz w:val="24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TypedudocumentChar">
    <w:name w:val="Type du document Char"/>
    <w:basedOn w:val="DefaultParagraphFont"/>
    <w:link w:val="Typedudocument"/>
    <w:rPr>
      <w:rFonts w:ascii="Times New Roman" w:hAnsi="Times New Roman" w:cs="Times New Roman"/>
      <w:b/>
      <w:sz w:val="24"/>
    </w:rPr>
  </w:style>
  <w:style w:type="character" w:customStyle="1" w:styleId="FooterCoverPageChar">
    <w:name w:val="Footer Cover Page Char"/>
    <w:basedOn w:val="TypedudocumentChar"/>
    <w:link w:val="FooterCoverPage"/>
    <w:rPr>
      <w:rFonts w:ascii="Times New Roman" w:hAnsi="Times New Roman" w:cs="Times New Roman"/>
      <w:b w:val="0"/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TypedudocumentChar"/>
    <w:link w:val="FooterSensitivity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TypedudocumentChar"/>
    <w:link w:val="HeaderCoverPage"/>
    <w:rPr>
      <w:rFonts w:ascii="Times New Roman" w:hAnsi="Times New Roman" w:cs="Times New Roman"/>
      <w:b w:val="0"/>
      <w:sz w:val="24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TypedudocumentChar"/>
    <w:link w:val="HeaderSensitivity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TypedudocumentChar"/>
    <w:link w:val="HeaderSensitivityRight"/>
    <w:rPr>
      <w:rFonts w:ascii="Times New Roman" w:hAnsi="Times New Roman" w:cs="Times New Roman"/>
      <w:b w:val="0"/>
      <w:sz w:val="28"/>
    </w:rPr>
  </w:style>
  <w:style w:type="paragraph" w:customStyle="1" w:styleId="Text2">
    <w:name w:val="Text 2"/>
    <w:basedOn w:val="Normal"/>
    <w:pPr>
      <w:tabs>
        <w:tab w:val="left" w:pos="2160"/>
      </w:tabs>
      <w:spacing w:after="240" w:line="240" w:lineRule="auto"/>
      <w:ind w:left="107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Typedudocument">
    <w:name w:val="Type du document"/>
    <w:basedOn w:val="Normal"/>
    <w:next w:val="Normal"/>
    <w:link w:val="TypedudocumentChar"/>
    <w:pPr>
      <w:spacing w:before="360" w:after="0" w:line="240" w:lineRule="auto"/>
      <w:jc w:val="center"/>
    </w:pPr>
    <w:rPr>
      <w:rFonts w:ascii="Times New Roman" w:hAnsi="Times New Roman" w:cs="Times New Roman"/>
      <w:b/>
      <w:sz w:val="24"/>
    </w:rPr>
  </w:style>
  <w:style w:type="paragraph" w:customStyle="1" w:styleId="Accompagnant">
    <w:name w:val="Accompagnant"/>
    <w:basedOn w:val="Normal"/>
    <w:next w:val="Normal"/>
    <w:pPr>
      <w:spacing w:after="240" w:line="240" w:lineRule="auto"/>
      <w:jc w:val="center"/>
    </w:pPr>
    <w:rPr>
      <w:rFonts w:ascii="Times New Roman" w:hAnsi="Times New Roman" w:cs="Times New Roman"/>
      <w:b/>
      <w:i/>
      <w:sz w:val="24"/>
    </w:rPr>
  </w:style>
  <w:style w:type="paragraph" w:customStyle="1" w:styleId="Typeacteprincipal">
    <w:name w:val="Type acte principal"/>
    <w:basedOn w:val="Normal"/>
    <w:next w:val="Normal"/>
    <w:pPr>
      <w:spacing w:after="240" w:line="240" w:lineRule="auto"/>
      <w:jc w:val="center"/>
    </w:pPr>
    <w:rPr>
      <w:rFonts w:ascii="Times New Roman" w:hAnsi="Times New Roman" w:cs="Times New Roman"/>
      <w:b/>
      <w:sz w:val="24"/>
    </w:rPr>
  </w:style>
  <w:style w:type="paragraph" w:customStyle="1" w:styleId="Objetacteprincipal">
    <w:name w:val="Objet acte principal"/>
    <w:basedOn w:val="Normal"/>
    <w:next w:val="Normal"/>
    <w:pPr>
      <w:spacing w:after="360" w:line="240" w:lineRule="auto"/>
      <w:jc w:val="center"/>
    </w:pPr>
    <w:rPr>
      <w:rFonts w:ascii="Times New Roman" w:hAnsi="Times New Roman" w:cs="Times New Roman"/>
      <w:b/>
      <w:sz w:val="24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TypedudocumentChar">
    <w:name w:val="Type du document Char"/>
    <w:basedOn w:val="DefaultParagraphFont"/>
    <w:link w:val="Typedudocument"/>
    <w:rPr>
      <w:rFonts w:ascii="Times New Roman" w:hAnsi="Times New Roman" w:cs="Times New Roman"/>
      <w:b/>
      <w:sz w:val="24"/>
    </w:rPr>
  </w:style>
  <w:style w:type="character" w:customStyle="1" w:styleId="FooterCoverPageChar">
    <w:name w:val="Footer Cover Page Char"/>
    <w:basedOn w:val="TypedudocumentChar"/>
    <w:link w:val="FooterCoverPage"/>
    <w:rPr>
      <w:rFonts w:ascii="Times New Roman" w:hAnsi="Times New Roman" w:cs="Times New Roman"/>
      <w:b w:val="0"/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TypedudocumentChar"/>
    <w:link w:val="FooterSensitivity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TypedudocumentChar"/>
    <w:link w:val="HeaderCoverPage"/>
    <w:rPr>
      <w:rFonts w:ascii="Times New Roman" w:hAnsi="Times New Roman" w:cs="Times New Roman"/>
      <w:b w:val="0"/>
      <w:sz w:val="24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TypedudocumentChar"/>
    <w:link w:val="HeaderSensitivity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TypedudocumentChar"/>
    <w:link w:val="HeaderSensitivityRight"/>
    <w:rPr>
      <w:rFonts w:ascii="Times New Roman" w:hAnsi="Times New Roman" w:cs="Times New Roman"/>
      <w:b w:val="0"/>
      <w:sz w:val="28"/>
    </w:rPr>
  </w:style>
  <w:style w:type="paragraph" w:customStyle="1" w:styleId="Text2">
    <w:name w:val="Text 2"/>
    <w:basedOn w:val="Normal"/>
    <w:pPr>
      <w:tabs>
        <w:tab w:val="left" w:pos="2160"/>
      </w:tabs>
      <w:spacing w:after="240" w:line="240" w:lineRule="auto"/>
      <w:ind w:left="107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523FC-5A9E-4B03-A641-4890B3A5B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896</Words>
  <Characters>5405</Characters>
  <Application>Microsoft Office Word</Application>
  <DocSecurity>0</DocSecurity>
  <Lines>386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CLEVE Sabine (EAC)</dc:creator>
  <cp:keywords/>
  <dc:description/>
  <cp:lastModifiedBy>DIGIT/C6</cp:lastModifiedBy>
  <cp:revision>13</cp:revision>
  <dcterms:created xsi:type="dcterms:W3CDTF">2020-06-26T09:37:00Z</dcterms:created>
  <dcterms:modified xsi:type="dcterms:W3CDTF">2020-06-30T17:23:00Z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First annex">
    <vt:lpwstr>1</vt:lpwstr>
  </property>
  <property fmtid="{D5CDD505-2E9C-101B-9397-08002B2CF9AE}" pid="4" name="Last annex">
    <vt:lpwstr>1</vt:lpwstr>
  </property>
  <property fmtid="{D5CDD505-2E9C-101B-9397-08002B2CF9AE}" pid="5" name="Unique annex">
    <vt:lpwstr>1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DocStatus">
    <vt:lpwstr>Green</vt:lpwstr>
  </property>
  <property fmtid="{D5CDD505-2E9C-101B-9397-08002B2CF9AE}" pid="9" name="CPTemplateID">
    <vt:lpwstr>CP-039</vt:lpwstr>
  </property>
  <property fmtid="{D5CDD505-2E9C-101B-9397-08002B2CF9AE}" pid="10" name="Last edited using">
    <vt:lpwstr>LW 7.0, Build 20190717</vt:lpwstr>
  </property>
  <property fmtid="{D5CDD505-2E9C-101B-9397-08002B2CF9AE}" pid="11" name="Created using">
    <vt:lpwstr>LW 7.0, Build 20190717</vt:lpwstr>
  </property>
</Properties>
</file>