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6B484CF-452A-42CB-98A8-3A8FC080A12E" style="width:450.75pt;height:39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ind w:left="-142"/>
        <w:jc w:val="center"/>
        <w:rPr>
          <w:rFonts w:ascii="Times New Roman" w:hAnsi="Times New Roman" w:cs="Times New Roman"/>
          <w:b/>
          <w:caps/>
          <w:noProof/>
          <w:sz w:val="24"/>
          <w:szCs w:val="24"/>
        </w:rPr>
      </w:pPr>
      <w:bookmarkStart w:id="1" w:name="_GoBack"/>
      <w:bookmarkEnd w:id="1"/>
      <w:r>
        <w:rPr>
          <w:rFonts w:ascii="Times New Roman" w:hAnsi="Times New Roman" w:cs="Times New Roman"/>
          <w:b/>
          <w:caps/>
          <w:noProof/>
          <w:sz w:val="24"/>
          <w:szCs w:val="24"/>
        </w:rPr>
        <w:lastRenderedPageBreak/>
        <w:t>ANNEX</w:t>
      </w:r>
    </w:p>
    <w:p>
      <w:pPr>
        <w:ind w:left="-142"/>
        <w:jc w:val="center"/>
        <w:rPr>
          <w:rFonts w:ascii="Times New Roman" w:hAnsi="Times New Roman" w:cs="Times New Roman"/>
          <w:caps/>
          <w:noProof/>
          <w:sz w:val="24"/>
          <w:szCs w:val="24"/>
        </w:rPr>
      </w:pPr>
      <w:r>
        <w:rPr>
          <w:rFonts w:ascii="Times New Roman" w:hAnsi="Times New Roman" w:cs="Times New Roman"/>
          <w:caps/>
          <w:noProof/>
          <w:sz w:val="24"/>
          <w:szCs w:val="24"/>
        </w:rPr>
        <w:t>Status of delivered outputs under the third EU Work Plan for Sport (2017-2020)</w:t>
      </w:r>
    </w:p>
    <w:p>
      <w:pPr>
        <w:rPr>
          <w:rFonts w:ascii="Times New Roman" w:hAnsi="Times New Roman" w:cs="Times New Roman"/>
          <w:noProof/>
          <w:sz w:val="24"/>
          <w:szCs w:val="24"/>
        </w:rPr>
      </w:pPr>
    </w:p>
    <w:tbl>
      <w:tblPr>
        <w:tblW w:w="9360" w:type="dxa"/>
        <w:tblInd w:w="-134" w:type="dxa"/>
        <w:tblCellMar>
          <w:left w:w="0" w:type="dxa"/>
          <w:right w:w="0" w:type="dxa"/>
        </w:tblCellMar>
        <w:tblLook w:val="0420" w:firstRow="1" w:lastRow="0" w:firstColumn="0" w:lastColumn="0" w:noHBand="0" w:noVBand="1"/>
      </w:tblPr>
      <w:tblGrid>
        <w:gridCol w:w="995"/>
        <w:gridCol w:w="4461"/>
        <w:gridCol w:w="1107"/>
        <w:gridCol w:w="1520"/>
        <w:gridCol w:w="1277"/>
      </w:tblGrid>
      <w:tr>
        <w:trPr>
          <w:trHeight w:val="304"/>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b/>
                <w:bCs/>
                <w:noProof/>
                <w:sz w:val="24"/>
                <w:szCs w:val="24"/>
                <w:lang w:val="it-IT"/>
              </w:rPr>
            </w:pPr>
            <w:r>
              <w:rPr>
                <w:rFonts w:ascii="Times New Roman" w:hAnsi="Times New Roman" w:cs="Times New Roman"/>
                <w:b/>
                <w:bCs/>
                <w:noProof/>
                <w:sz w:val="24"/>
                <w:szCs w:val="24"/>
                <w:lang w:val="it-IT"/>
              </w:rPr>
              <w:t>Priority 1 – Integrity of Sport</w:t>
            </w:r>
          </w:p>
        </w:tc>
      </w:tr>
      <w:tr>
        <w:trPr>
          <w:trHeight w:val="304"/>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it-IT"/>
              </w:rPr>
            </w:pPr>
            <w:r>
              <w:rPr>
                <w:rFonts w:ascii="Times New Roman" w:hAnsi="Times New Roman" w:cs="Times New Roman"/>
                <w:b/>
                <w:bCs/>
                <w:noProof/>
                <w:sz w:val="24"/>
                <w:szCs w:val="24"/>
                <w:lang w:val="it-IT"/>
              </w:rPr>
              <w:t>Key topic: Anti-doping</w:t>
            </w:r>
          </w:p>
        </w:tc>
      </w:tr>
      <w:tr>
        <w:trPr>
          <w:trHeight w:val="569"/>
        </w:trPr>
        <w:tc>
          <w:tcPr>
            <w:tcW w:w="99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after="0"/>
              <w:rPr>
                <w:rFonts w:ascii="Times New Roman" w:hAnsi="Times New Roman" w:cs="Times New Roman"/>
                <w:b/>
                <w:noProof/>
                <w:sz w:val="24"/>
                <w:szCs w:val="24"/>
                <w:lang w:val="it-IT"/>
              </w:rPr>
            </w:pPr>
            <w:r>
              <w:rPr>
                <w:rFonts w:ascii="Times New Roman" w:hAnsi="Times New Roman" w:cs="Times New Roman"/>
                <w:b/>
                <w:bCs/>
                <w:noProof/>
                <w:sz w:val="24"/>
                <w:szCs w:val="24"/>
                <w:lang w:val="en-IE"/>
              </w:rPr>
              <w:t>Activity</w:t>
            </w:r>
          </w:p>
        </w:tc>
        <w:tc>
          <w:tcPr>
            <w:tcW w:w="446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pPr>
              <w:spacing w:after="0"/>
              <w:rPr>
                <w:rFonts w:ascii="Times New Roman" w:hAnsi="Times New Roman" w:cs="Times New Roman"/>
                <w:b/>
                <w:noProof/>
                <w:sz w:val="24"/>
                <w:szCs w:val="24"/>
                <w:lang w:val="fr-BE"/>
              </w:rPr>
            </w:pPr>
            <w:r>
              <w:rPr>
                <w:rFonts w:ascii="Times New Roman" w:hAnsi="Times New Roman" w:cs="Times New Roman"/>
                <w:b/>
                <w:noProof/>
                <w:sz w:val="24"/>
                <w:szCs w:val="24"/>
                <w:lang w:val="it-IT"/>
              </w:rPr>
              <w:t>Output</w:t>
            </w:r>
          </w:p>
        </w:tc>
        <w:tc>
          <w:tcPr>
            <w:tcW w:w="11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pPr>
              <w:spacing w:after="0"/>
              <w:rPr>
                <w:rFonts w:ascii="Times New Roman" w:hAnsi="Times New Roman" w:cs="Times New Roman"/>
                <w:b/>
                <w:noProof/>
                <w:sz w:val="24"/>
                <w:szCs w:val="24"/>
                <w:lang w:val="fr-BE"/>
              </w:rPr>
            </w:pPr>
            <w:r>
              <w:rPr>
                <w:rFonts w:ascii="Times New Roman" w:hAnsi="Times New Roman" w:cs="Times New Roman"/>
                <w:b/>
                <w:noProof/>
                <w:sz w:val="24"/>
                <w:szCs w:val="24"/>
                <w:lang w:val="it-IT"/>
              </w:rPr>
              <w:t>Target date</w:t>
            </w:r>
          </w:p>
        </w:tc>
        <w:tc>
          <w:tcPr>
            <w:tcW w:w="15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pPr>
              <w:spacing w:after="0"/>
              <w:rPr>
                <w:rFonts w:ascii="Times New Roman" w:hAnsi="Times New Roman" w:cs="Times New Roman"/>
                <w:b/>
                <w:noProof/>
                <w:sz w:val="24"/>
                <w:szCs w:val="24"/>
                <w:lang w:val="fr-BE"/>
              </w:rPr>
            </w:pPr>
            <w:r>
              <w:rPr>
                <w:rFonts w:ascii="Times New Roman" w:hAnsi="Times New Roman" w:cs="Times New Roman"/>
                <w:b/>
                <w:noProof/>
                <w:sz w:val="24"/>
                <w:szCs w:val="24"/>
                <w:lang w:val="it-IT"/>
              </w:rPr>
              <w:t>Leader(s)</w:t>
            </w:r>
          </w:p>
        </w:tc>
        <w:tc>
          <w:tcPr>
            <w:tcW w:w="12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pPr>
              <w:spacing w:after="0"/>
              <w:rPr>
                <w:rFonts w:ascii="Times New Roman" w:hAnsi="Times New Roman" w:cs="Times New Roman"/>
                <w:b/>
                <w:noProof/>
                <w:sz w:val="24"/>
                <w:szCs w:val="24"/>
                <w:lang w:val="fr-BE"/>
              </w:rPr>
            </w:pPr>
            <w:r>
              <w:rPr>
                <w:rFonts w:ascii="Times New Roman" w:hAnsi="Times New Roman" w:cs="Times New Roman"/>
                <w:b/>
                <w:noProof/>
                <w:sz w:val="24"/>
                <w:szCs w:val="24"/>
                <w:lang w:val="it-IT"/>
              </w:rPr>
              <w:t>Status</w:t>
            </w:r>
          </w:p>
        </w:tc>
      </w:tr>
      <w:tr>
        <w:trPr>
          <w:trHeight w:val="772"/>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1</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rPr>
              <w:t>Council and its preparatory bodies Expert input in anti-doping issues to be prepared by meetings of experts and to be discussed at the Working Party on Sport, in particular compatibility with EU law, regarding any forthcoming revision of the WADA Anti-doping Code</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2017-2019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 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Preparation of the EU and its Member States' position for the CAHAMA and WADA meetings supported as necessary by meetings of experts.</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2017-2020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 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Ongoing</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3</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Seminar - Ways of preventing the use of doping by young people in professional and in grassroots sports</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2017</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445"/>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it-IT"/>
              </w:rPr>
            </w:pPr>
            <w:r>
              <w:rPr>
                <w:rFonts w:ascii="Times New Roman" w:hAnsi="Times New Roman" w:cs="Times New Roman"/>
                <w:b/>
                <w:bCs/>
                <w:noProof/>
                <w:sz w:val="24"/>
                <w:szCs w:val="24"/>
                <w:lang w:val="it-IT"/>
              </w:rPr>
              <w:t>Key topic: Good governance</w:t>
            </w:r>
          </w:p>
        </w:tc>
      </w:tr>
      <w:tr>
        <w:trPr>
          <w:trHeight w:val="872"/>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bCs/>
                <w:noProof/>
                <w:sz w:val="24"/>
                <w:szCs w:val="24"/>
                <w:lang w:val="it-IT"/>
              </w:rPr>
            </w:pPr>
            <w:r>
              <w:rPr>
                <w:rFonts w:ascii="Times New Roman" w:hAnsi="Times New Roman" w:cs="Times New Roman"/>
                <w:bCs/>
                <w:noProof/>
                <w:sz w:val="24"/>
                <w:szCs w:val="24"/>
                <w:lang w:val="it-IT"/>
              </w:rPr>
              <w:t>4</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b/>
                <w:bCs/>
                <w:noProof/>
                <w:sz w:val="24"/>
                <w:szCs w:val="24"/>
                <w:lang w:val="it-IT"/>
              </w:rPr>
              <w:t>Expert Group – Integrity</w:t>
            </w:r>
          </w:p>
          <w:p>
            <w:pPr>
              <w:numPr>
                <w:ilvl w:val="0"/>
                <w:numId w:val="1"/>
              </w:num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Application of international recognised good governance and anti-corruption standards and initiatives in particular from outside sport to be applied in the field of sport</w:t>
            </w:r>
          </w:p>
          <w:p>
            <w:pPr>
              <w:numPr>
                <w:ilvl w:val="0"/>
                <w:numId w:val="1"/>
              </w:numPr>
              <w:spacing w:after="0"/>
              <w:rPr>
                <w:rFonts w:ascii="Times New Roman" w:hAnsi="Times New Roman" w:cs="Times New Roman"/>
                <w:noProof/>
                <w:sz w:val="24"/>
                <w:szCs w:val="24"/>
                <w:lang w:val="fr-BE"/>
              </w:rPr>
            </w:pPr>
            <w:r>
              <w:rPr>
                <w:rFonts w:ascii="Times New Roman" w:hAnsi="Times New Roman" w:cs="Times New Roman"/>
                <w:noProof/>
                <w:sz w:val="24"/>
                <w:szCs w:val="24"/>
                <w:lang w:val="en-US"/>
              </w:rPr>
              <w:t>Match fixing</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2018-2020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5 meetings organised</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5</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Council and its preparatory bodies - </w:t>
            </w:r>
            <w:r>
              <w:rPr>
                <w:rFonts w:ascii="Times New Roman" w:hAnsi="Times New Roman" w:cs="Times New Roman"/>
                <w:noProof/>
                <w:sz w:val="24"/>
                <w:szCs w:val="24"/>
                <w:lang w:val="en-IE"/>
              </w:rPr>
              <w:t>Recommendations on possible future actions against corruption in sport at the EU level.</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427"/>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topic: Safe-guarding of minors</w:t>
            </w:r>
          </w:p>
        </w:tc>
      </w:tr>
      <w:tr>
        <w:trPr>
          <w:trHeight w:val="562"/>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lastRenderedPageBreak/>
              <w:t>6</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Study - </w:t>
            </w:r>
            <w:r>
              <w:rPr>
                <w:rFonts w:ascii="Times New Roman" w:hAnsi="Times New Roman" w:cs="Times New Roman"/>
                <w:noProof/>
                <w:sz w:val="24"/>
                <w:szCs w:val="24"/>
                <w:lang w:val="en-US"/>
              </w:rPr>
              <w:t xml:space="preserve">Prevalence of child abuse in sport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7</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Seminar - </w:t>
            </w:r>
            <w:r>
              <w:rPr>
                <w:rFonts w:ascii="Times New Roman" w:hAnsi="Times New Roman" w:cs="Times New Roman"/>
                <w:noProof/>
                <w:sz w:val="24"/>
                <w:szCs w:val="24"/>
                <w:lang w:val="en-US"/>
              </w:rPr>
              <w:t>Follow-up of the Recommendations on the protection of young athletes and safeguarding children’s rights in sport</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8</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Council and its preparatory bodies -Protecting physical and moral integrity of minors in grassroots and elite sport.</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333"/>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topic: Specificity of sport</w:t>
            </w:r>
          </w:p>
        </w:tc>
      </w:tr>
      <w:tr>
        <w:trPr>
          <w:trHeight w:val="622"/>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9</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Group of interested Member States - EU law in relation to sport and sport organisations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fr-BE"/>
              </w:rPr>
              <w:t>SE, FR, ES, NL</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Cancelled</w:t>
            </w:r>
          </w:p>
        </w:tc>
      </w:tr>
      <w:tr>
        <w:trPr>
          <w:trHeight w:val="637"/>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10</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Seminar - </w:t>
            </w:r>
            <w:r>
              <w:rPr>
                <w:rFonts w:ascii="Times New Roman" w:hAnsi="Times New Roman" w:cs="Times New Roman"/>
                <w:noProof/>
                <w:sz w:val="24"/>
                <w:szCs w:val="24"/>
                <w:lang w:val="en-US"/>
              </w:rPr>
              <w:t>Specificity of sport within the EU</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368"/>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pPr>
              <w:spacing w:before="60" w:after="60"/>
              <w:rPr>
                <w:rFonts w:ascii="Times New Roman" w:hAnsi="Times New Roman" w:cs="Times New Roman"/>
                <w:b/>
                <w:noProof/>
                <w:sz w:val="24"/>
                <w:szCs w:val="24"/>
                <w:lang w:val="en-IE"/>
              </w:rPr>
            </w:pPr>
            <w:r>
              <w:rPr>
                <w:rFonts w:ascii="Times New Roman" w:hAnsi="Times New Roman" w:cs="Times New Roman"/>
                <w:b/>
                <w:noProof/>
                <w:sz w:val="24"/>
                <w:szCs w:val="24"/>
              </w:rPr>
              <w:t xml:space="preserve">Priority 2 – The Economic Dimension of Sport </w:t>
            </w:r>
          </w:p>
        </w:tc>
      </w:tr>
      <w:tr>
        <w:trPr>
          <w:trHeight w:val="302"/>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topic: Innovation in sport</w:t>
            </w:r>
          </w:p>
        </w:tc>
      </w:tr>
      <w:tr>
        <w:trPr>
          <w:trHeight w:val="1117"/>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11</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Cluster meeting - </w:t>
            </w:r>
            <w:r>
              <w:rPr>
                <w:rFonts w:ascii="Times New Roman" w:hAnsi="Times New Roman" w:cs="Times New Roman"/>
                <w:noProof/>
                <w:sz w:val="24"/>
                <w:szCs w:val="24"/>
                <w:lang w:val="en-US"/>
              </w:rPr>
              <w:t>The economic benefits of sport through Sport Satellite Accounts (SSA). The practical use of SSAs for sport policy makers.</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2018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62"/>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12</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Raise awareness of the economic dimension of sport in particular with regard to the Europe 2020 Strategy - </w:t>
            </w:r>
            <w:r>
              <w:rPr>
                <w:rFonts w:ascii="Times New Roman" w:hAnsi="Times New Roman" w:cs="Times New Roman"/>
                <w:noProof/>
                <w:sz w:val="24"/>
                <w:szCs w:val="24"/>
              </w:rPr>
              <w:t>focusing on the economic benefits of sport and innovation</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13</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Conference - </w:t>
            </w:r>
            <w:r>
              <w:rPr>
                <w:rFonts w:ascii="Times New Roman" w:hAnsi="Times New Roman" w:cs="Times New Roman"/>
                <w:noProof/>
                <w:sz w:val="24"/>
                <w:szCs w:val="24"/>
                <w:lang w:val="en-US"/>
              </w:rPr>
              <w:t xml:space="preserve">Raise awareness of the economic dimension of sport in particular with regard to the Europe 2020 Strategy </w:t>
            </w:r>
            <w:r>
              <w:rPr>
                <w:rFonts w:ascii="Times New Roman" w:hAnsi="Times New Roman" w:cs="Times New Roman"/>
                <w:noProof/>
                <w:sz w:val="24"/>
                <w:szCs w:val="24"/>
              </w:rPr>
              <w:t>- focusing on the economic benefits of sport and innovation</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375"/>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topic: Sport and the digital market</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14</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Seminar - The benefits and challenges of the digital single market for a better funding and commercialisation of sport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Cancelled</w:t>
            </w:r>
          </w:p>
        </w:tc>
      </w:tr>
      <w:tr>
        <w:trPr>
          <w:trHeight w:val="421"/>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pPr>
              <w:spacing w:before="60" w:after="60"/>
              <w:rPr>
                <w:rFonts w:ascii="Times New Roman" w:hAnsi="Times New Roman" w:cs="Times New Roman"/>
                <w:b/>
                <w:noProof/>
                <w:sz w:val="24"/>
                <w:szCs w:val="24"/>
              </w:rPr>
            </w:pPr>
            <w:r>
              <w:rPr>
                <w:rFonts w:ascii="Times New Roman" w:hAnsi="Times New Roman" w:cs="Times New Roman"/>
                <w:b/>
                <w:noProof/>
                <w:sz w:val="24"/>
                <w:szCs w:val="24"/>
              </w:rPr>
              <w:t>Priority 3 – Sport and Society</w:t>
            </w:r>
          </w:p>
        </w:tc>
      </w:tr>
      <w:tr>
        <w:trPr>
          <w:trHeight w:val="216"/>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topic: Sport and media</w:t>
            </w:r>
          </w:p>
        </w:tc>
      </w:tr>
      <w:tr>
        <w:trPr>
          <w:trHeight w:val="1117"/>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15</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Conference - Role and influence of media in sport</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2020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To be organised</w:t>
            </w:r>
          </w:p>
        </w:tc>
      </w:tr>
      <w:tr>
        <w:trPr>
          <w:trHeight w:val="562"/>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16</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Council and its preparatory bodies Role and influence of media in sport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2020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Cancelled</w:t>
            </w:r>
          </w:p>
        </w:tc>
      </w:tr>
      <w:tr>
        <w:trPr>
          <w:trHeight w:val="336"/>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topic: Role of coaches</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17</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Council and its preparatory bodies - Role of coaches in society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2017</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18</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Conference - Role, status and responsibility of coaches in society</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2017</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307"/>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 xml:space="preserve">Key topic: </w:t>
            </w:r>
            <w:r>
              <w:rPr>
                <w:rFonts w:ascii="Times New Roman" w:hAnsi="Times New Roman" w:cs="Times New Roman"/>
                <w:b/>
                <w:bCs/>
                <w:noProof/>
                <w:sz w:val="24"/>
                <w:szCs w:val="24"/>
                <w:lang w:val="en-US"/>
              </w:rPr>
              <w:t>Education in and through sport</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19</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Conference - Physical activity, sport and athlete’s dual career with the focus on university and education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2017</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20</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Expert Group - Skills and human resources development in sport.</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2018-2020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5 meetings organised</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21</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Seminar - Sport qualifications and competences for coaches</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2020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457"/>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it-IT"/>
              </w:rPr>
            </w:pPr>
            <w:r>
              <w:rPr>
                <w:rFonts w:ascii="Times New Roman" w:hAnsi="Times New Roman" w:cs="Times New Roman"/>
                <w:b/>
                <w:bCs/>
                <w:noProof/>
                <w:sz w:val="24"/>
                <w:szCs w:val="24"/>
                <w:lang w:val="it-IT"/>
              </w:rPr>
              <w:t>Key topic: Social inclusion</w:t>
            </w:r>
          </w:p>
        </w:tc>
      </w:tr>
      <w:tr>
        <w:trPr>
          <w:trHeight w:val="550"/>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22</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Council and its preparatory bodies -Promoting European values through sport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2018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62"/>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23</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Conference - Grassroots sport as a tool for integration and a bridge between tradition and innovation</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2018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24</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Study - Access to sport for people with disabilities</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25</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Council and its preparatory bodies - Access to sport for people with disabilities.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26</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Conference - The advantages of practising sport in an organised environment for people with fewer opportunities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1st Half 2019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27</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Cluster meeting - Promoting health enhancing physical activity</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2017</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484"/>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topic: Sport and health</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28</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Seminar - Sport and physical activity at the work place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Presidency</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339"/>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pPr>
              <w:spacing w:before="60" w:after="60"/>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topic: Sport and environment</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29</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Group of interested Member States - Urban development, nature sport, environmental sustainability in the context of major sporting events, environmentally sound and energy efficient sport facilities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2018-2020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fr-BE"/>
              </w:rPr>
              <w:t>FR, DE, PT</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120"/>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pPr>
              <w:spacing w:before="60" w:after="60"/>
              <w:rPr>
                <w:rFonts w:ascii="Times New Roman" w:hAnsi="Times New Roman" w:cs="Times New Roman"/>
                <w:noProof/>
                <w:sz w:val="24"/>
                <w:szCs w:val="24"/>
                <w:lang w:val="it-IT"/>
              </w:rPr>
            </w:pPr>
            <w:r>
              <w:rPr>
                <w:rFonts w:ascii="Times New Roman" w:hAnsi="Times New Roman" w:cs="Times New Roman"/>
                <w:b/>
                <w:bCs/>
                <w:noProof/>
                <w:sz w:val="24"/>
                <w:szCs w:val="24"/>
                <w:lang w:val="it-IT"/>
              </w:rPr>
              <w:t xml:space="preserve">Key topic: </w:t>
            </w:r>
            <w:r>
              <w:rPr>
                <w:rFonts w:ascii="Times New Roman" w:hAnsi="Times New Roman" w:cs="Times New Roman"/>
                <w:b/>
                <w:bCs/>
                <w:noProof/>
                <w:sz w:val="24"/>
                <w:szCs w:val="24"/>
                <w:lang w:val="fr-BE"/>
              </w:rPr>
              <w:t>Sport diplomacy</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30</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Study - Sport in support of EU external relations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2017</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fr-BE"/>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r>
        <w:trPr>
          <w:trHeight w:val="584"/>
        </w:trPr>
        <w:tc>
          <w:tcPr>
            <w:tcW w:w="995" w:type="dxa"/>
            <w:tcBorders>
              <w:top w:val="single" w:sz="8" w:space="0" w:color="000000"/>
              <w:left w:val="single" w:sz="8" w:space="0" w:color="000000"/>
              <w:bottom w:val="single" w:sz="8" w:space="0" w:color="000000"/>
              <w:right w:val="single" w:sz="8" w:space="0" w:color="000000"/>
            </w:tcBorders>
          </w:tcPr>
          <w:p>
            <w:pPr>
              <w:spacing w:after="0"/>
              <w:rPr>
                <w:rFonts w:ascii="Times New Roman" w:hAnsi="Times New Roman" w:cs="Times New Roman"/>
                <w:noProof/>
                <w:sz w:val="24"/>
                <w:szCs w:val="24"/>
                <w:lang w:val="en-US"/>
              </w:rPr>
            </w:pPr>
            <w:r>
              <w:rPr>
                <w:rFonts w:ascii="Times New Roman" w:hAnsi="Times New Roman" w:cs="Times New Roman"/>
                <w:noProof/>
                <w:sz w:val="24"/>
                <w:szCs w:val="24"/>
                <w:lang w:val="en-US"/>
              </w:rPr>
              <w:t>31</w:t>
            </w:r>
          </w:p>
        </w:tc>
        <w:tc>
          <w:tcPr>
            <w:tcW w:w="4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Seminar - Follow up of the Commission High Level Group, Council conclusions of November 2016 and Seminar on Sport Diplomacy </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2nd Half 2017</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fr-BE"/>
              </w:rPr>
              <w:t>Commission</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spacing w:after="0"/>
              <w:rPr>
                <w:rFonts w:ascii="Times New Roman" w:hAnsi="Times New Roman" w:cs="Times New Roman"/>
                <w:noProof/>
                <w:sz w:val="24"/>
                <w:szCs w:val="24"/>
                <w:lang w:val="fr-BE"/>
              </w:rPr>
            </w:pPr>
            <w:r>
              <w:rPr>
                <w:rFonts w:ascii="Times New Roman" w:hAnsi="Times New Roman" w:cs="Times New Roman"/>
                <w:noProof/>
                <w:sz w:val="24"/>
                <w:szCs w:val="24"/>
                <w:lang w:val="it-IT"/>
              </w:rPr>
              <w:t>Done</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w:t>
    </w:r>
    <w:r>
      <w:rPr>
        <w:caps/>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13E32"/>
    <w:multiLevelType w:val="hybridMultilevel"/>
    <w:tmpl w:val="98A2EA6A"/>
    <w:lvl w:ilvl="0" w:tplc="7FBCE386">
      <w:start w:val="1"/>
      <w:numFmt w:val="bullet"/>
      <w:lvlText w:val="•"/>
      <w:lvlJc w:val="left"/>
      <w:pPr>
        <w:tabs>
          <w:tab w:val="num" w:pos="720"/>
        </w:tabs>
        <w:ind w:left="720" w:hanging="360"/>
      </w:pPr>
      <w:rPr>
        <w:rFonts w:ascii="Arial" w:hAnsi="Arial" w:hint="default"/>
      </w:rPr>
    </w:lvl>
    <w:lvl w:ilvl="1" w:tplc="1ECA730C" w:tentative="1">
      <w:start w:val="1"/>
      <w:numFmt w:val="bullet"/>
      <w:lvlText w:val="•"/>
      <w:lvlJc w:val="left"/>
      <w:pPr>
        <w:tabs>
          <w:tab w:val="num" w:pos="1440"/>
        </w:tabs>
        <w:ind w:left="1440" w:hanging="360"/>
      </w:pPr>
      <w:rPr>
        <w:rFonts w:ascii="Arial" w:hAnsi="Arial" w:hint="default"/>
      </w:rPr>
    </w:lvl>
    <w:lvl w:ilvl="2" w:tplc="327E5230" w:tentative="1">
      <w:start w:val="1"/>
      <w:numFmt w:val="bullet"/>
      <w:lvlText w:val="•"/>
      <w:lvlJc w:val="left"/>
      <w:pPr>
        <w:tabs>
          <w:tab w:val="num" w:pos="2160"/>
        </w:tabs>
        <w:ind w:left="2160" w:hanging="360"/>
      </w:pPr>
      <w:rPr>
        <w:rFonts w:ascii="Arial" w:hAnsi="Arial" w:hint="default"/>
      </w:rPr>
    </w:lvl>
    <w:lvl w:ilvl="3" w:tplc="5ECAC548" w:tentative="1">
      <w:start w:val="1"/>
      <w:numFmt w:val="bullet"/>
      <w:lvlText w:val="•"/>
      <w:lvlJc w:val="left"/>
      <w:pPr>
        <w:tabs>
          <w:tab w:val="num" w:pos="2880"/>
        </w:tabs>
        <w:ind w:left="2880" w:hanging="360"/>
      </w:pPr>
      <w:rPr>
        <w:rFonts w:ascii="Arial" w:hAnsi="Arial" w:hint="default"/>
      </w:rPr>
    </w:lvl>
    <w:lvl w:ilvl="4" w:tplc="EEAA9902" w:tentative="1">
      <w:start w:val="1"/>
      <w:numFmt w:val="bullet"/>
      <w:lvlText w:val="•"/>
      <w:lvlJc w:val="left"/>
      <w:pPr>
        <w:tabs>
          <w:tab w:val="num" w:pos="3600"/>
        </w:tabs>
        <w:ind w:left="3600" w:hanging="360"/>
      </w:pPr>
      <w:rPr>
        <w:rFonts w:ascii="Arial" w:hAnsi="Arial" w:hint="default"/>
      </w:rPr>
    </w:lvl>
    <w:lvl w:ilvl="5" w:tplc="6FDCA29C" w:tentative="1">
      <w:start w:val="1"/>
      <w:numFmt w:val="bullet"/>
      <w:lvlText w:val="•"/>
      <w:lvlJc w:val="left"/>
      <w:pPr>
        <w:tabs>
          <w:tab w:val="num" w:pos="4320"/>
        </w:tabs>
        <w:ind w:left="4320" w:hanging="360"/>
      </w:pPr>
      <w:rPr>
        <w:rFonts w:ascii="Arial" w:hAnsi="Arial" w:hint="default"/>
      </w:rPr>
    </w:lvl>
    <w:lvl w:ilvl="6" w:tplc="C48CB576" w:tentative="1">
      <w:start w:val="1"/>
      <w:numFmt w:val="bullet"/>
      <w:lvlText w:val="•"/>
      <w:lvlJc w:val="left"/>
      <w:pPr>
        <w:tabs>
          <w:tab w:val="num" w:pos="5040"/>
        </w:tabs>
        <w:ind w:left="5040" w:hanging="360"/>
      </w:pPr>
      <w:rPr>
        <w:rFonts w:ascii="Arial" w:hAnsi="Arial" w:hint="default"/>
      </w:rPr>
    </w:lvl>
    <w:lvl w:ilvl="7" w:tplc="158617B6" w:tentative="1">
      <w:start w:val="1"/>
      <w:numFmt w:val="bullet"/>
      <w:lvlText w:val="•"/>
      <w:lvlJc w:val="left"/>
      <w:pPr>
        <w:tabs>
          <w:tab w:val="num" w:pos="5760"/>
        </w:tabs>
        <w:ind w:left="5760" w:hanging="360"/>
      </w:pPr>
      <w:rPr>
        <w:rFonts w:ascii="Arial" w:hAnsi="Arial" w:hint="default"/>
      </w:rPr>
    </w:lvl>
    <w:lvl w:ilvl="8" w:tplc="F4F0480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B6B484CF-452A-42CB-98A8-3A8FC080A12E"/>
    <w:docVar w:name="LW_COVERPAGE_TYPE" w:val="1"/>
    <w:docVar w:name="LW_CROSSREFERENCE" w:val="&lt;UNUSED&gt;"/>
    <w:docVar w:name="LW_DocType" w:val="NORMAL"/>
    <w:docVar w:name="LW_EMISSION" w:val="7.7.2020"/>
    <w:docVar w:name="LW_EMISSION_ISODATE" w:val="2020-07-07"/>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lt;FMT:Font=Calibri&gt;on the implementation and relevance of the EU Work Plan for Sport (2017-2020)&lt;/FMT&gt;"/>
    <w:docVar w:name="LW_PART_NBR" w:val="1"/>
    <w:docVar w:name="LW_PART_NBR_TOTAL" w:val="1"/>
    <w:docVar w:name="LW_REF.INST.NEW" w:val="COM"/>
    <w:docVar w:name="LW_REF.INST.NEW_ADOPTED" w:val="final"/>
    <w:docVar w:name="LW_REF.INST.NEW_TEXT" w:val="(2020)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the Council, the European Economic and Social Committee and the Committee of the Regions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75D2-74C0-4744-8143-13F6775A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807</Words>
  <Characters>4234</Characters>
  <Application>Microsoft Office Word</Application>
  <DocSecurity>0</DocSecurity>
  <Lines>325</Lines>
  <Paragraphs>210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CLEVE Sabine (EAC)</dc:creator>
  <cp:keywords/>
  <dc:description/>
  <cp:lastModifiedBy>WES PDFC Administrator</cp:lastModifiedBy>
  <cp:revision>8</cp:revision>
  <dcterms:created xsi:type="dcterms:W3CDTF">2020-06-26T09:37:00Z</dcterms:created>
  <dcterms:modified xsi:type="dcterms:W3CDTF">2020-06-30T17:22:00Z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