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BA" w:rsidRDefault="0044511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C98D4A1-9F5A-4FE7-A5CA-0C8189F73410" style="width:450.55pt;height:306.55pt">
            <v:imagedata r:id="rId7" o:title=""/>
          </v:shape>
        </w:pict>
      </w:r>
    </w:p>
    <w:bookmarkEnd w:id="0"/>
    <w:p w:rsidR="002A53BA" w:rsidRDefault="002A53BA">
      <w:pPr>
        <w:rPr>
          <w:noProof/>
        </w:rPr>
        <w:sectPr w:rsidR="002A53BA">
          <w:headerReference w:type="even" r:id="rId8"/>
          <w:headerReference w:type="default" r:id="rId9"/>
          <w:footerReference w:type="even" r:id="rId10"/>
          <w:footerReference w:type="default" r:id="rId11"/>
          <w:headerReference w:type="first" r:id="rId12"/>
          <w:footerReference w:type="first" r:id="rId13"/>
          <w:pgSz w:w="11900" w:h="16840"/>
          <w:pgMar w:top="1134" w:right="1417" w:bottom="1134" w:left="1417" w:header="709" w:footer="709" w:gutter="0"/>
          <w:pgNumType w:start="0"/>
          <w:cols w:space="720"/>
          <w:docGrid w:linePitch="326"/>
        </w:sectPr>
      </w:pPr>
    </w:p>
    <w:p w:rsidR="002A53BA" w:rsidRDefault="0044511F">
      <w:pPr>
        <w:pStyle w:val="CorpoA"/>
        <w:spacing w:before="120" w:after="120" w:line="240" w:lineRule="auto"/>
        <w:jc w:val="center"/>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lastRenderedPageBreak/>
        <w:t>Report from the Commission to the European Parliament and the Council on the follow-up to the discharge for the financial year 2018</w:t>
      </w:r>
    </w:p>
    <w:p w:rsidR="002A53BA" w:rsidRDefault="002A53BA">
      <w:pPr>
        <w:pStyle w:val="CorpoA"/>
        <w:spacing w:before="120" w:after="120" w:line="240" w:lineRule="auto"/>
        <w:jc w:val="center"/>
        <w:rPr>
          <w:rFonts w:ascii="Times New Roman" w:eastAsia="Times New Roman" w:hAnsi="Times New Roman" w:cs="Times New Roman"/>
          <w:smallCaps/>
          <w:noProof/>
        </w:rPr>
      </w:pPr>
    </w:p>
    <w:p w:rsidR="002A53BA" w:rsidRDefault="0044511F">
      <w:pPr>
        <w:pStyle w:val="CorpoA"/>
        <w:keepNext/>
        <w:keepLines/>
        <w:numPr>
          <w:ilvl w:val="0"/>
          <w:numId w:val="10"/>
        </w:numPr>
        <w:spacing w:before="360" w:after="120" w:line="240" w:lineRule="auto"/>
        <w:jc w:val="both"/>
        <w:outlineLvl w:val="0"/>
        <w:rPr>
          <w:rFonts w:ascii="Times New Roman" w:hAnsi="Times New Roman"/>
          <w:b/>
          <w:bCs/>
          <w:noProof/>
          <w:sz w:val="24"/>
          <w:szCs w:val="24"/>
          <w:lang w:val="fr-FR"/>
        </w:rPr>
      </w:pPr>
      <w:r>
        <w:rPr>
          <w:rFonts w:ascii="Times New Roman" w:hAnsi="Times New Roman"/>
          <w:b/>
          <w:bCs/>
          <w:smallCaps/>
          <w:noProof/>
          <w:sz w:val="24"/>
          <w:szCs w:val="24"/>
          <w:lang w:val="fr-FR"/>
        </w:rPr>
        <w:t>Introduction</w:t>
      </w:r>
    </w:p>
    <w:p w:rsidR="002A53BA" w:rsidRDefault="0044511F">
      <w:pPr>
        <w:pStyle w:val="BodyAA"/>
        <w:spacing w:before="120" w:after="120"/>
        <w:ind w:left="851"/>
        <w:jc w:val="both"/>
        <w:rPr>
          <w:noProof/>
        </w:rPr>
      </w:pPr>
      <w:r>
        <w:rPr>
          <w:b/>
          <w:bCs/>
          <w:noProof/>
        </w:rPr>
        <w:t xml:space="preserve">The 2018 discharge procedure was notable in several </w:t>
      </w:r>
      <w:r>
        <w:rPr>
          <w:b/>
          <w:bCs/>
          <w:noProof/>
          <w:lang w:val="nl-NL"/>
        </w:rPr>
        <w:t>re</w:t>
      </w:r>
      <w:r>
        <w:rPr>
          <w:b/>
          <w:bCs/>
          <w:noProof/>
        </w:rPr>
        <w:t>spects</w:t>
      </w:r>
      <w:r>
        <w:rPr>
          <w:noProof/>
        </w:rPr>
        <w:t xml:space="preserve">. It was the first discharge procedure in the 2020-2024 legislature with a new composition of the European Parliament and its Budgetary Control Committee, and discharge hearings involved </w:t>
      </w:r>
      <w:r>
        <w:rPr>
          <w:noProof/>
          <w:lang w:val="nl-NL"/>
        </w:rPr>
        <w:t>Members o</w:t>
      </w:r>
      <w:r>
        <w:rPr>
          <w:noProof/>
          <w:lang w:val="nl-NL"/>
        </w:rPr>
        <w:t xml:space="preserve">f the </w:t>
      </w:r>
      <w:r>
        <w:rPr>
          <w:noProof/>
        </w:rPr>
        <w:t>Commission from both the Juncker and the von der Leyen Commission</w:t>
      </w:r>
      <w:r>
        <w:rPr>
          <w:noProof/>
          <w:lang w:val="nl-NL"/>
        </w:rPr>
        <w:t>s</w:t>
      </w:r>
      <w:r>
        <w:rPr>
          <w:noProof/>
        </w:rPr>
        <w:t>. Moreover, negotiations on the next Multiannual Financial Framework offered a unique opportunity to feed lessons learned about the past from the discharge proceedings into the process</w:t>
      </w:r>
      <w:r>
        <w:rPr>
          <w:noProof/>
        </w:rPr>
        <w:t xml:space="preserve"> of improving the future. </w:t>
      </w:r>
    </w:p>
    <w:p w:rsidR="002A53BA" w:rsidRDefault="0044511F">
      <w:pPr>
        <w:pStyle w:val="BodyAA"/>
        <w:spacing w:before="120" w:after="120"/>
        <w:ind w:left="851"/>
        <w:jc w:val="both"/>
        <w:rPr>
          <w:noProof/>
        </w:rPr>
      </w:pPr>
      <w:r>
        <w:rPr>
          <w:noProof/>
        </w:rPr>
        <w:t xml:space="preserve">Proceedings in the European Parliament’s Budgetary Control Committee and the Council were completed before the COVID-19 crisis </w:t>
      </w:r>
      <w:r>
        <w:rPr>
          <w:noProof/>
          <w:lang w:val="nl-NL"/>
        </w:rPr>
        <w:t xml:space="preserve">and </w:t>
      </w:r>
      <w:r>
        <w:rPr>
          <w:noProof/>
        </w:rPr>
        <w:t xml:space="preserve">led to significant changes </w:t>
      </w:r>
      <w:r>
        <w:rPr>
          <w:noProof/>
          <w:lang w:val="nl-NL"/>
        </w:rPr>
        <w:t>in</w:t>
      </w:r>
      <w:r>
        <w:rPr>
          <w:noProof/>
        </w:rPr>
        <w:t xml:space="preserve"> the working environments </w:t>
      </w:r>
      <w:r>
        <w:rPr>
          <w:noProof/>
          <w:lang w:val="nl-NL"/>
        </w:rPr>
        <w:t>of</w:t>
      </w:r>
      <w:r>
        <w:rPr>
          <w:noProof/>
        </w:rPr>
        <w:t xml:space="preserve"> the EU institutions. The crisis did however delay the plenary vote from early April to mid-May. Nevertheless, the vote confirmed the position of the Budgetary Control Committee with the plenary showing </w:t>
      </w:r>
      <w:r>
        <w:rPr>
          <w:b/>
          <w:bCs/>
          <w:noProof/>
        </w:rPr>
        <w:t xml:space="preserve">clear support </w:t>
      </w:r>
      <w:r>
        <w:rPr>
          <w:b/>
          <w:bCs/>
          <w:noProof/>
          <w:lang w:val="nl-NL"/>
        </w:rPr>
        <w:t>f</w:t>
      </w:r>
      <w:r>
        <w:rPr>
          <w:b/>
          <w:bCs/>
          <w:noProof/>
        </w:rPr>
        <w:t>o</w:t>
      </w:r>
      <w:r>
        <w:rPr>
          <w:b/>
          <w:bCs/>
          <w:noProof/>
          <w:lang w:val="nl-NL"/>
        </w:rPr>
        <w:t>r</w:t>
      </w:r>
      <w:r>
        <w:rPr>
          <w:b/>
          <w:bCs/>
          <w:noProof/>
        </w:rPr>
        <w:t xml:space="preserve"> granting discharge to the Commissio</w:t>
      </w:r>
      <w:r>
        <w:rPr>
          <w:b/>
          <w:bCs/>
          <w:noProof/>
        </w:rPr>
        <w:t>n, thereby acknowledging that taxpayers’ money in the EU budget was overall spent well and in a proper manner.</w:t>
      </w:r>
    </w:p>
    <w:p w:rsidR="002A53BA" w:rsidRDefault="0044511F">
      <w:pPr>
        <w:pStyle w:val="BodyAA"/>
        <w:spacing w:before="120" w:after="120"/>
        <w:ind w:left="851"/>
        <w:jc w:val="both"/>
        <w:rPr>
          <w:noProof/>
        </w:rPr>
      </w:pPr>
      <w:r>
        <w:rPr>
          <w:b/>
          <w:bCs/>
          <w:noProof/>
        </w:rPr>
        <w:t>The Commission shares the main objectives expressed by the European Parliament and the Council</w:t>
      </w:r>
      <w:r>
        <w:rPr>
          <w:noProof/>
        </w:rPr>
        <w:t xml:space="preserve"> in the 2018 discharge procedure:</w:t>
      </w:r>
    </w:p>
    <w:p w:rsidR="002A53BA" w:rsidRDefault="0044511F">
      <w:pPr>
        <w:pStyle w:val="Default"/>
        <w:numPr>
          <w:ilvl w:val="0"/>
          <w:numId w:val="11"/>
        </w:numPr>
        <w:spacing w:before="120" w:after="120"/>
        <w:jc w:val="both"/>
        <w:rPr>
          <w:rFonts w:ascii="Times New Roman" w:hAnsi="Times New Roman"/>
          <w:noProof/>
        </w:rPr>
      </w:pPr>
      <w:r>
        <w:rPr>
          <w:rFonts w:ascii="Times New Roman" w:hAnsi="Times New Roman"/>
          <w:b/>
          <w:bCs/>
          <w:noProof/>
        </w:rPr>
        <w:t xml:space="preserve">EU funds should </w:t>
      </w:r>
      <w:r>
        <w:rPr>
          <w:rFonts w:ascii="Times New Roman" w:hAnsi="Times New Roman"/>
          <w:b/>
          <w:bCs/>
          <w:noProof/>
        </w:rPr>
        <w:t>be spent with the aim of achieving the objectives of spending programmes.</w:t>
      </w:r>
      <w:r>
        <w:rPr>
          <w:rFonts w:ascii="Times New Roman" w:hAnsi="Times New Roman"/>
          <w:noProof/>
        </w:rPr>
        <w:t xml:space="preserve"> Objectives are already set for the 2014-2020 period but may have to be adjusted for some programmes in view of the COVID-19 crisis. For the 2021-2027 spending programmes, objectives </w:t>
      </w:r>
      <w:r>
        <w:rPr>
          <w:rFonts w:ascii="Times New Roman" w:hAnsi="Times New Roman"/>
          <w:noProof/>
        </w:rPr>
        <w:t>should be reviewed to reflect the new political priorities and ambitions, reflect</w:t>
      </w:r>
      <w:r>
        <w:rPr>
          <w:rFonts w:ascii="Times New Roman" w:hAnsi="Times New Roman"/>
          <w:noProof/>
          <w:lang w:val="nl-NL"/>
        </w:rPr>
        <w:t>ing</w:t>
      </w:r>
      <w:r>
        <w:rPr>
          <w:rFonts w:ascii="Times New Roman" w:hAnsi="Times New Roman"/>
          <w:noProof/>
        </w:rPr>
        <w:t xml:space="preserve"> the impact of the COVID-19 crisis. </w:t>
      </w:r>
    </w:p>
    <w:p w:rsidR="002A53BA" w:rsidRDefault="0044511F">
      <w:pPr>
        <w:pStyle w:val="Default"/>
        <w:numPr>
          <w:ilvl w:val="0"/>
          <w:numId w:val="11"/>
        </w:numPr>
        <w:spacing w:before="120" w:after="120"/>
        <w:jc w:val="both"/>
        <w:rPr>
          <w:rFonts w:ascii="Times New Roman" w:hAnsi="Times New Roman"/>
          <w:noProof/>
        </w:rPr>
      </w:pPr>
      <w:r>
        <w:rPr>
          <w:rFonts w:ascii="Times New Roman" w:hAnsi="Times New Roman"/>
          <w:b/>
          <w:bCs/>
          <w:noProof/>
        </w:rPr>
        <w:t xml:space="preserve">EU funds should be spent in </w:t>
      </w:r>
      <w:r>
        <w:rPr>
          <w:rFonts w:ascii="Times New Roman" w:hAnsi="Times New Roman"/>
          <w:b/>
          <w:bCs/>
          <w:noProof/>
          <w:lang w:val="nl-NL"/>
        </w:rPr>
        <w:t>compliance with</w:t>
      </w:r>
      <w:r>
        <w:rPr>
          <w:rFonts w:ascii="Times New Roman" w:hAnsi="Times New Roman"/>
          <w:b/>
          <w:bCs/>
          <w:noProof/>
        </w:rPr>
        <w:t xml:space="preserve"> the rules</w:t>
      </w:r>
      <w:r>
        <w:rPr>
          <w:rFonts w:ascii="Times New Roman" w:hAnsi="Times New Roman"/>
          <w:noProof/>
        </w:rPr>
        <w:t xml:space="preserve">, i.e. payments to beneficiaries should be </w:t>
      </w:r>
      <w:r>
        <w:rPr>
          <w:rFonts w:ascii="Times New Roman" w:hAnsi="Times New Roman"/>
          <w:noProof/>
          <w:lang w:val="nl-NL"/>
        </w:rPr>
        <w:t>made</w:t>
      </w:r>
      <w:r>
        <w:rPr>
          <w:rFonts w:ascii="Times New Roman" w:hAnsi="Times New Roman"/>
          <w:noProof/>
        </w:rPr>
        <w:t xml:space="preserve"> in a legal and regular manner. In </w:t>
      </w:r>
      <w:r>
        <w:rPr>
          <w:rFonts w:ascii="Times New Roman" w:hAnsi="Times New Roman"/>
          <w:noProof/>
        </w:rPr>
        <w:t>cooperation with the bodies implementing the EU budget on the ground, the Commission will continue doing its utmost to strike an appropriate balance between checks before and after payments are made to beneficiaries – taking into account the new risk envir</w:t>
      </w:r>
      <w:r>
        <w:rPr>
          <w:rFonts w:ascii="Times New Roman" w:hAnsi="Times New Roman"/>
          <w:noProof/>
        </w:rPr>
        <w:t xml:space="preserve">onment resulting from the COVID-19 crisis. The aim is to achieve reasonable assurance that funds are spent properly without creating </w:t>
      </w:r>
      <w:r>
        <w:rPr>
          <w:rFonts w:ascii="Times New Roman" w:hAnsi="Times New Roman"/>
          <w:noProof/>
          <w:lang w:val="nl-NL"/>
        </w:rPr>
        <w:t>unnecessary</w:t>
      </w:r>
      <w:r>
        <w:rPr>
          <w:rFonts w:ascii="Times New Roman" w:hAnsi="Times New Roman"/>
          <w:noProof/>
        </w:rPr>
        <w:t xml:space="preserve"> administrative burdens </w:t>
      </w:r>
      <w:r>
        <w:rPr>
          <w:rFonts w:ascii="Times New Roman" w:hAnsi="Times New Roman"/>
          <w:noProof/>
          <w:lang w:val="nl-NL"/>
        </w:rPr>
        <w:t>for</w:t>
      </w:r>
      <w:r>
        <w:rPr>
          <w:rFonts w:ascii="Times New Roman" w:hAnsi="Times New Roman"/>
          <w:noProof/>
        </w:rPr>
        <w:t xml:space="preserve"> beneficiaries, or </w:t>
      </w:r>
      <w:r>
        <w:rPr>
          <w:rFonts w:ascii="Times New Roman" w:hAnsi="Times New Roman"/>
          <w:noProof/>
          <w:lang w:val="nl-NL"/>
        </w:rPr>
        <w:t>for</w:t>
      </w:r>
      <w:r>
        <w:rPr>
          <w:rFonts w:ascii="Times New Roman" w:hAnsi="Times New Roman"/>
          <w:noProof/>
        </w:rPr>
        <w:t xml:space="preserve"> the bodies implementing the EU budget</w:t>
      </w:r>
      <w:r>
        <w:rPr>
          <w:rFonts w:ascii="Times New Roman" w:hAnsi="Times New Roman"/>
          <w:noProof/>
          <w:lang w:val="nl-NL"/>
        </w:rPr>
        <w:t>, and to avoid high costs</w:t>
      </w:r>
      <w:r>
        <w:rPr>
          <w:rFonts w:ascii="Times New Roman" w:hAnsi="Times New Roman"/>
          <w:noProof/>
        </w:rPr>
        <w:t>.</w:t>
      </w:r>
    </w:p>
    <w:p w:rsidR="002A53BA" w:rsidRDefault="0044511F">
      <w:pPr>
        <w:pStyle w:val="BodyAA"/>
        <w:spacing w:before="120" w:after="120"/>
        <w:ind w:left="851"/>
        <w:jc w:val="both"/>
        <w:rPr>
          <w:noProof/>
        </w:rPr>
      </w:pPr>
      <w:r>
        <w:rPr>
          <w:noProof/>
        </w:rPr>
        <w:t xml:space="preserve">The Commission reports on these issues in its Integrated Financial and Accountability Reporting. Despite </w:t>
      </w:r>
      <w:r>
        <w:rPr>
          <w:noProof/>
          <w:lang w:val="nl-NL"/>
        </w:rPr>
        <w:t>the</w:t>
      </w:r>
      <w:r>
        <w:rPr>
          <w:noProof/>
        </w:rPr>
        <w:t xml:space="preserve"> challenges stemming from the COVID-19 crisis, </w:t>
      </w:r>
      <w:r>
        <w:rPr>
          <w:b/>
          <w:bCs/>
          <w:noProof/>
        </w:rPr>
        <w:t>the Commission will finali</w:t>
      </w:r>
      <w:r>
        <w:rPr>
          <w:b/>
          <w:bCs/>
          <w:noProof/>
          <w:lang w:val="nl-NL"/>
        </w:rPr>
        <w:t>s</w:t>
      </w:r>
      <w:r>
        <w:rPr>
          <w:b/>
          <w:bCs/>
          <w:noProof/>
        </w:rPr>
        <w:t xml:space="preserve">e its reporting for the financial year 2019 in respect of the deadlines </w:t>
      </w:r>
      <w:r>
        <w:rPr>
          <w:b/>
          <w:bCs/>
          <w:noProof/>
        </w:rPr>
        <w:t>set in the Financial Regulation</w:t>
      </w:r>
      <w:r>
        <w:rPr>
          <w:noProof/>
        </w:rPr>
        <w:t xml:space="preserve">, which will allow the political scrutiny of the Commission’s reporting to start without delay. </w:t>
      </w:r>
    </w:p>
    <w:p w:rsidR="002A53BA" w:rsidRDefault="0044511F">
      <w:pPr>
        <w:pStyle w:val="BodyAA"/>
        <w:spacing w:before="120" w:after="120"/>
        <w:ind w:left="851"/>
        <w:jc w:val="both"/>
        <w:rPr>
          <w:noProof/>
        </w:rPr>
      </w:pPr>
      <w:r>
        <w:rPr>
          <w:noProof/>
        </w:rPr>
        <w:t xml:space="preserve">The majority (75%) of EU funds </w:t>
      </w:r>
      <w:r>
        <w:rPr>
          <w:noProof/>
          <w:lang w:val="nl-NL"/>
        </w:rPr>
        <w:t>are</w:t>
      </w:r>
      <w:r>
        <w:rPr>
          <w:noProof/>
        </w:rPr>
        <w:t xml:space="preserve"> spent in Member States through so-called shared management. </w:t>
      </w:r>
      <w:r>
        <w:rPr>
          <w:b/>
          <w:bCs/>
          <w:noProof/>
        </w:rPr>
        <w:t xml:space="preserve">In the 2018 discharge procedure, </w:t>
      </w:r>
      <w:r>
        <w:rPr>
          <w:b/>
          <w:bCs/>
          <w:noProof/>
        </w:rPr>
        <w:t xml:space="preserve">the European Parliament and to a certain extent also the Council focused on several questions relating to shared management </w:t>
      </w:r>
      <w:r>
        <w:rPr>
          <w:noProof/>
        </w:rPr>
        <w:t>such as:</w:t>
      </w:r>
    </w:p>
    <w:p w:rsidR="002A53BA" w:rsidRDefault="0044511F">
      <w:pPr>
        <w:pStyle w:val="Default"/>
        <w:numPr>
          <w:ilvl w:val="0"/>
          <w:numId w:val="12"/>
        </w:numPr>
        <w:spacing w:before="120" w:after="120"/>
        <w:jc w:val="both"/>
        <w:rPr>
          <w:rFonts w:ascii="Times New Roman" w:hAnsi="Times New Roman"/>
          <w:noProof/>
        </w:rPr>
      </w:pPr>
      <w:r>
        <w:rPr>
          <w:rFonts w:ascii="Times New Roman" w:hAnsi="Times New Roman"/>
          <w:noProof/>
        </w:rPr>
        <w:lastRenderedPageBreak/>
        <w:t>How can the Commission help Member States who experience problems spending EU funds in a timely manner?</w:t>
      </w:r>
    </w:p>
    <w:p w:rsidR="002A53BA" w:rsidRDefault="0044511F">
      <w:pPr>
        <w:pStyle w:val="Default"/>
        <w:numPr>
          <w:ilvl w:val="0"/>
          <w:numId w:val="12"/>
        </w:numPr>
        <w:spacing w:before="120" w:after="120"/>
        <w:jc w:val="both"/>
        <w:rPr>
          <w:rFonts w:ascii="Times New Roman" w:hAnsi="Times New Roman"/>
          <w:noProof/>
        </w:rPr>
      </w:pPr>
      <w:r>
        <w:rPr>
          <w:rFonts w:ascii="Times New Roman" w:hAnsi="Times New Roman"/>
          <w:noProof/>
        </w:rPr>
        <w:t>Is the Member State</w:t>
      </w:r>
      <w:r>
        <w:rPr>
          <w:rFonts w:ascii="Times New Roman" w:hAnsi="Times New Roman"/>
          <w:noProof/>
        </w:rPr>
        <w:t>s’ reporting on control results and on performance indicators timely and of sufficient quality?</w:t>
      </w:r>
    </w:p>
    <w:p w:rsidR="002A53BA" w:rsidRDefault="0044511F">
      <w:pPr>
        <w:pStyle w:val="Default"/>
        <w:numPr>
          <w:ilvl w:val="0"/>
          <w:numId w:val="12"/>
        </w:numPr>
        <w:spacing w:before="120" w:after="120"/>
        <w:jc w:val="both"/>
        <w:rPr>
          <w:rFonts w:ascii="Times New Roman" w:hAnsi="Times New Roman"/>
          <w:noProof/>
        </w:rPr>
      </w:pPr>
      <w:r>
        <w:rPr>
          <w:rFonts w:ascii="Times New Roman" w:hAnsi="Times New Roman"/>
          <w:noProof/>
        </w:rPr>
        <w:t>How should Member States implement the new rules on conflicts of interest, which entered into force with the new Financial Regulation in 2018?</w:t>
      </w:r>
    </w:p>
    <w:p w:rsidR="002A53BA" w:rsidRDefault="0044511F">
      <w:pPr>
        <w:pStyle w:val="Default"/>
        <w:numPr>
          <w:ilvl w:val="0"/>
          <w:numId w:val="12"/>
        </w:numPr>
        <w:spacing w:before="120" w:after="120"/>
        <w:jc w:val="both"/>
        <w:rPr>
          <w:rFonts w:ascii="Times New Roman" w:hAnsi="Times New Roman"/>
          <w:noProof/>
        </w:rPr>
      </w:pPr>
      <w:r>
        <w:rPr>
          <w:rFonts w:ascii="Times New Roman" w:hAnsi="Times New Roman"/>
          <w:noProof/>
        </w:rPr>
        <w:t>How can more info</w:t>
      </w:r>
      <w:r>
        <w:rPr>
          <w:rFonts w:ascii="Times New Roman" w:hAnsi="Times New Roman"/>
          <w:noProof/>
        </w:rPr>
        <w:t>rmation be made available on the ultimate beneficiaries of EU funds?</w:t>
      </w:r>
    </w:p>
    <w:p w:rsidR="002A53BA" w:rsidRDefault="0044511F">
      <w:pPr>
        <w:pStyle w:val="BodyAA"/>
        <w:spacing w:before="120" w:after="120"/>
        <w:ind w:left="851"/>
        <w:jc w:val="both"/>
        <w:rPr>
          <w:noProof/>
        </w:rPr>
      </w:pPr>
      <w:r>
        <w:rPr>
          <w:noProof/>
        </w:rPr>
        <w:t xml:space="preserve">These issues are reflected in the requests </w:t>
      </w:r>
      <w:r>
        <w:rPr>
          <w:noProof/>
          <w:lang w:val="nl-NL"/>
        </w:rPr>
        <w:t>that</w:t>
      </w:r>
      <w:r>
        <w:rPr>
          <w:noProof/>
        </w:rPr>
        <w:t xml:space="preserve"> the European Parliament and the Council made in the 2018 discharge procedure, and which the Commission is now following up. The Commission </w:t>
      </w:r>
      <w:r>
        <w:rPr>
          <w:noProof/>
        </w:rPr>
        <w:t>can address some concerns by taking action within the existing rules and resources, e.g. by issuing guidance to Member States. In other cases, the Commission is analy</w:t>
      </w:r>
      <w:r>
        <w:rPr>
          <w:noProof/>
          <w:lang w:val="nl-NL"/>
        </w:rPr>
        <w:t>s</w:t>
      </w:r>
      <w:r>
        <w:rPr>
          <w:noProof/>
        </w:rPr>
        <w:t>ing if changes in legislation are required to fully meet the requests made by the dischar</w:t>
      </w:r>
      <w:r>
        <w:rPr>
          <w:noProof/>
        </w:rPr>
        <w:t xml:space="preserve">ge authority, e.g. to obtain detailed information on </w:t>
      </w:r>
      <w:r>
        <w:rPr>
          <w:noProof/>
          <w:lang w:val="nl-NL"/>
        </w:rPr>
        <w:t>beneficial owners of recipients</w:t>
      </w:r>
      <w:r>
        <w:rPr>
          <w:noProof/>
        </w:rPr>
        <w:t xml:space="preserve"> of EU funds. </w:t>
      </w:r>
    </w:p>
    <w:p w:rsidR="002A53BA" w:rsidRDefault="0044511F">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In its 2018 discharge resolution, the European Parliament also stresses </w:t>
      </w:r>
      <w:r>
        <w:rPr>
          <w:rFonts w:ascii="Times New Roman" w:hAnsi="Times New Roman"/>
          <w:b/>
          <w:bCs/>
          <w:noProof/>
        </w:rPr>
        <w:t xml:space="preserve">that respect for fundamental values, including the rule of law, is an essential </w:t>
      </w:r>
      <w:r>
        <w:rPr>
          <w:rFonts w:ascii="Times New Roman" w:hAnsi="Times New Roman"/>
          <w:b/>
          <w:bCs/>
          <w:noProof/>
        </w:rPr>
        <w:t>precondition for sound financial management and effective EU funding</w:t>
      </w:r>
      <w:r>
        <w:rPr>
          <w:rFonts w:ascii="Times New Roman" w:hAnsi="Times New Roman"/>
          <w:noProof/>
        </w:rPr>
        <w:t>. The Commission agrees</w:t>
      </w:r>
      <w:r>
        <w:rPr>
          <w:rFonts w:ascii="Times New Roman" w:hAnsi="Times New Roman"/>
          <w:noProof/>
          <w:lang w:val="nl-NL"/>
        </w:rPr>
        <w:t xml:space="preserve"> that </w:t>
      </w:r>
      <w:r>
        <w:rPr>
          <w:rFonts w:ascii="Times New Roman" w:hAnsi="Times New Roman"/>
          <w:noProof/>
        </w:rPr>
        <w:t>the EU budget should be spent in accordance with applicable rules, and mechanisms should be in place to protect the EU budget, also in case of generalised defi</w:t>
      </w:r>
      <w:r>
        <w:rPr>
          <w:rFonts w:ascii="Times New Roman" w:hAnsi="Times New Roman"/>
          <w:noProof/>
        </w:rPr>
        <w:t>ciencies as regards the rule of law in Member States.</w:t>
      </w:r>
    </w:p>
    <w:p w:rsidR="002A53BA" w:rsidRDefault="0044511F">
      <w:pPr>
        <w:pStyle w:val="BodyAA"/>
        <w:spacing w:before="120" w:after="120"/>
        <w:ind w:left="851"/>
        <w:jc w:val="both"/>
        <w:rPr>
          <w:noProof/>
        </w:rPr>
      </w:pPr>
      <w:r>
        <w:rPr>
          <w:b/>
          <w:bCs/>
          <w:noProof/>
        </w:rPr>
        <w:t>This report provides a summary of actions taken by the Commission in response to the main requests made by the European Parliament and the Council in the 2018 discharge procedure.</w:t>
      </w:r>
      <w:r>
        <w:rPr>
          <w:noProof/>
        </w:rPr>
        <w:t xml:space="preserve"> Where relevant, it als</w:t>
      </w:r>
      <w:r>
        <w:rPr>
          <w:noProof/>
        </w:rPr>
        <w:t>o explains the challenges</w:t>
      </w:r>
      <w:r>
        <w:rPr>
          <w:noProof/>
          <w:lang w:val="nl-NL"/>
        </w:rPr>
        <w:t xml:space="preserve"> </w:t>
      </w:r>
      <w:r>
        <w:rPr>
          <w:noProof/>
        </w:rPr>
        <w:t>the Commission will face in addressing some of these concerns. When the 2019 discharge procedure begins later in the year, the Commission will provide more detailed and updated information on its follow-up actions.</w:t>
      </w:r>
    </w:p>
    <w:p w:rsidR="002A53BA" w:rsidRDefault="0044511F">
      <w:pPr>
        <w:pStyle w:val="BodyAA"/>
        <w:spacing w:before="120" w:after="120"/>
        <w:ind w:left="851"/>
        <w:jc w:val="both"/>
        <w:rPr>
          <w:noProof/>
        </w:rPr>
      </w:pPr>
      <w:r>
        <w:rPr>
          <w:noProof/>
        </w:rPr>
        <w:t>The scope for a</w:t>
      </w:r>
      <w:r>
        <w:rPr>
          <w:noProof/>
        </w:rPr>
        <w:t xml:space="preserve">ction will naturally also depend on the outcome of the ongoing negotiations on the next Multiannual Financial Framework and the </w:t>
      </w:r>
      <w:r>
        <w:rPr>
          <w:noProof/>
          <w:lang w:val="nl-NL"/>
        </w:rPr>
        <w:t>COVID-19</w:t>
      </w:r>
      <w:r>
        <w:rPr>
          <w:noProof/>
        </w:rPr>
        <w:t xml:space="preserve"> recovery</w:t>
      </w:r>
      <w:r>
        <w:rPr>
          <w:noProof/>
          <w:lang w:val="nl-NL"/>
        </w:rPr>
        <w:t xml:space="preserve"> package</w:t>
      </w:r>
      <w:r>
        <w:rPr>
          <w:noProof/>
        </w:rPr>
        <w:t xml:space="preserve">. </w:t>
      </w:r>
      <w:r>
        <w:rPr>
          <w:noProof/>
          <w:lang w:val="nl-NL"/>
        </w:rPr>
        <w:t>P</w:t>
      </w:r>
      <w:r>
        <w:rPr>
          <w:noProof/>
        </w:rPr>
        <w:t>ragmatic and open cooperation between all stakeholders involved in decision-making, implementation a</w:t>
      </w:r>
      <w:r>
        <w:rPr>
          <w:noProof/>
        </w:rPr>
        <w:t>nd control of the EU budget will be essential to achieve an EU budget which supports those that need it the most, pushes for investment and reform, and strengthens the economy by focusing on common priorities such as the European Green Deal and digitali</w:t>
      </w:r>
      <w:r>
        <w:rPr>
          <w:noProof/>
          <w:lang w:val="nl-NL"/>
        </w:rPr>
        <w:t>s</w:t>
      </w:r>
      <w:r>
        <w:rPr>
          <w:noProof/>
        </w:rPr>
        <w:t>at</w:t>
      </w:r>
      <w:r>
        <w:rPr>
          <w:noProof/>
        </w:rPr>
        <w:t xml:space="preserve">ion. </w:t>
      </w:r>
    </w:p>
    <w:p w:rsidR="002A53BA" w:rsidRDefault="0044511F">
      <w:pPr>
        <w:pStyle w:val="CorpoA"/>
        <w:keepNext/>
        <w:keepLines/>
        <w:numPr>
          <w:ilvl w:val="0"/>
          <w:numId w:val="13"/>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Rule of law and fundamental rights</w:t>
      </w:r>
    </w:p>
    <w:p w:rsidR="002A53BA" w:rsidRDefault="0044511F">
      <w:pPr>
        <w:pStyle w:val="BodyAA"/>
        <w:spacing w:before="120" w:after="120"/>
        <w:ind w:left="855"/>
        <w:jc w:val="both"/>
        <w:rPr>
          <w:noProof/>
        </w:rPr>
      </w:pPr>
      <w:r>
        <w:rPr>
          <w:b/>
          <w:bCs/>
          <w:noProof/>
        </w:rPr>
        <w:t>Strengthening the rule of law in the Union is, and must remain, a key objective for all. The Commission set out several concrete actions for the short and medium term in July 2019</w:t>
      </w:r>
      <w:r>
        <w:rPr>
          <w:noProof/>
          <w:vertAlign w:val="superscript"/>
          <w:lang w:val="nl-NL"/>
        </w:rPr>
        <w:footnoteReference w:id="2"/>
      </w:r>
      <w:r>
        <w:rPr>
          <w:noProof/>
        </w:rPr>
        <w:t xml:space="preserve"> such as the preparation of an annu</w:t>
      </w:r>
      <w:r>
        <w:rPr>
          <w:noProof/>
        </w:rPr>
        <w:t xml:space="preserve">al Rule of Law Report, developing further the EU Justice Scoreboard and strengthening the dialogue with other EU institutions, Member States and stakeholders. The annual Rule of Law Report is one of the major initiatives in the Commission’s Work Programme </w:t>
      </w:r>
      <w:r>
        <w:rPr>
          <w:noProof/>
        </w:rPr>
        <w:t xml:space="preserve">for 2020 and will be published for the first time in the autumn of 2020. </w:t>
      </w:r>
    </w:p>
    <w:p w:rsidR="002A53BA" w:rsidRDefault="0044511F">
      <w:pPr>
        <w:pStyle w:val="BodyAA"/>
        <w:spacing w:before="120" w:after="120"/>
        <w:ind w:left="855"/>
        <w:jc w:val="both"/>
        <w:rPr>
          <w:noProof/>
        </w:rPr>
      </w:pPr>
      <w:r>
        <w:rPr>
          <w:noProof/>
        </w:rPr>
        <w:lastRenderedPageBreak/>
        <w:t xml:space="preserve">Actions will have to be developed further as a key work strand for the Commission, the European Parliament and the Council. </w:t>
      </w:r>
    </w:p>
    <w:p w:rsidR="002A53BA" w:rsidRDefault="0044511F">
      <w:pPr>
        <w:pStyle w:val="BodyAA"/>
        <w:spacing w:before="120" w:after="120"/>
        <w:ind w:left="851"/>
        <w:jc w:val="both"/>
        <w:rPr>
          <w:b/>
          <w:bCs/>
          <w:noProof/>
        </w:rPr>
      </w:pPr>
      <w:r>
        <w:rPr>
          <w:noProof/>
        </w:rPr>
        <w:t>Already in 2018, as part of the legislative package under</w:t>
      </w:r>
      <w:r>
        <w:rPr>
          <w:noProof/>
        </w:rPr>
        <w:t xml:space="preserve">lying the Multiannual Financial Framework 2021-2027, the Commission put forward a </w:t>
      </w:r>
      <w:r>
        <w:rPr>
          <w:b/>
          <w:bCs/>
          <w:noProof/>
        </w:rPr>
        <w:t>proposal</w:t>
      </w:r>
      <w:r>
        <w:rPr>
          <w:noProof/>
        </w:rPr>
        <w:t xml:space="preserve"> </w:t>
      </w:r>
      <w:r>
        <w:rPr>
          <w:b/>
          <w:bCs/>
          <w:noProof/>
        </w:rPr>
        <w:t>on the protection of the Union’s budget in the case of generalised deficiencies as regards the rule of law in Member States</w:t>
      </w:r>
      <w:r>
        <w:rPr>
          <w:noProof/>
          <w:vertAlign w:val="superscript"/>
        </w:rPr>
        <w:footnoteReference w:id="3"/>
      </w:r>
      <w:r>
        <w:rPr>
          <w:noProof/>
        </w:rPr>
        <w:t>. In its proposal, the Commission underli</w:t>
      </w:r>
      <w:r>
        <w:rPr>
          <w:noProof/>
        </w:rPr>
        <w:t>nes that the Union is a community of law and its values constitute the very basis of its existence. They permeate its entire legal and institutional structure and all its policies and programmes. Respect for these values must be ensured</w:t>
      </w:r>
      <w:r>
        <w:rPr>
          <w:noProof/>
          <w:lang w:val="nl-NL"/>
        </w:rPr>
        <w:t xml:space="preserve"> therefore</w:t>
      </w:r>
      <w:r>
        <w:rPr>
          <w:noProof/>
        </w:rPr>
        <w:t xml:space="preserve"> throughou</w:t>
      </w:r>
      <w:r>
        <w:rPr>
          <w:noProof/>
        </w:rPr>
        <w:t xml:space="preserve">t all Union policies. This includes the EU budget, where respect for fundamental values is an essential precondition for sound financial management and effective EU funding. The Commission </w:t>
      </w:r>
      <w:r>
        <w:rPr>
          <w:b/>
          <w:bCs/>
          <w:noProof/>
        </w:rPr>
        <w:t>welcomes the European Parliament’s support for its proposal.</w:t>
      </w:r>
    </w:p>
    <w:p w:rsidR="002A53BA" w:rsidRDefault="0044511F">
      <w:pPr>
        <w:pStyle w:val="BodyAA"/>
        <w:spacing w:before="120" w:after="120"/>
        <w:ind w:left="851"/>
        <w:jc w:val="both"/>
        <w:rPr>
          <w:noProof/>
        </w:rPr>
      </w:pPr>
      <w:r>
        <w:rPr>
          <w:noProof/>
        </w:rPr>
        <w:t>The Co</w:t>
      </w:r>
      <w:r>
        <w:rPr>
          <w:noProof/>
        </w:rPr>
        <w:t xml:space="preserve">mmission also </w:t>
      </w:r>
      <w:r>
        <w:rPr>
          <w:b/>
          <w:bCs/>
          <w:noProof/>
        </w:rPr>
        <w:t>welcomes the European Parliament’s support for the European Public Prosecutor’s Office (EPPO)</w:t>
      </w:r>
      <w:r>
        <w:rPr>
          <w:noProof/>
        </w:rPr>
        <w:t>, which marks a fundamental development in the protection of the Union’s financial interests. The EPPO will have the power to investigate and prosecu</w:t>
      </w:r>
      <w:r>
        <w:rPr>
          <w:noProof/>
        </w:rPr>
        <w:t>te criminal cases affecting the EU budget, such as corruption or fraud with EU funds, or cross-border VAT fraud. While being aware of concerns for the financing of the EPPO, the Commission recalls that the existing budget reflects extensive discussions wit</w:t>
      </w:r>
      <w:r>
        <w:rPr>
          <w:noProof/>
        </w:rPr>
        <w:t xml:space="preserve">h the budgetary authority. </w:t>
      </w:r>
    </w:p>
    <w:p w:rsidR="002A53BA" w:rsidRDefault="0044511F">
      <w:pPr>
        <w:pStyle w:val="BodyAA"/>
        <w:spacing w:before="120" w:after="120"/>
        <w:ind w:left="851"/>
        <w:jc w:val="both"/>
        <w:rPr>
          <w:noProof/>
        </w:rPr>
      </w:pPr>
      <w:r>
        <w:rPr>
          <w:noProof/>
        </w:rPr>
        <w:t xml:space="preserve">In the domain of the </w:t>
      </w:r>
      <w:r>
        <w:rPr>
          <w:b/>
          <w:bCs/>
          <w:noProof/>
        </w:rPr>
        <w:t>Common Agricultural Policy</w:t>
      </w:r>
      <w:r>
        <w:rPr>
          <w:noProof/>
        </w:rPr>
        <w:t xml:space="preserve">, the European Parliament requested the Commission to develop – together with the Member States – effective legal instruments to respect </w:t>
      </w:r>
      <w:r>
        <w:rPr>
          <w:noProof/>
          <w:lang w:val="nl-NL"/>
        </w:rPr>
        <w:t xml:space="preserve">the </w:t>
      </w:r>
      <w:r>
        <w:rPr>
          <w:noProof/>
        </w:rPr>
        <w:t>rule of law in relation to alleged cases</w:t>
      </w:r>
      <w:r>
        <w:rPr>
          <w:noProof/>
        </w:rPr>
        <w:t xml:space="preserve"> of so-called </w:t>
      </w:r>
      <w:r>
        <w:rPr>
          <w:b/>
          <w:bCs/>
          <w:noProof/>
        </w:rPr>
        <w:t>‘land-grabbing’</w:t>
      </w:r>
      <w:r>
        <w:rPr>
          <w:noProof/>
        </w:rPr>
        <w:t>. It is first and foremost for the relevant Member States’ authorities to act on issues concerning land ownership. However, whenever there are allegations of particular malpractices in individual Member States, the Commission l</w:t>
      </w:r>
      <w:r>
        <w:rPr>
          <w:noProof/>
        </w:rPr>
        <w:t>ooks into these cases very carefully, as it has already done or is doing following allegations in several Member States, notably Slovakia, the Czech Republic and Hungary. The situation can be improved if the Commission’s proposal on the rule of law for the</w:t>
      </w:r>
      <w:r>
        <w:rPr>
          <w:noProof/>
        </w:rPr>
        <w:t xml:space="preserve"> next Multiannual Financial Framework is adopted by the European Parliament and Council.</w:t>
      </w:r>
    </w:p>
    <w:p w:rsidR="002A53BA" w:rsidRDefault="0044511F">
      <w:pPr>
        <w:pStyle w:val="BodyAA"/>
        <w:spacing w:before="120" w:after="120"/>
        <w:ind w:left="851"/>
        <w:jc w:val="both"/>
        <w:rPr>
          <w:noProof/>
        </w:rPr>
      </w:pPr>
      <w:r>
        <w:rPr>
          <w:noProof/>
        </w:rPr>
        <w:t xml:space="preserve">In the domain of </w:t>
      </w:r>
      <w:r>
        <w:rPr>
          <w:b/>
          <w:bCs/>
          <w:noProof/>
        </w:rPr>
        <w:t>external aid</w:t>
      </w:r>
      <w:r>
        <w:rPr>
          <w:noProof/>
        </w:rPr>
        <w:t xml:space="preserve">, the European Parliament insisted that the Commission ensure that the </w:t>
      </w:r>
      <w:r>
        <w:rPr>
          <w:b/>
          <w:bCs/>
          <w:noProof/>
        </w:rPr>
        <w:t xml:space="preserve">delivery of external aid is subject to the rule of law and respect for human rights </w:t>
      </w:r>
      <w:r>
        <w:rPr>
          <w:noProof/>
        </w:rPr>
        <w:t>in recipient countries. The EU is indeed firmly committed to the fundamental values of human rights, democracy and rule of law, which are essential elements of all the EU’s</w:t>
      </w:r>
      <w:r>
        <w:rPr>
          <w:noProof/>
        </w:rPr>
        <w:t xml:space="preserve"> partnerships and cooperation agreements with third countries. Following the Consensus for Development, the EU and the EU Member States are committed to the application of a rights-based approach, encompassing all human rights, to all development cooperati</w:t>
      </w:r>
      <w:r>
        <w:rPr>
          <w:noProof/>
        </w:rPr>
        <w:t>on. The EU can work with and through governments, in which case a financing agreement is signed. Such agreements include a clause that enables the Commission to suspend or to terminate the agreement in case of breach of an obligation relating to respect fo</w:t>
      </w:r>
      <w:r>
        <w:rPr>
          <w:noProof/>
        </w:rPr>
        <w:t>r human rights, democratic principles and the rule of law. During implementation, the EU aims at close coordination in the assessment and monitoring of fundamental values, referring to the analysis and priorities of the Human Rights country strategy and fe</w:t>
      </w:r>
      <w:r>
        <w:rPr>
          <w:noProof/>
        </w:rPr>
        <w:t xml:space="preserve">eding this follow-up into its political dialogue with the partner country. Similar clauses are also included in agreements signed with international organisations, when the EU works </w:t>
      </w:r>
      <w:r>
        <w:rPr>
          <w:noProof/>
        </w:rPr>
        <w:lastRenderedPageBreak/>
        <w:t>with and through them to implement external assistance. Finally, contractu</w:t>
      </w:r>
      <w:r>
        <w:rPr>
          <w:noProof/>
        </w:rPr>
        <w:t>al and financial procedures also seek to ensure value for money and prevent rent capture or embezzlement by specific interest groups.   </w:t>
      </w:r>
    </w:p>
    <w:p w:rsidR="002A53BA" w:rsidRDefault="0044511F">
      <w:pPr>
        <w:pStyle w:val="BodyAA"/>
        <w:spacing w:before="120" w:after="120"/>
        <w:ind w:left="851"/>
        <w:jc w:val="both"/>
        <w:rPr>
          <w:noProof/>
        </w:rPr>
      </w:pPr>
      <w:r>
        <w:rPr>
          <w:noProof/>
        </w:rPr>
        <w:t xml:space="preserve">The European Parliament expressed concern about media reports from projects in </w:t>
      </w:r>
      <w:r>
        <w:rPr>
          <w:b/>
          <w:bCs/>
          <w:noProof/>
        </w:rPr>
        <w:t>Eritrea</w:t>
      </w:r>
      <w:r>
        <w:rPr>
          <w:noProof/>
        </w:rPr>
        <w:t>. The Commission firmly rejects a</w:t>
      </w:r>
      <w:r>
        <w:rPr>
          <w:noProof/>
        </w:rPr>
        <w:t>llegations, is committed to close monitoring of ongoing projects</w:t>
      </w:r>
      <w:r>
        <w:rPr>
          <w:noProof/>
          <w:lang w:val="nl-NL"/>
        </w:rPr>
        <w:t xml:space="preserve"> </w:t>
      </w:r>
      <w:r>
        <w:rPr>
          <w:noProof/>
        </w:rPr>
        <w:t>and will report back to the budgetary authority on its engagement in the country. On the specific project </w:t>
      </w:r>
      <w:r>
        <w:rPr>
          <w:b/>
          <w:bCs/>
          <w:noProof/>
        </w:rPr>
        <w:t>Reconnecting Eritrea and Ethiopia</w:t>
      </w:r>
      <w:r>
        <w:rPr>
          <w:noProof/>
        </w:rPr>
        <w:t xml:space="preserve"> </w:t>
      </w:r>
      <w:r>
        <w:rPr>
          <w:b/>
          <w:bCs/>
          <w:noProof/>
        </w:rPr>
        <w:t>through rehabilitation of the main arterial roads i</w:t>
      </w:r>
      <w:r>
        <w:rPr>
          <w:b/>
          <w:bCs/>
          <w:noProof/>
        </w:rPr>
        <w:t>n Eritrea – so-called ‘Roads Project’</w:t>
      </w:r>
      <w:r>
        <w:rPr>
          <w:noProof/>
        </w:rPr>
        <w:t xml:space="preserve">, the EU Delegation </w:t>
      </w:r>
      <w:r>
        <w:rPr>
          <w:noProof/>
          <w:lang w:val="nl-NL"/>
        </w:rPr>
        <w:t xml:space="preserve">ensures </w:t>
      </w:r>
      <w:r>
        <w:rPr>
          <w:noProof/>
        </w:rPr>
        <w:t>regular follow</w:t>
      </w:r>
      <w:r>
        <w:rPr>
          <w:noProof/>
          <w:lang w:val="nl-NL"/>
        </w:rPr>
        <w:t>-</w:t>
      </w:r>
      <w:r>
        <w:rPr>
          <w:noProof/>
        </w:rPr>
        <w:t xml:space="preserve">up, including through several field missions with UNOPS, one together with EU Heads of Mission in February 2020. The implementation is in line with EU standards on project and </w:t>
      </w:r>
      <w:r>
        <w:rPr>
          <w:noProof/>
        </w:rPr>
        <w:t>financial management. </w:t>
      </w:r>
    </w:p>
    <w:p w:rsidR="002A53BA" w:rsidRDefault="0044511F">
      <w:pPr>
        <w:pStyle w:val="BodyAA"/>
        <w:spacing w:before="120" w:after="120"/>
        <w:ind w:left="851"/>
        <w:jc w:val="both"/>
        <w:rPr>
          <w:noProof/>
        </w:rPr>
      </w:pPr>
      <w:r>
        <w:rPr>
          <w:noProof/>
        </w:rPr>
        <w:t xml:space="preserve">In response to the European Parliament’s concerns for </w:t>
      </w:r>
      <w:r>
        <w:rPr>
          <w:b/>
          <w:bCs/>
          <w:noProof/>
        </w:rPr>
        <w:t>vulnerable migrants in the</w:t>
      </w:r>
      <w:r>
        <w:rPr>
          <w:noProof/>
        </w:rPr>
        <w:t xml:space="preserve"> </w:t>
      </w:r>
      <w:r>
        <w:rPr>
          <w:b/>
          <w:bCs/>
          <w:noProof/>
        </w:rPr>
        <w:t>Hotspots</w:t>
      </w:r>
      <w:r>
        <w:rPr>
          <w:noProof/>
        </w:rPr>
        <w:t xml:space="preserve">, the Commission points out that it receives, on a regular basis, reports on the activities of the implementing partners on the ground that benefit from EU funding. </w:t>
      </w:r>
      <w:r>
        <w:rPr>
          <w:noProof/>
          <w:lang w:val="nl-NL"/>
        </w:rPr>
        <w:t>The Commission itself</w:t>
      </w:r>
      <w:r>
        <w:rPr>
          <w:noProof/>
        </w:rPr>
        <w:t xml:space="preserve"> also monitors the implementation of the EU-funded actions on the grou</w:t>
      </w:r>
      <w:r>
        <w:rPr>
          <w:noProof/>
        </w:rPr>
        <w:t>nd and participates in technical meetings to monitor the progress of the implementation of the agreed strategies with the authorities. Projects funded by the EU in Greece include the outreach</w:t>
      </w:r>
      <w:r>
        <w:rPr>
          <w:noProof/>
          <w:lang w:val="nl-NL"/>
        </w:rPr>
        <w:t xml:space="preserve"> activities, the</w:t>
      </w:r>
      <w:r>
        <w:rPr>
          <w:noProof/>
        </w:rPr>
        <w:t xml:space="preserve"> identification</w:t>
      </w:r>
      <w:r>
        <w:rPr>
          <w:noProof/>
          <w:lang w:val="nl-NL"/>
        </w:rPr>
        <w:t xml:space="preserve"> and provision of</w:t>
      </w:r>
      <w:r>
        <w:rPr>
          <w:noProof/>
        </w:rPr>
        <w:t xml:space="preserve"> protection servi</w:t>
      </w:r>
      <w:r>
        <w:rPr>
          <w:noProof/>
        </w:rPr>
        <w:t>ces</w:t>
      </w:r>
      <w:r>
        <w:rPr>
          <w:noProof/>
          <w:lang w:val="nl-NL"/>
        </w:rPr>
        <w:t xml:space="preserve"> to vulnerable groups</w:t>
      </w:r>
      <w:r>
        <w:rPr>
          <w:noProof/>
        </w:rPr>
        <w:t>, accommodation and legal aid, in particular to vulnerable persons, e.g. sexual and gender-based violence victims and unaccompanied minors.</w:t>
      </w:r>
    </w:p>
    <w:p w:rsidR="002A53BA" w:rsidRDefault="0044511F">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Measuring performance of EU spending programmes</w:t>
      </w:r>
    </w:p>
    <w:p w:rsidR="002A53BA" w:rsidRDefault="0044511F">
      <w:pPr>
        <w:pStyle w:val="BodyAA"/>
        <w:spacing w:before="120" w:after="120"/>
        <w:ind w:left="851"/>
        <w:jc w:val="both"/>
        <w:rPr>
          <w:noProof/>
        </w:rPr>
      </w:pPr>
      <w:r>
        <w:rPr>
          <w:noProof/>
        </w:rPr>
        <w:t>The EU budget is primarily an investment bud</w:t>
      </w:r>
      <w:r>
        <w:rPr>
          <w:noProof/>
        </w:rPr>
        <w:t xml:space="preserve">get. Amounting to roughly 1% of EU gross national income, and representing around 2% of all EU public spending, it aims to complement national budgets and to implement commonly agreed priorities. Unlike national budgets, the EU budget is mainly focused on </w:t>
      </w:r>
      <w:r>
        <w:rPr>
          <w:noProof/>
        </w:rPr>
        <w:t>supporting strategic investments over the medium to longer term, and on using its leverage to catalyse investment from other public and private sources.</w:t>
      </w:r>
    </w:p>
    <w:p w:rsidR="002A53BA" w:rsidRDefault="0044511F">
      <w:pPr>
        <w:pStyle w:val="Default"/>
        <w:spacing w:before="120" w:after="120"/>
        <w:ind w:left="851"/>
        <w:jc w:val="both"/>
        <w:rPr>
          <w:rFonts w:ascii="Times New Roman" w:eastAsia="Times New Roman" w:hAnsi="Times New Roman" w:cs="Times New Roman"/>
          <w:noProof/>
        </w:rPr>
      </w:pPr>
      <w:r>
        <w:rPr>
          <w:rFonts w:ascii="Times New Roman" w:hAnsi="Times New Roman"/>
          <w:noProof/>
        </w:rPr>
        <w:t>The European Parliament notes that</w:t>
      </w:r>
      <w:r>
        <w:rPr>
          <w:rFonts w:ascii="Times New Roman" w:hAnsi="Times New Roman"/>
          <w:b/>
          <w:bCs/>
          <w:noProof/>
        </w:rPr>
        <w:t xml:space="preserve"> measuring the achievement of Union priorities, policies and programm</w:t>
      </w:r>
      <w:r>
        <w:rPr>
          <w:rFonts w:ascii="Times New Roman" w:hAnsi="Times New Roman"/>
          <w:b/>
          <w:bCs/>
          <w:noProof/>
        </w:rPr>
        <w:t xml:space="preserve">es is challenging but effective performance monitoring is essential </w:t>
      </w:r>
      <w:r>
        <w:rPr>
          <w:rFonts w:ascii="Times New Roman" w:hAnsi="Times New Roman"/>
          <w:noProof/>
        </w:rPr>
        <w:t>to grasp the situation, identify emerging issues, and take corrective actions when the objectives are not met or in cases where the outcomes of one Union policy could have an adverse impac</w:t>
      </w:r>
      <w:r>
        <w:rPr>
          <w:rFonts w:ascii="Times New Roman" w:hAnsi="Times New Roman"/>
          <w:noProof/>
        </w:rPr>
        <w:t xml:space="preserve">t on achieving the set goals of another policy. The Commission concurs and appreciates the European Parliament and the Council’s support </w:t>
      </w:r>
      <w:r>
        <w:rPr>
          <w:rFonts w:ascii="Times New Roman" w:hAnsi="Times New Roman"/>
          <w:noProof/>
          <w:lang w:val="nl-NL"/>
        </w:rPr>
        <w:t>for</w:t>
      </w:r>
      <w:r>
        <w:rPr>
          <w:rFonts w:ascii="Times New Roman" w:hAnsi="Times New Roman"/>
          <w:noProof/>
        </w:rPr>
        <w:t xml:space="preserve"> further improv</w:t>
      </w:r>
      <w:r>
        <w:rPr>
          <w:rFonts w:ascii="Times New Roman" w:hAnsi="Times New Roman"/>
          <w:noProof/>
          <w:lang w:val="nl-NL"/>
        </w:rPr>
        <w:t>ing</w:t>
      </w:r>
      <w:r>
        <w:rPr>
          <w:rFonts w:ascii="Times New Roman" w:hAnsi="Times New Roman"/>
          <w:noProof/>
        </w:rPr>
        <w:t xml:space="preserve"> performance frameworks and reporting.  </w:t>
      </w:r>
    </w:p>
    <w:p w:rsidR="002A53BA" w:rsidRDefault="0044511F">
      <w:pPr>
        <w:pStyle w:val="Default"/>
        <w:spacing w:before="120" w:after="120"/>
        <w:ind w:left="851"/>
        <w:jc w:val="both"/>
        <w:rPr>
          <w:rFonts w:ascii="Times New Roman" w:eastAsia="Times New Roman" w:hAnsi="Times New Roman" w:cs="Times New Roman"/>
          <w:noProof/>
        </w:rPr>
      </w:pPr>
      <w:r>
        <w:rPr>
          <w:rFonts w:ascii="Times New Roman" w:hAnsi="Times New Roman"/>
          <w:b/>
          <w:bCs/>
          <w:noProof/>
        </w:rPr>
        <w:t>The EU budget already has an advanced framework for measu</w:t>
      </w:r>
      <w:r>
        <w:rPr>
          <w:rFonts w:ascii="Times New Roman" w:hAnsi="Times New Roman"/>
          <w:b/>
          <w:bCs/>
          <w:noProof/>
        </w:rPr>
        <w:t>ring and reporting on performance</w:t>
      </w:r>
      <w:r>
        <w:rPr>
          <w:rFonts w:ascii="Times New Roman" w:hAnsi="Times New Roman"/>
          <w:b/>
          <w:bCs/>
          <w:noProof/>
          <w:lang w:val="nl-NL"/>
        </w:rPr>
        <w:t xml:space="preserve"> and evaluation</w:t>
      </w:r>
      <w:r>
        <w:rPr>
          <w:rFonts w:ascii="Times New Roman" w:hAnsi="Times New Roman"/>
          <w:noProof/>
        </w:rPr>
        <w:t xml:space="preserve">, with clear objectives and indicators. This has been confirmed by the OECD. </w:t>
      </w:r>
    </w:p>
    <w:p w:rsidR="002A53BA" w:rsidRDefault="0044511F">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The Commission uses a single set of objectives and indicators </w:t>
      </w:r>
      <w:r>
        <w:rPr>
          <w:rFonts w:ascii="Times New Roman" w:hAnsi="Times New Roman"/>
          <w:noProof/>
          <w:lang w:val="nl-NL"/>
        </w:rPr>
        <w:t xml:space="preserve">to measure </w:t>
      </w:r>
      <w:r>
        <w:rPr>
          <w:rFonts w:ascii="Times New Roman" w:hAnsi="Times New Roman"/>
          <w:noProof/>
        </w:rPr>
        <w:t xml:space="preserve">the performance of the EU budget. These objectives, both </w:t>
      </w:r>
      <w:r>
        <w:rPr>
          <w:rFonts w:ascii="Times New Roman" w:hAnsi="Times New Roman"/>
          <w:noProof/>
        </w:rPr>
        <w:t>general and specific, and the related indicators are defined in the legal bases of the programmes. The comprehensive reporting has been progressively improved to provide a more focused and structured snapshot on the progress</w:t>
      </w:r>
      <w:r>
        <w:rPr>
          <w:rFonts w:ascii="Times New Roman" w:hAnsi="Times New Roman"/>
          <w:noProof/>
          <w:lang w:val="nl-NL"/>
        </w:rPr>
        <w:t xml:space="preserve"> </w:t>
      </w:r>
      <w:r>
        <w:rPr>
          <w:rFonts w:ascii="Times New Roman" w:hAnsi="Times New Roman"/>
          <w:noProof/>
        </w:rPr>
        <w:t>towards achieving the programme</w:t>
      </w:r>
      <w:r>
        <w:rPr>
          <w:rFonts w:ascii="Times New Roman" w:hAnsi="Times New Roman"/>
          <w:noProof/>
        </w:rPr>
        <w:t>’s objectives. This information, combined with other sources both of qualitative and quantitative nature, allows performance to be monitored over time. In turn, at a later stage an assessment can be made of the extent to which the programme achieved its ag</w:t>
      </w:r>
      <w:r>
        <w:rPr>
          <w:rFonts w:ascii="Times New Roman" w:hAnsi="Times New Roman"/>
          <w:noProof/>
        </w:rPr>
        <w:t xml:space="preserve">reed objectives, using both the more annual monitoring and information provided </w:t>
      </w:r>
      <w:r>
        <w:rPr>
          <w:rFonts w:ascii="Times New Roman" w:hAnsi="Times New Roman"/>
          <w:noProof/>
        </w:rPr>
        <w:lastRenderedPageBreak/>
        <w:t>by programme evaluations.</w:t>
      </w:r>
      <w:r>
        <w:rPr>
          <w:rFonts w:ascii="Times New Roman" w:hAnsi="Times New Roman"/>
          <w:noProof/>
          <w:lang w:val="nl-NL"/>
        </w:rPr>
        <w:t xml:space="preserve"> T</w:t>
      </w:r>
      <w:r>
        <w:rPr>
          <w:rFonts w:ascii="Times New Roman" w:hAnsi="Times New Roman"/>
          <w:noProof/>
        </w:rPr>
        <w:t>his combination of qualitative and quantitative information also makes it possible to take account of new developments as they occur, such as the res</w:t>
      </w:r>
      <w:r>
        <w:rPr>
          <w:rFonts w:ascii="Times New Roman" w:hAnsi="Times New Roman"/>
          <w:noProof/>
        </w:rPr>
        <w:t>ponse to the COVID-19 outbreak.</w:t>
      </w:r>
    </w:p>
    <w:p w:rsidR="002A53BA" w:rsidRDefault="0044511F">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The Commission remains committed to continuously improving its annual reporting. In order to sharpen the focus on the progress and achievement of objectives, the Commission has identified a set of core indicators for annual </w:t>
      </w:r>
      <w:r>
        <w:rPr>
          <w:rFonts w:ascii="Times New Roman" w:hAnsi="Times New Roman"/>
          <w:noProof/>
        </w:rPr>
        <w:t>reporting that have been included in the proposals for the next Multiannual Financial Framework. All indicators established for financial programmes were critically reviewed as part of the Spending Review leading up to the Commission’s proposals for the fu</w:t>
      </w:r>
      <w:r>
        <w:rPr>
          <w:rFonts w:ascii="Times New Roman" w:hAnsi="Times New Roman"/>
          <w:noProof/>
        </w:rPr>
        <w:t>ture Multiannual Financial Framework. In line with the request from the European Parliament, this resulted in proposals for a smaller number of higher quality indicators of programme performance.</w:t>
      </w:r>
      <w:r>
        <w:rPr>
          <w:rFonts w:ascii="Times New Roman" w:hAnsi="Times New Roman"/>
          <w:noProof/>
          <w:lang w:val="nl-NL"/>
        </w:rPr>
        <w:t xml:space="preserve"> </w:t>
      </w:r>
      <w:r>
        <w:rPr>
          <w:rFonts w:ascii="Times New Roman" w:hAnsi="Times New Roman"/>
          <w:noProof/>
        </w:rPr>
        <w:t xml:space="preserve">The monitoring and evaluation framework will also be </w:t>
      </w:r>
      <w:r>
        <w:rPr>
          <w:rFonts w:ascii="Times New Roman" w:hAnsi="Times New Roman"/>
          <w:noProof/>
        </w:rPr>
        <w:t>strengthened for the future financial programmes</w:t>
      </w:r>
    </w:p>
    <w:p w:rsidR="002A53BA" w:rsidRDefault="0044511F">
      <w:pPr>
        <w:pStyle w:val="BodyAA"/>
        <w:spacing w:before="120" w:after="120"/>
        <w:ind w:left="851"/>
        <w:jc w:val="both"/>
        <w:rPr>
          <w:noProof/>
        </w:rPr>
      </w:pPr>
      <w:r>
        <w:rPr>
          <w:b/>
          <w:bCs/>
          <w:noProof/>
        </w:rPr>
        <w:t>A well performing budget has to be able to react to unforeseen events. The ongoing response to the COVID-19 pandemic has shown that the EU budget can indeed be mobilised quickly and flexibly as part of a coo</w:t>
      </w:r>
      <w:r>
        <w:rPr>
          <w:b/>
          <w:bCs/>
          <w:noProof/>
        </w:rPr>
        <w:t>rdinated European response to crises,</w:t>
      </w:r>
      <w:r>
        <w:rPr>
          <w:noProof/>
        </w:rPr>
        <w:t xml:space="preserve"> for example through the Coronavirus Response Investment Initiatives, the reactivation of the Emergency Support Instrument (ESI) and the extension of the scope of the EU Solidarity Fund (EUSF). In the field of external </w:t>
      </w:r>
      <w:r>
        <w:rPr>
          <w:noProof/>
        </w:rPr>
        <w:t>actions, as part of the Team Europe response to COVID-19, the EU budget has been quickly redirected to provide support where it is most needed in partner countries in support of humanitarian actions and health and socio-economic needs. As part of the Europ</w:t>
      </w:r>
      <w:r>
        <w:rPr>
          <w:noProof/>
        </w:rPr>
        <w:t xml:space="preserve">ean recovery plan, the Commission proposed on 27 May a reinforced Multiannual Financial Framework for 2021-2027 together with a new Recovery Instrument </w:t>
      </w:r>
      <w:r>
        <w:rPr>
          <w:noProof/>
          <w:lang w:val="nl-NL"/>
        </w:rPr>
        <w:t xml:space="preserve">- </w:t>
      </w:r>
      <w:r>
        <w:rPr>
          <w:noProof/>
        </w:rPr>
        <w:t>Next Generation EU</w:t>
      </w:r>
      <w:r>
        <w:rPr>
          <w:noProof/>
          <w:lang w:val="nl-NL"/>
        </w:rPr>
        <w:t xml:space="preserve"> -</w:t>
      </w:r>
      <w:r>
        <w:rPr>
          <w:noProof/>
        </w:rPr>
        <w:t xml:space="preserve"> to boost and frontload funding, as part of an ambitious and comprehensive plan fo</w:t>
      </w:r>
      <w:r>
        <w:rPr>
          <w:noProof/>
        </w:rPr>
        <w:t>r European recovery that is rooted in solidarity and inspired by our common principles and values. These proposals support crisis repair and provide a framework for long-term investment in the Union’s resilience and the green and digital transitions. Reinf</w:t>
      </w:r>
      <w:r>
        <w:rPr>
          <w:noProof/>
        </w:rPr>
        <w:t xml:space="preserve">orcing the flexibility of the EU budget and investing in crisis preparedness and resilience will be a priority for the future financial framework. </w:t>
      </w:r>
    </w:p>
    <w:p w:rsidR="002A53BA" w:rsidRDefault="0044511F">
      <w:pPr>
        <w:pStyle w:val="CorpoA"/>
        <w:keepNext/>
        <w:keepLines/>
        <w:numPr>
          <w:ilvl w:val="0"/>
          <w:numId w:val="10"/>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Respecting rules</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The Commission implements the EU budget in a complex environment,</w:t>
      </w:r>
      <w:r>
        <w:rPr>
          <w:rFonts w:ascii="Times New Roman" w:hAnsi="Times New Roman"/>
          <w:noProof/>
          <w:sz w:val="24"/>
          <w:szCs w:val="24"/>
        </w:rPr>
        <w:t xml:space="preserve"> with a wide variety of pa</w:t>
      </w:r>
      <w:r>
        <w:rPr>
          <w:rFonts w:ascii="Times New Roman" w:hAnsi="Times New Roman"/>
          <w:noProof/>
          <w:sz w:val="24"/>
          <w:szCs w:val="24"/>
        </w:rPr>
        <w:t>rtners. In this context, the Commission aims to ensure that financial management systems and financial transactions comply with legal and contractual rules. To this end, it carries out control</w:t>
      </w:r>
      <w:r>
        <w:rPr>
          <w:rFonts w:ascii="Times New Roman" w:hAnsi="Times New Roman"/>
          <w:noProof/>
          <w:sz w:val="24"/>
          <w:szCs w:val="24"/>
          <w:lang w:val="nl-NL"/>
        </w:rPr>
        <w:t>s</w:t>
      </w:r>
      <w:r>
        <w:rPr>
          <w:rFonts w:ascii="Times New Roman" w:hAnsi="Times New Roman"/>
          <w:noProof/>
          <w:sz w:val="24"/>
          <w:szCs w:val="24"/>
        </w:rPr>
        <w:t xml:space="preserve"> and audits for the funds it manages directly. Implementing par</w:t>
      </w:r>
      <w:r>
        <w:rPr>
          <w:rFonts w:ascii="Times New Roman" w:hAnsi="Times New Roman"/>
          <w:noProof/>
          <w:sz w:val="24"/>
          <w:szCs w:val="24"/>
        </w:rPr>
        <w:t xml:space="preserve">tners are obliged to set up management and control systems – and the Commission will assess if these systems are in place and functioning.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This </w:t>
      </w:r>
      <w:r>
        <w:rPr>
          <w:rFonts w:ascii="Times New Roman" w:hAnsi="Times New Roman"/>
          <w:b/>
          <w:bCs/>
          <w:noProof/>
          <w:sz w:val="24"/>
          <w:szCs w:val="24"/>
        </w:rPr>
        <w:t xml:space="preserve">detailed ‘bottom-up’ assessment allows the Commission to detect and address weaknesses in controls and/or data </w:t>
      </w:r>
      <w:r>
        <w:rPr>
          <w:rFonts w:ascii="Times New Roman" w:hAnsi="Times New Roman"/>
          <w:b/>
          <w:bCs/>
          <w:noProof/>
          <w:sz w:val="24"/>
          <w:szCs w:val="24"/>
        </w:rPr>
        <w:t>in a timely manner. Where appropriate, the Commission decides on financial corrections and recoveries.</w:t>
      </w:r>
      <w:r>
        <w:rPr>
          <w:rFonts w:ascii="Times New Roman" w:hAnsi="Times New Roman"/>
          <w:noProof/>
          <w:sz w:val="24"/>
          <w:szCs w:val="24"/>
        </w:rPr>
        <w:t xml:space="preserve"> Weaknesses </w:t>
      </w:r>
      <w:r>
        <w:rPr>
          <w:rFonts w:ascii="Times New Roman" w:hAnsi="Times New Roman"/>
          <w:noProof/>
          <w:sz w:val="24"/>
          <w:szCs w:val="24"/>
          <w:lang w:val="nl-NL"/>
        </w:rPr>
        <w:t xml:space="preserve">may result in errors that would otherwise have been </w:t>
      </w:r>
      <w:r>
        <w:rPr>
          <w:rFonts w:ascii="Times New Roman" w:hAnsi="Times New Roman"/>
          <w:noProof/>
          <w:sz w:val="24"/>
          <w:szCs w:val="24"/>
        </w:rPr>
        <w:t xml:space="preserve"> prevented. Once identified, the Commission takes appropriate action to ensure that any su</w:t>
      </w:r>
      <w:r>
        <w:rPr>
          <w:rFonts w:ascii="Times New Roman" w:hAnsi="Times New Roman"/>
          <w:noProof/>
          <w:sz w:val="24"/>
          <w:szCs w:val="24"/>
        </w:rPr>
        <w:t>ch errors are corrected. Fraud</w:t>
      </w:r>
      <w:r>
        <w:rPr>
          <w:rFonts w:ascii="Times New Roman" w:hAnsi="Times New Roman"/>
          <w:noProof/>
          <w:sz w:val="24"/>
          <w:szCs w:val="24"/>
          <w:lang w:val="nl-NL"/>
        </w:rPr>
        <w:t xml:space="preserve">, </w:t>
      </w:r>
      <w:r>
        <w:rPr>
          <w:rFonts w:ascii="Times New Roman" w:hAnsi="Times New Roman"/>
          <w:noProof/>
          <w:sz w:val="24"/>
          <w:szCs w:val="24"/>
        </w:rPr>
        <w:t>which is distinct from</w:t>
      </w:r>
      <w:r>
        <w:rPr>
          <w:rFonts w:ascii="Times New Roman" w:hAnsi="Times New Roman"/>
          <w:noProof/>
          <w:sz w:val="24"/>
          <w:szCs w:val="24"/>
          <w:lang w:val="nl-NL"/>
        </w:rPr>
        <w:t xml:space="preserve"> </w:t>
      </w:r>
      <w:r>
        <w:rPr>
          <w:rFonts w:ascii="Times New Roman" w:hAnsi="Times New Roman"/>
          <w:noProof/>
          <w:sz w:val="24"/>
          <w:szCs w:val="24"/>
        </w:rPr>
        <w:t>other irregularities due to its intentional nature, is only found in a very limited number of cases. Nevertheless, the Commission has zero tolerance for fraud and follows up such cases in a diligent ma</w:t>
      </w:r>
      <w:r>
        <w:rPr>
          <w:rFonts w:ascii="Times New Roman" w:hAnsi="Times New Roman"/>
          <w:noProof/>
          <w:sz w:val="24"/>
          <w:szCs w:val="24"/>
        </w:rPr>
        <w:t>nner.</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lastRenderedPageBreak/>
        <w:t xml:space="preserve">The Commission’s aim is to effectively protect the EU budget on a multi-annual basis and ensure that, once a programme is closed and all controls carried out, the remaining risk </w:t>
      </w:r>
      <w:r>
        <w:rPr>
          <w:rFonts w:ascii="Times New Roman" w:hAnsi="Times New Roman"/>
          <w:b/>
          <w:bCs/>
          <w:noProof/>
          <w:sz w:val="24"/>
          <w:szCs w:val="24"/>
          <w:lang w:val="nl-NL"/>
        </w:rPr>
        <w:t xml:space="preserve">at closure </w:t>
      </w:r>
      <w:r>
        <w:rPr>
          <w:rFonts w:ascii="Times New Roman" w:hAnsi="Times New Roman"/>
          <w:b/>
          <w:bCs/>
          <w:noProof/>
          <w:sz w:val="24"/>
          <w:szCs w:val="24"/>
        </w:rPr>
        <w:t>is below 2%</w:t>
      </w:r>
      <w:r>
        <w:rPr>
          <w:rFonts w:ascii="Times New Roman" w:hAnsi="Times New Roman"/>
          <w:noProof/>
          <w:sz w:val="24"/>
          <w:szCs w:val="24"/>
        </w:rPr>
        <w:t>. Controls should be solid but also cost-effective</w:t>
      </w:r>
      <w:r>
        <w:rPr>
          <w:rFonts w:ascii="Times New Roman" w:hAnsi="Times New Roman"/>
          <w:noProof/>
          <w:sz w:val="24"/>
          <w:szCs w:val="24"/>
        </w:rPr>
        <w:t>, fulfilling the</w:t>
      </w:r>
      <w:r>
        <w:rPr>
          <w:rFonts w:ascii="Times New Roman" w:hAnsi="Times New Roman"/>
          <w:noProof/>
          <w:sz w:val="24"/>
          <w:szCs w:val="24"/>
          <w:lang w:val="nl-NL"/>
        </w:rPr>
        <w:t>ir</w:t>
      </w:r>
      <w:r>
        <w:rPr>
          <w:rFonts w:ascii="Times New Roman" w:hAnsi="Times New Roman"/>
          <w:noProof/>
          <w:sz w:val="24"/>
          <w:szCs w:val="24"/>
        </w:rPr>
        <w:t xml:space="preserve"> intended objectives in an efficient manner and at a </w:t>
      </w:r>
      <w:r>
        <w:rPr>
          <w:rFonts w:ascii="Times New Roman" w:hAnsi="Times New Roman"/>
          <w:noProof/>
          <w:sz w:val="24"/>
          <w:szCs w:val="24"/>
          <w:lang w:val="nl-NL"/>
        </w:rPr>
        <w:t>reasonable</w:t>
      </w:r>
      <w:r>
        <w:rPr>
          <w:rFonts w:ascii="Times New Roman" w:hAnsi="Times New Roman"/>
          <w:noProof/>
          <w:sz w:val="24"/>
          <w:szCs w:val="24"/>
        </w:rPr>
        <w:t xml:space="preserve"> cost.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Reflecting its role as external auditor, the European Court of Auditors follows a different – more ‘top-down’ – approach based on statistical sampling when annually as</w:t>
      </w:r>
      <w:r>
        <w:rPr>
          <w:rFonts w:ascii="Times New Roman" w:hAnsi="Times New Roman"/>
          <w:noProof/>
          <w:sz w:val="24"/>
          <w:szCs w:val="24"/>
        </w:rPr>
        <w:t xml:space="preserve">sessing the regularity of payments to farmers, companies, students etc. However, the approach has in recent years led to results close to those of the Commission.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In that context, the European Court of Auditors announced its intention to rely more on work</w:t>
      </w:r>
      <w:r>
        <w:rPr>
          <w:rFonts w:ascii="Times New Roman" w:hAnsi="Times New Roman"/>
          <w:noProof/>
          <w:sz w:val="24"/>
          <w:szCs w:val="24"/>
        </w:rPr>
        <w:t xml:space="preserve"> done by</w:t>
      </w:r>
      <w:r>
        <w:rPr>
          <w:rFonts w:ascii="Times New Roman" w:hAnsi="Times New Roman"/>
          <w:noProof/>
          <w:sz w:val="24"/>
          <w:szCs w:val="24"/>
          <w:lang w:val="nl-NL"/>
        </w:rPr>
        <w:t>, for example,</w:t>
      </w:r>
      <w:r>
        <w:rPr>
          <w:rFonts w:ascii="Times New Roman" w:hAnsi="Times New Roman"/>
          <w:noProof/>
          <w:sz w:val="24"/>
          <w:szCs w:val="24"/>
        </w:rPr>
        <w:t xml:space="preserve"> the Commission or national/regional authorities. </w:t>
      </w:r>
      <w:r>
        <w:rPr>
          <w:rFonts w:ascii="Times New Roman" w:hAnsi="Times New Roman"/>
          <w:b/>
          <w:bCs/>
          <w:noProof/>
          <w:sz w:val="24"/>
          <w:szCs w:val="24"/>
        </w:rPr>
        <w:t xml:space="preserve">In the 2018 discharge procedure, both the European Parliament and the Council expressed support for this objective.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The Commission is co-operating closely with the European Court of</w:t>
      </w:r>
      <w:r>
        <w:rPr>
          <w:rFonts w:ascii="Times New Roman" w:hAnsi="Times New Roman"/>
          <w:noProof/>
          <w:sz w:val="24"/>
          <w:szCs w:val="24"/>
        </w:rPr>
        <w:t xml:space="preserve"> </w:t>
      </w:r>
      <w:r>
        <w:rPr>
          <w:rFonts w:ascii="Times New Roman" w:hAnsi="Times New Roman"/>
          <w:b/>
          <w:bCs/>
          <w:noProof/>
          <w:sz w:val="24"/>
          <w:szCs w:val="24"/>
        </w:rPr>
        <w:t>Auditors</w:t>
      </w:r>
      <w:r>
        <w:rPr>
          <w:rFonts w:ascii="Times New Roman" w:hAnsi="Times New Roman"/>
          <w:noProof/>
          <w:sz w:val="24"/>
          <w:szCs w:val="24"/>
        </w:rPr>
        <w:t xml:space="preserve"> to find the best way forward, taking into account lessons learned in a pilot project for Cohesion expenditure. The Commission indeed fully supports the Single Audit principle and will continue working closely with Member States in accordance with </w:t>
      </w:r>
      <w:r>
        <w:rPr>
          <w:rFonts w:ascii="Times New Roman" w:hAnsi="Times New Roman"/>
          <w:noProof/>
          <w:sz w:val="24"/>
          <w:szCs w:val="24"/>
        </w:rPr>
        <w:t>this principle. In addition, on the basis of the control strategies applied to the various spending areas, the Commission will continue to apply a consistent methodology for its own calculation of error rates and to streamline its accountability reporting.</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European Parliament put particular emphasis on the </w:t>
      </w:r>
      <w:r>
        <w:rPr>
          <w:rFonts w:ascii="Times New Roman" w:hAnsi="Times New Roman"/>
          <w:b/>
          <w:bCs/>
          <w:noProof/>
          <w:sz w:val="24"/>
          <w:szCs w:val="24"/>
        </w:rPr>
        <w:t>rules on conflicts of interest.</w:t>
      </w:r>
      <w:r>
        <w:rPr>
          <w:rFonts w:ascii="Times New Roman" w:hAnsi="Times New Roman"/>
          <w:noProof/>
          <w:sz w:val="24"/>
          <w:szCs w:val="24"/>
        </w:rPr>
        <w:t xml:space="preserve"> The Commission takes avoidance and management of conflicts of interest very seriously. Since the entry into force of the </w:t>
      </w:r>
      <w:r>
        <w:rPr>
          <w:rFonts w:ascii="Times New Roman" w:hAnsi="Times New Roman"/>
          <w:noProof/>
          <w:sz w:val="24"/>
          <w:szCs w:val="24"/>
          <w:lang w:val="nl-NL"/>
        </w:rPr>
        <w:t xml:space="preserve">revised </w:t>
      </w:r>
      <w:r>
        <w:rPr>
          <w:rFonts w:ascii="Times New Roman" w:hAnsi="Times New Roman"/>
          <w:noProof/>
          <w:sz w:val="24"/>
          <w:szCs w:val="24"/>
        </w:rPr>
        <w:t>Financial Regulation</w:t>
      </w:r>
      <w:r>
        <w:rPr>
          <w:rFonts w:ascii="Times New Roman" w:hAnsi="Times New Roman"/>
          <w:noProof/>
          <w:sz w:val="24"/>
          <w:szCs w:val="24"/>
          <w:lang w:val="nl-NL"/>
        </w:rPr>
        <w:t xml:space="preserve"> in 2018</w:t>
      </w:r>
      <w:r>
        <w:rPr>
          <w:rFonts w:ascii="Times New Roman" w:hAnsi="Times New Roman"/>
          <w:noProof/>
          <w:sz w:val="24"/>
          <w:szCs w:val="24"/>
        </w:rPr>
        <w:t>, the provi</w:t>
      </w:r>
      <w:r>
        <w:rPr>
          <w:rFonts w:ascii="Times New Roman" w:hAnsi="Times New Roman"/>
          <w:noProof/>
          <w:sz w:val="24"/>
          <w:szCs w:val="24"/>
        </w:rPr>
        <w:t xml:space="preserve">sions on conflicts of interest apply explicitly to all management modes and to all financial actors, including national authorities at any level, involved in EU budget implementation.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Commission diligently follows up on information or complaints with </w:t>
      </w:r>
      <w:r>
        <w:rPr>
          <w:rFonts w:ascii="Times New Roman" w:hAnsi="Times New Roman"/>
          <w:noProof/>
          <w:sz w:val="24"/>
          <w:szCs w:val="24"/>
        </w:rPr>
        <w:t xml:space="preserve">respect to alleged conflicts of interest. </w:t>
      </w:r>
      <w:r>
        <w:rPr>
          <w:rFonts w:ascii="Times New Roman" w:hAnsi="Times New Roman"/>
          <w:noProof/>
          <w:sz w:val="24"/>
          <w:szCs w:val="24"/>
          <w:lang w:val="nl-NL"/>
        </w:rPr>
        <w:t>For example,</w:t>
      </w:r>
      <w:r>
        <w:rPr>
          <w:rFonts w:ascii="Times New Roman" w:hAnsi="Times New Roman"/>
          <w:noProof/>
          <w:sz w:val="24"/>
          <w:szCs w:val="24"/>
        </w:rPr>
        <w:t xml:space="preserve"> when the Commission received a complaint concerning an alleged conflict of interest in the Czech Republic, the Commission immediately took appropriate action and followed up in a diligent manner any re</w:t>
      </w:r>
      <w:r>
        <w:rPr>
          <w:rFonts w:ascii="Times New Roman" w:hAnsi="Times New Roman"/>
          <w:noProof/>
          <w:sz w:val="24"/>
          <w:szCs w:val="24"/>
        </w:rPr>
        <w:t>lated requests made by the European Parliament in the discharge procedure.</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Moreover, the Commission is accompanying and guiding Member States on how to avoid and address conflicts of interest, including situations that may be objectively perceived as such,</w:t>
      </w:r>
      <w:r>
        <w:rPr>
          <w:rFonts w:ascii="Times New Roman" w:hAnsi="Times New Roman"/>
          <w:noProof/>
          <w:sz w:val="24"/>
          <w:szCs w:val="24"/>
        </w:rPr>
        <w:t xml:space="preserve"> in shared management, in line with the new provisions of the Financial Regulation. It is actively monitoring the application of these new rules in the Member States and has taken broad and coordinated action to identify and share best practices in managin</w:t>
      </w:r>
      <w:r>
        <w:rPr>
          <w:rFonts w:ascii="Times New Roman" w:hAnsi="Times New Roman"/>
          <w:noProof/>
          <w:sz w:val="24"/>
          <w:szCs w:val="24"/>
        </w:rPr>
        <w:t xml:space="preserve">g conflicts of interest.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results of a survey carried out in this respect in the Member States will feed into further work. Furthermore, the Commission is finalising guidance on the implementation of conflict of interest rules in all management modes. </w:t>
      </w:r>
      <w:r>
        <w:rPr>
          <w:rFonts w:ascii="Times New Roman" w:hAnsi="Times New Roman"/>
          <w:noProof/>
          <w:sz w:val="24"/>
          <w:szCs w:val="24"/>
        </w:rPr>
        <w:t xml:space="preserve">With respect to its own staff and its Members, the Commission has a comprehensive framework on avoidance and management of conflict of interests. </w:t>
      </w:r>
    </w:p>
    <w:p w:rsidR="002A53BA" w:rsidRDefault="0044511F">
      <w:pPr>
        <w:pStyle w:val="CorpoA"/>
        <w:keepNext/>
        <w:keepLines/>
        <w:numPr>
          <w:ilvl w:val="0"/>
          <w:numId w:val="10"/>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Smoother implementation</w:t>
      </w:r>
    </w:p>
    <w:p w:rsidR="002A53BA" w:rsidRDefault="0044511F">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 xml:space="preserve">The European Parliament and the Council expressed concern over </w:t>
      </w:r>
      <w:r>
        <w:rPr>
          <w:rFonts w:ascii="Times New Roman" w:hAnsi="Times New Roman"/>
          <w:b/>
          <w:bCs/>
          <w:noProof/>
          <w:sz w:val="24"/>
          <w:szCs w:val="24"/>
        </w:rPr>
        <w:t xml:space="preserve">the level of </w:t>
      </w:r>
      <w:r>
        <w:rPr>
          <w:rFonts w:ascii="Times New Roman" w:hAnsi="Times New Roman"/>
          <w:b/>
          <w:bCs/>
          <w:noProof/>
          <w:sz w:val="24"/>
          <w:szCs w:val="24"/>
        </w:rPr>
        <w:t>outstanding commitments (the RAL)</w:t>
      </w:r>
      <w:r>
        <w:rPr>
          <w:rFonts w:ascii="Times New Roman" w:hAnsi="Times New Roman"/>
          <w:noProof/>
          <w:sz w:val="24"/>
          <w:szCs w:val="24"/>
        </w:rPr>
        <w:t xml:space="preserve">. They requested the Commission to closely </w:t>
      </w:r>
      <w:r>
        <w:rPr>
          <w:rFonts w:ascii="Times New Roman" w:hAnsi="Times New Roman"/>
          <w:noProof/>
          <w:sz w:val="24"/>
          <w:szCs w:val="24"/>
        </w:rPr>
        <w:lastRenderedPageBreak/>
        <w:t>monitor developments and continue its support for Member States in further improving the speed of implementation.</w:t>
      </w:r>
    </w:p>
    <w:p w:rsidR="002A53BA" w:rsidRDefault="0044511F">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The Commission reports regularly on the RAL and also forecasts the</w:t>
      </w:r>
      <w:r>
        <w:rPr>
          <w:rFonts w:ascii="Times New Roman" w:hAnsi="Times New Roman"/>
          <w:noProof/>
          <w:sz w:val="24"/>
          <w:szCs w:val="24"/>
        </w:rPr>
        <w:t xml:space="preserve"> evolution of the RAL in the coming years. These reports, including the annual accounts, are discussed with the European Parliament and the Council. The annual and long-term budgets take into account the level of payment appropriations needed to reimburse </w:t>
      </w:r>
      <w:r>
        <w:rPr>
          <w:rFonts w:ascii="Times New Roman" w:hAnsi="Times New Roman"/>
          <w:noProof/>
          <w:sz w:val="24"/>
          <w:szCs w:val="24"/>
        </w:rPr>
        <w:t xml:space="preserve">all the expenditures incurred. </w:t>
      </w:r>
    </w:p>
    <w:p w:rsidR="002A53BA" w:rsidRDefault="0044511F">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Slow implementation of some programmes can increase the RAL as a mechanical consequence and leads to slower delivery of results and EU benefits on the ground. The Commission proposal for the next long-term budget 2021-2027 a</w:t>
      </w:r>
      <w:r>
        <w:rPr>
          <w:rFonts w:ascii="Times New Roman" w:hAnsi="Times New Roman"/>
          <w:noProof/>
          <w:sz w:val="24"/>
          <w:szCs w:val="24"/>
        </w:rPr>
        <w:t>ddresses this issue with various measures to improve the absorption of EU funds: e.g. by simplifying procedures, allowing for roll-over of existing implementation systems or changing the existing N+3 decommitment rule to N+2 and an appropriate ratio betwee</w:t>
      </w:r>
      <w:r>
        <w:rPr>
          <w:rFonts w:ascii="Times New Roman" w:hAnsi="Times New Roman"/>
          <w:noProof/>
          <w:sz w:val="24"/>
          <w:szCs w:val="24"/>
        </w:rPr>
        <w:t>n commitment and payment appropriations.</w:t>
      </w:r>
    </w:p>
    <w:p w:rsidR="002A53BA" w:rsidRDefault="0044511F">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b/>
          <w:bCs/>
          <w:noProof/>
          <w:sz w:val="24"/>
          <w:szCs w:val="24"/>
        </w:rPr>
        <w:t>The Commission continuously helps Member States to speed up the implementation of their programmes.</w:t>
      </w:r>
      <w:r>
        <w:rPr>
          <w:rFonts w:ascii="Times New Roman" w:hAnsi="Times New Roman"/>
          <w:noProof/>
          <w:sz w:val="24"/>
          <w:szCs w:val="24"/>
        </w:rPr>
        <w:t xml:space="preserve"> Member States have at their disposal important amounts of technical assistance, proportionate to allocations, to en</w:t>
      </w:r>
      <w:r>
        <w:rPr>
          <w:rFonts w:ascii="Times New Roman" w:hAnsi="Times New Roman"/>
          <w:noProof/>
          <w:sz w:val="24"/>
          <w:szCs w:val="24"/>
        </w:rPr>
        <w:t>sure programme authorities have the necessary support to manage, monitor and audit programmes. The Commission has also established special monitoring linked to performance of programmes, based on the example of the dedicated Task Force on Better Implementa</w:t>
      </w:r>
      <w:r>
        <w:rPr>
          <w:rFonts w:ascii="Times New Roman" w:hAnsi="Times New Roman"/>
          <w:noProof/>
          <w:sz w:val="24"/>
          <w:szCs w:val="24"/>
        </w:rPr>
        <w:t xml:space="preserve">tion created for the previous programmes at risk. Particular attention is </w:t>
      </w:r>
      <w:r>
        <w:rPr>
          <w:rFonts w:ascii="Times New Roman" w:hAnsi="Times New Roman"/>
          <w:noProof/>
          <w:sz w:val="24"/>
          <w:szCs w:val="24"/>
          <w:lang w:val="nl-NL"/>
        </w:rPr>
        <w:t>dedicated</w:t>
      </w:r>
      <w:r>
        <w:rPr>
          <w:rFonts w:ascii="Times New Roman" w:hAnsi="Times New Roman"/>
          <w:noProof/>
          <w:sz w:val="24"/>
          <w:szCs w:val="24"/>
        </w:rPr>
        <w:t xml:space="preserve"> to Member States with lower levels of implementation. </w:t>
      </w:r>
    </w:p>
    <w:p w:rsidR="002A53BA" w:rsidRDefault="0044511F">
      <w:pPr>
        <w:pStyle w:val="CorpoA"/>
        <w:tabs>
          <w:tab w:val="left" w:pos="850"/>
        </w:tabs>
        <w:spacing w:before="120" w:after="120" w:line="240" w:lineRule="auto"/>
        <w:ind w:left="855"/>
        <w:jc w:val="both"/>
        <w:outlineLvl w:val="0"/>
        <w:rPr>
          <w:rFonts w:ascii="Times New Roman" w:eastAsia="Times New Roman" w:hAnsi="Times New Roman" w:cs="Times New Roman"/>
          <w:noProof/>
          <w:sz w:val="24"/>
          <w:szCs w:val="24"/>
        </w:rPr>
      </w:pPr>
      <w:r>
        <w:rPr>
          <w:rFonts w:ascii="Times New Roman" w:hAnsi="Times New Roman"/>
          <w:noProof/>
          <w:sz w:val="24"/>
          <w:szCs w:val="24"/>
        </w:rPr>
        <w:t xml:space="preserve">The Commission has taken, and will continue taking, measures aiming to bring </w:t>
      </w:r>
      <w:r>
        <w:rPr>
          <w:rFonts w:ascii="Times New Roman" w:hAnsi="Times New Roman"/>
          <w:b/>
          <w:bCs/>
          <w:noProof/>
          <w:sz w:val="24"/>
          <w:szCs w:val="24"/>
        </w:rPr>
        <w:t>simplification and flexibility when desi</w:t>
      </w:r>
      <w:r>
        <w:rPr>
          <w:rFonts w:ascii="Times New Roman" w:hAnsi="Times New Roman"/>
          <w:b/>
          <w:bCs/>
          <w:noProof/>
          <w:sz w:val="24"/>
          <w:szCs w:val="24"/>
        </w:rPr>
        <w:t>gning rules for EU programmes</w:t>
      </w:r>
      <w:r>
        <w:rPr>
          <w:rFonts w:ascii="Times New Roman" w:hAnsi="Times New Roman"/>
          <w:noProof/>
          <w:sz w:val="24"/>
          <w:szCs w:val="24"/>
        </w:rPr>
        <w:t>, while taking into consideration to ease their implementation as well as their effectiveness in achieving Union objectives and transparency.</w:t>
      </w:r>
    </w:p>
    <w:p w:rsidR="002A53BA" w:rsidRDefault="0044511F">
      <w:pPr>
        <w:pStyle w:val="CorpoA"/>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In particular, the Commission has reached this aim in </w:t>
      </w:r>
      <w:r>
        <w:rPr>
          <w:rFonts w:ascii="Times New Roman" w:hAnsi="Times New Roman"/>
          <w:b/>
          <w:bCs/>
          <w:noProof/>
          <w:sz w:val="24"/>
          <w:szCs w:val="24"/>
        </w:rPr>
        <w:t xml:space="preserve">the </w:t>
      </w:r>
      <w:r>
        <w:rPr>
          <w:rFonts w:ascii="Times New Roman" w:hAnsi="Times New Roman"/>
          <w:b/>
          <w:bCs/>
          <w:noProof/>
          <w:sz w:val="24"/>
          <w:szCs w:val="24"/>
          <w:lang w:val="nl-NL"/>
        </w:rPr>
        <w:t xml:space="preserve">revised </w:t>
      </w:r>
      <w:r>
        <w:rPr>
          <w:rFonts w:ascii="Times New Roman" w:hAnsi="Times New Roman"/>
          <w:b/>
          <w:bCs/>
          <w:noProof/>
          <w:sz w:val="24"/>
          <w:szCs w:val="24"/>
        </w:rPr>
        <w:t>Financial Regulatio</w:t>
      </w:r>
      <w:r>
        <w:rPr>
          <w:rFonts w:ascii="Times New Roman" w:hAnsi="Times New Roman"/>
          <w:b/>
          <w:bCs/>
          <w:noProof/>
          <w:sz w:val="24"/>
          <w:szCs w:val="24"/>
        </w:rPr>
        <w:t xml:space="preserve">n, </w:t>
      </w:r>
      <w:r>
        <w:rPr>
          <w:rFonts w:ascii="Times New Roman" w:hAnsi="Times New Roman"/>
          <w:noProof/>
          <w:sz w:val="24"/>
          <w:szCs w:val="24"/>
        </w:rPr>
        <w:t>which</w:t>
      </w:r>
      <w:r>
        <w:rPr>
          <w:rFonts w:ascii="Times New Roman" w:hAnsi="Times New Roman"/>
          <w:b/>
          <w:bCs/>
          <w:noProof/>
          <w:sz w:val="24"/>
          <w:szCs w:val="24"/>
        </w:rPr>
        <w:t xml:space="preserve"> includes numerous measures for legal and administrative simplification, efficiency and effectiveness</w:t>
      </w:r>
      <w:r>
        <w:rPr>
          <w:rFonts w:ascii="Times New Roman" w:hAnsi="Times New Roman"/>
          <w:noProof/>
          <w:sz w:val="24"/>
          <w:szCs w:val="24"/>
        </w:rPr>
        <w:t xml:space="preserve"> in the following areas:</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Increased use of simplified cost options, i.e. simpler cost calculation methods (lump sums, flat rates and unit costs) bas</w:t>
      </w:r>
      <w:r>
        <w:rPr>
          <w:rFonts w:ascii="Times New Roman" w:hAnsi="Times New Roman"/>
          <w:noProof/>
          <w:sz w:val="24"/>
          <w:szCs w:val="24"/>
        </w:rPr>
        <w:t xml:space="preserve">ed on other criteria which are simpler and less prone to errors compared to reimbursement of actual costs; </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Asking for information only once;</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Cross-reliance on assessments and audits;</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Closer relationships with trusted partners;</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Simpler content of grant </w:t>
      </w:r>
      <w:r>
        <w:rPr>
          <w:rFonts w:ascii="Times New Roman" w:hAnsi="Times New Roman"/>
          <w:noProof/>
          <w:sz w:val="24"/>
          <w:szCs w:val="24"/>
        </w:rPr>
        <w:t>applications and reporting;</w:t>
      </w:r>
    </w:p>
    <w:p w:rsidR="002A53BA" w:rsidRDefault="0044511F">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Fostering e-government, and in particular the use of electronic systems data in the exchange of information with the beneficiaries.</w:t>
      </w:r>
    </w:p>
    <w:p w:rsidR="002A53BA" w:rsidRDefault="0044511F">
      <w:pPr>
        <w:pStyle w:val="CorpoA"/>
        <w:spacing w:before="120" w:after="120" w:line="240" w:lineRule="auto"/>
        <w:ind w:left="1571" w:hanging="720"/>
        <w:jc w:val="both"/>
        <w:rPr>
          <w:rFonts w:ascii="Times New Roman" w:eastAsia="Times New Roman" w:hAnsi="Times New Roman" w:cs="Times New Roman"/>
          <w:noProof/>
          <w:sz w:val="24"/>
          <w:szCs w:val="24"/>
        </w:rPr>
      </w:pPr>
      <w:r>
        <w:rPr>
          <w:rFonts w:ascii="Times New Roman" w:hAnsi="Times New Roman"/>
          <w:noProof/>
          <w:sz w:val="24"/>
          <w:szCs w:val="24"/>
        </w:rPr>
        <w:t>The Commission is monitoring the implementation of these measures.</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The Commission maintained its</w:t>
      </w:r>
      <w:r>
        <w:rPr>
          <w:rFonts w:ascii="Times New Roman" w:hAnsi="Times New Roman"/>
          <w:noProof/>
          <w:sz w:val="24"/>
          <w:szCs w:val="24"/>
        </w:rPr>
        <w:t xml:space="preserve"> focus on</w:t>
      </w:r>
      <w:r>
        <w:rPr>
          <w:rFonts w:ascii="Times New Roman" w:hAnsi="Times New Roman"/>
          <w:b/>
          <w:bCs/>
          <w:noProof/>
          <w:sz w:val="24"/>
          <w:szCs w:val="24"/>
        </w:rPr>
        <w:t xml:space="preserve"> simplifying rules in the proposals for the spending programmes underlying the 2021-2027 Multiannual Financial Framework.</w:t>
      </w:r>
      <w:r>
        <w:rPr>
          <w:rFonts w:ascii="Times New Roman" w:hAnsi="Times New Roman"/>
          <w:noProof/>
          <w:sz w:val="24"/>
          <w:szCs w:val="24"/>
        </w:rPr>
        <w:t xml:space="preserve"> Some of these simplification efforts are designed to benefit in particular SMEs as requested by the European Parliament in th</w:t>
      </w:r>
      <w:r>
        <w:rPr>
          <w:rFonts w:ascii="Times New Roman" w:hAnsi="Times New Roman"/>
          <w:noProof/>
          <w:sz w:val="24"/>
          <w:szCs w:val="24"/>
        </w:rPr>
        <w:t>e discharge process. The impact of the Commission’s push for simplification will naturally depend on the outcome of the ongoing negotiations between the European Parliament and the Council on the proposals.</w:t>
      </w:r>
    </w:p>
    <w:p w:rsidR="002A53BA" w:rsidRDefault="0044511F">
      <w:pPr>
        <w:pStyle w:val="CorpoA"/>
        <w:keepNext/>
        <w:keepLines/>
        <w:numPr>
          <w:ilvl w:val="0"/>
          <w:numId w:val="16"/>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lastRenderedPageBreak/>
        <w:t>Other issues</w:t>
      </w:r>
    </w:p>
    <w:p w:rsidR="002A53BA" w:rsidRDefault="0044511F">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lang w:val="nl-NL"/>
        </w:rPr>
      </w:pPr>
      <w:r>
        <w:rPr>
          <w:rFonts w:ascii="Times New Roman" w:hAnsi="Times New Roman"/>
          <w:b/>
          <w:bCs/>
          <w:noProof/>
          <w:sz w:val="24"/>
          <w:szCs w:val="24"/>
          <w:lang w:val="nl-NL"/>
        </w:rPr>
        <w:t xml:space="preserve">6.1 </w:t>
      </w:r>
      <w:r>
        <w:rPr>
          <w:rFonts w:ascii="Times New Roman" w:hAnsi="Times New Roman"/>
          <w:b/>
          <w:bCs/>
          <w:smallCaps/>
          <w:noProof/>
          <w:sz w:val="24"/>
          <w:szCs w:val="24"/>
          <w:lang w:val="nl-NL"/>
        </w:rPr>
        <w:t xml:space="preserve">distribution of funds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European Parliament requested the Commission to propose a different allocation of funds for the Common Agricultural Policy and Cohesion Policy, and also pay greater attention to the geographic distribution of research funds.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The Commission recalls tha</w:t>
      </w:r>
      <w:r>
        <w:rPr>
          <w:rFonts w:ascii="Times New Roman" w:hAnsi="Times New Roman"/>
          <w:b/>
          <w:bCs/>
          <w:noProof/>
          <w:sz w:val="24"/>
          <w:szCs w:val="24"/>
        </w:rPr>
        <w:t>t the allocation of EU funds for the future spending programmes is part of the ongoing negotiations between the European Parliament and the Council.</w:t>
      </w:r>
      <w:r>
        <w:rPr>
          <w:rFonts w:ascii="Times New Roman" w:hAnsi="Times New Roman"/>
          <w:noProof/>
          <w:sz w:val="24"/>
          <w:szCs w:val="24"/>
        </w:rPr>
        <w:t xml:space="preserve">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Commission’s proposals for the </w:t>
      </w:r>
      <w:r>
        <w:rPr>
          <w:rFonts w:ascii="Times New Roman" w:hAnsi="Times New Roman"/>
          <w:b/>
          <w:bCs/>
          <w:noProof/>
          <w:sz w:val="24"/>
          <w:szCs w:val="24"/>
        </w:rPr>
        <w:t>Common Agricultural Policy</w:t>
      </w:r>
      <w:r>
        <w:rPr>
          <w:rFonts w:ascii="Times New Roman" w:hAnsi="Times New Roman"/>
          <w:noProof/>
          <w:sz w:val="24"/>
          <w:szCs w:val="24"/>
        </w:rPr>
        <w:t xml:space="preserve"> aim at achieving a fairer distribution of fu</w:t>
      </w:r>
      <w:r>
        <w:rPr>
          <w:rFonts w:ascii="Times New Roman" w:hAnsi="Times New Roman"/>
          <w:noProof/>
          <w:sz w:val="24"/>
          <w:szCs w:val="24"/>
        </w:rPr>
        <w:t>nds to beneficiaries. Measures that contribute to this are degressivity and capping of direct payments, redistributive income support, continued internal and external convergence of direct payments as well as provisions regarding the “genuine” farmer.</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Spen</w:t>
      </w:r>
      <w:r>
        <w:rPr>
          <w:rFonts w:ascii="Times New Roman" w:hAnsi="Times New Roman"/>
          <w:noProof/>
          <w:sz w:val="24"/>
          <w:szCs w:val="24"/>
        </w:rPr>
        <w:t xml:space="preserve">ding programmes for </w:t>
      </w:r>
      <w:r>
        <w:rPr>
          <w:rFonts w:ascii="Times New Roman" w:hAnsi="Times New Roman"/>
          <w:b/>
          <w:bCs/>
          <w:noProof/>
          <w:sz w:val="24"/>
          <w:szCs w:val="24"/>
        </w:rPr>
        <w:t>research</w:t>
      </w:r>
      <w:r>
        <w:rPr>
          <w:rFonts w:ascii="Times New Roman" w:hAnsi="Times New Roman"/>
          <w:b/>
          <w:bCs/>
          <w:noProof/>
          <w:sz w:val="24"/>
          <w:szCs w:val="24"/>
          <w:lang w:val="nl-NL"/>
        </w:rPr>
        <w:t xml:space="preserve"> </w:t>
      </w:r>
      <w:r>
        <w:rPr>
          <w:rFonts w:ascii="Times New Roman" w:hAnsi="Times New Roman"/>
          <w:b/>
          <w:bCs/>
          <w:noProof/>
          <w:sz w:val="23"/>
          <w:szCs w:val="23"/>
          <w:u w:color="2E74B5"/>
        </w:rPr>
        <w:t>&amp; innovation</w:t>
      </w:r>
      <w:r>
        <w:rPr>
          <w:rFonts w:ascii="Times New Roman" w:hAnsi="Times New Roman"/>
          <w:b/>
          <w:bCs/>
          <w:noProof/>
          <w:sz w:val="24"/>
          <w:szCs w:val="24"/>
        </w:rPr>
        <w:t xml:space="preserve"> (</w:t>
      </w:r>
      <w:r>
        <w:rPr>
          <w:rFonts w:ascii="Times New Roman" w:hAnsi="Times New Roman"/>
          <w:noProof/>
          <w:sz w:val="24"/>
          <w:szCs w:val="24"/>
        </w:rPr>
        <w:t xml:space="preserve">Horizon 2020 and its successor Horizon Europe) are competitive programmes where evaluation and selection of proposals are based on excellence and impact without any pre-allocated national envelopes. </w:t>
      </w:r>
      <w:r>
        <w:rPr>
          <w:rFonts w:ascii="Times New Roman" w:hAnsi="Times New Roman"/>
          <w:noProof/>
          <w:sz w:val="24"/>
          <w:szCs w:val="24"/>
          <w:lang w:val="nl-NL"/>
        </w:rPr>
        <w:t>I</w:t>
      </w:r>
      <w:r>
        <w:rPr>
          <w:rFonts w:ascii="Times New Roman" w:hAnsi="Times New Roman"/>
          <w:noProof/>
          <w:sz w:val="24"/>
          <w:szCs w:val="24"/>
        </w:rPr>
        <w:t xml:space="preserve">n Horizon 2020, EUR 900 million are devoted to ‘widening measures’ </w:t>
      </w:r>
      <w:r>
        <w:rPr>
          <w:rFonts w:ascii="Times New Roman" w:hAnsi="Times New Roman"/>
          <w:noProof/>
          <w:sz w:val="24"/>
          <w:szCs w:val="24"/>
          <w:lang w:val="nl-NL"/>
        </w:rPr>
        <w:t xml:space="preserve">such as </w:t>
      </w:r>
      <w:r>
        <w:rPr>
          <w:rFonts w:ascii="Times New Roman" w:hAnsi="Times New Roman"/>
          <w:noProof/>
          <w:sz w:val="24"/>
          <w:szCs w:val="24"/>
        </w:rPr>
        <w:t>Teaming, Twinning, European Research Area (ERA) Chairs and COST (European Cooperation in Science and Technology) to help countries with lower participation rates increase their succ</w:t>
      </w:r>
      <w:r>
        <w:rPr>
          <w:rFonts w:ascii="Times New Roman" w:hAnsi="Times New Roman"/>
          <w:noProof/>
          <w:sz w:val="24"/>
          <w:szCs w:val="24"/>
        </w:rPr>
        <w:t xml:space="preserve">ess in the competitive R&amp;I framework programmes and to close the participation gap and innovation divide. This is </w:t>
      </w:r>
      <w:r>
        <w:rPr>
          <w:rFonts w:ascii="Times New Roman" w:hAnsi="Times New Roman"/>
          <w:noProof/>
          <w:sz w:val="24"/>
          <w:szCs w:val="24"/>
          <w:lang w:val="nl-NL"/>
        </w:rPr>
        <w:t>carried out</w:t>
      </w:r>
      <w:r>
        <w:rPr>
          <w:rFonts w:ascii="Times New Roman" w:hAnsi="Times New Roman"/>
          <w:noProof/>
          <w:sz w:val="24"/>
          <w:szCs w:val="24"/>
        </w:rPr>
        <w:t xml:space="preserve"> by supporting</w:t>
      </w:r>
      <w:r>
        <w:rPr>
          <w:rFonts w:ascii="Times New Roman" w:hAnsi="Times New Roman"/>
          <w:noProof/>
          <w:sz w:val="24"/>
          <w:szCs w:val="24"/>
          <w:lang w:val="nl-NL"/>
        </w:rPr>
        <w:t>, through a competitive process,</w:t>
      </w:r>
      <w:r>
        <w:rPr>
          <w:rFonts w:ascii="Times New Roman" w:hAnsi="Times New Roman"/>
          <w:noProof/>
          <w:sz w:val="24"/>
          <w:szCs w:val="24"/>
        </w:rPr>
        <w:t xml:space="preserve"> legal entities from these countries to be coordinators in the projects funded under </w:t>
      </w:r>
      <w:r>
        <w:rPr>
          <w:rFonts w:ascii="Times New Roman" w:hAnsi="Times New Roman"/>
          <w:noProof/>
          <w:sz w:val="24"/>
          <w:szCs w:val="24"/>
        </w:rPr>
        <w:t>these measures. For Horizon Europe, the co-legislators have agreed in their common understanding to increase the share of expenditure for this area of intervention.</w:t>
      </w:r>
    </w:p>
    <w:p w:rsidR="002A53BA" w:rsidRDefault="002A53BA">
      <w:pPr>
        <w:pStyle w:val="CorpoA"/>
        <w:tabs>
          <w:tab w:val="left" w:pos="850"/>
        </w:tabs>
        <w:spacing w:before="360" w:after="120" w:line="240" w:lineRule="auto"/>
        <w:ind w:left="855"/>
        <w:jc w:val="both"/>
        <w:outlineLvl w:val="0"/>
        <w:rPr>
          <w:rFonts w:ascii="Times New Roman" w:eastAsia="Times New Roman" w:hAnsi="Times New Roman" w:cs="Times New Roman"/>
          <w:noProof/>
          <w:sz w:val="24"/>
          <w:szCs w:val="24"/>
        </w:rPr>
      </w:pPr>
    </w:p>
    <w:p w:rsidR="002A53BA" w:rsidRDefault="0044511F">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noProof/>
          <w:sz w:val="24"/>
          <w:szCs w:val="24"/>
        </w:rPr>
        <w:t xml:space="preserve">6.2 </w:t>
      </w:r>
      <w:r>
        <w:rPr>
          <w:rFonts w:ascii="Times New Roman" w:hAnsi="Times New Roman"/>
          <w:b/>
          <w:bCs/>
          <w:smallCaps/>
          <w:noProof/>
          <w:sz w:val="24"/>
          <w:szCs w:val="24"/>
        </w:rPr>
        <w:t xml:space="preserve">Information on beneficiaries </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The European Parliament called on the Commission and the</w:t>
      </w:r>
      <w:r>
        <w:rPr>
          <w:rFonts w:ascii="Times New Roman" w:hAnsi="Times New Roman"/>
          <w:noProof/>
          <w:sz w:val="24"/>
          <w:szCs w:val="24"/>
        </w:rPr>
        <w:t xml:space="preserve"> Member States to </w:t>
      </w:r>
      <w:r>
        <w:rPr>
          <w:rFonts w:ascii="Times New Roman" w:hAnsi="Times New Roman"/>
          <w:b/>
          <w:bCs/>
          <w:noProof/>
          <w:sz w:val="24"/>
          <w:szCs w:val="24"/>
        </w:rPr>
        <w:t>provide information on beneficiaries in a uniform manner and ensure the interoperability</w:t>
      </w:r>
      <w:r>
        <w:rPr>
          <w:rFonts w:ascii="Times New Roman" w:hAnsi="Times New Roman"/>
          <w:noProof/>
          <w:sz w:val="24"/>
          <w:szCs w:val="24"/>
        </w:rPr>
        <w:t xml:space="preserve"> of information. It also requested a list of the </w:t>
      </w:r>
      <w:r>
        <w:rPr>
          <w:rFonts w:ascii="Times New Roman" w:hAnsi="Times New Roman"/>
          <w:b/>
          <w:bCs/>
          <w:noProof/>
          <w:sz w:val="24"/>
          <w:szCs w:val="24"/>
        </w:rPr>
        <w:t>largest beneficiaries</w:t>
      </w:r>
      <w:r>
        <w:rPr>
          <w:rFonts w:ascii="Times New Roman" w:hAnsi="Times New Roman"/>
          <w:noProof/>
          <w:sz w:val="24"/>
          <w:szCs w:val="24"/>
          <w:lang w:val="nl-NL"/>
        </w:rPr>
        <w:t xml:space="preserve"> </w:t>
      </w:r>
      <w:r>
        <w:rPr>
          <w:rFonts w:ascii="Times New Roman" w:hAnsi="Times New Roman"/>
          <w:noProof/>
          <w:sz w:val="24"/>
          <w:szCs w:val="24"/>
        </w:rPr>
        <w:t>and requested that information on final beneficiaries should include specificat</w:t>
      </w:r>
      <w:r>
        <w:rPr>
          <w:rFonts w:ascii="Times New Roman" w:hAnsi="Times New Roman"/>
          <w:noProof/>
          <w:sz w:val="24"/>
          <w:szCs w:val="24"/>
        </w:rPr>
        <w:t>ion on the beneficial owners of companies (natural and legal persons)</w:t>
      </w:r>
      <w:r>
        <w:rPr>
          <w:rFonts w:ascii="Times New Roman" w:hAnsi="Times New Roman"/>
          <w:noProof/>
          <w:sz w:val="24"/>
          <w:szCs w:val="24"/>
          <w:lang w:val="nl-NL"/>
        </w:rPr>
        <w:t>.</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The Commission publishes information in its </w:t>
      </w:r>
      <w:r>
        <w:rPr>
          <w:rFonts w:ascii="Times New Roman" w:hAnsi="Times New Roman"/>
          <w:b/>
          <w:bCs/>
          <w:noProof/>
          <w:sz w:val="24"/>
          <w:szCs w:val="24"/>
        </w:rPr>
        <w:t>Financial Transparency System</w:t>
      </w:r>
      <w:r>
        <w:rPr>
          <w:rFonts w:ascii="Times New Roman" w:hAnsi="Times New Roman"/>
          <w:noProof/>
          <w:sz w:val="24"/>
          <w:szCs w:val="24"/>
        </w:rPr>
        <w:t xml:space="preserve"> on the beneficiaries of funding from the EU budget for programmes that it implements directly. In shared manage</w:t>
      </w:r>
      <w:r>
        <w:rPr>
          <w:rFonts w:ascii="Times New Roman" w:hAnsi="Times New Roman"/>
          <w:noProof/>
          <w:sz w:val="24"/>
          <w:szCs w:val="24"/>
        </w:rPr>
        <w:t>ment – such as the Common Agricultural Policy and Cohesion Policy – the obligation to manage and publish the data on the beneficiaries of EU funds lies with the Member States. The main rules for publishing information on beneficiaries are set out in the Fi</w:t>
      </w:r>
      <w:r>
        <w:rPr>
          <w:rFonts w:ascii="Times New Roman" w:hAnsi="Times New Roman"/>
          <w:noProof/>
          <w:sz w:val="24"/>
          <w:szCs w:val="24"/>
        </w:rPr>
        <w:t>nancial Regulation as well as in the relevant, sector-specific legislation.</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Member States shall ensure annual ex-post publication of the beneficiaries of the </w:t>
      </w:r>
      <w:r>
        <w:rPr>
          <w:rFonts w:ascii="Times New Roman" w:hAnsi="Times New Roman"/>
          <w:b/>
          <w:bCs/>
          <w:noProof/>
          <w:sz w:val="24"/>
          <w:szCs w:val="24"/>
        </w:rPr>
        <w:t>Common Agricultural Policy</w:t>
      </w:r>
      <w:r>
        <w:rPr>
          <w:rFonts w:ascii="Times New Roman" w:hAnsi="Times New Roman"/>
          <w:noProof/>
          <w:sz w:val="24"/>
          <w:szCs w:val="24"/>
        </w:rPr>
        <w:t xml:space="preserve"> funds on a single website per Member State</w:t>
      </w:r>
      <w:r>
        <w:rPr>
          <w:rFonts w:ascii="Times New Roman" w:eastAsia="Times New Roman" w:hAnsi="Times New Roman" w:cs="Times New Roman"/>
          <w:noProof/>
          <w:sz w:val="24"/>
          <w:szCs w:val="24"/>
          <w:vertAlign w:val="superscript"/>
          <w:lang w:val="nl-NL"/>
        </w:rPr>
        <w:footnoteReference w:id="4"/>
      </w:r>
      <w:r>
        <w:rPr>
          <w:rFonts w:ascii="Times New Roman" w:hAnsi="Times New Roman"/>
          <w:noProof/>
          <w:sz w:val="24"/>
          <w:szCs w:val="24"/>
        </w:rPr>
        <w:t>. All the websites are avail</w:t>
      </w:r>
      <w:r>
        <w:rPr>
          <w:rFonts w:ascii="Times New Roman" w:hAnsi="Times New Roman"/>
          <w:noProof/>
          <w:sz w:val="24"/>
          <w:szCs w:val="24"/>
        </w:rPr>
        <w:t xml:space="preserve">able through links on europa.eu: </w:t>
      </w:r>
      <w:r>
        <w:rPr>
          <w:rFonts w:ascii="Times New Roman" w:hAnsi="Times New Roman"/>
          <w:i/>
          <w:iCs/>
          <w:noProof/>
          <w:sz w:val="24"/>
          <w:szCs w:val="24"/>
        </w:rPr>
        <w:t>https://ec.europa.eu/info/food-</w:t>
      </w:r>
      <w:r>
        <w:rPr>
          <w:rFonts w:ascii="Times New Roman" w:hAnsi="Times New Roman"/>
          <w:i/>
          <w:iCs/>
          <w:noProof/>
          <w:sz w:val="24"/>
          <w:szCs w:val="24"/>
        </w:rPr>
        <w:lastRenderedPageBreak/>
        <w:t>farming-fisheries/key-policies/common-agricultural-policy/financing-cap/controls-and-transparency/beneficiaries_en</w:t>
      </w:r>
      <w:r>
        <w:rPr>
          <w:rFonts w:ascii="Times New Roman" w:hAnsi="Times New Roman"/>
          <w:noProof/>
          <w:sz w:val="24"/>
          <w:szCs w:val="24"/>
        </w:rPr>
        <w:t>.</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Fonts w:ascii="Times New Roman" w:hAnsi="Times New Roman"/>
          <w:b/>
          <w:bCs/>
          <w:noProof/>
          <w:sz w:val="24"/>
          <w:szCs w:val="24"/>
        </w:rPr>
        <w:t>For Cohesion Policy</w:t>
      </w:r>
      <w:r>
        <w:rPr>
          <w:rFonts w:ascii="Times New Roman" w:hAnsi="Times New Roman"/>
          <w:b/>
          <w:bCs/>
          <w:noProof/>
          <w:sz w:val="24"/>
          <w:szCs w:val="24"/>
          <w:lang w:val="nl-NL"/>
        </w:rPr>
        <w:t xml:space="preserve"> </w:t>
      </w:r>
      <w:r>
        <w:rPr>
          <w:rFonts w:ascii="Times New Roman" w:hAnsi="Times New Roman"/>
          <w:b/>
          <w:bCs/>
          <w:noProof/>
          <w:sz w:val="24"/>
          <w:szCs w:val="24"/>
          <w:shd w:val="clear" w:color="auto" w:fill="FEFFFF"/>
        </w:rPr>
        <w:t>and for the European Maritime and Fisheries Fund (EMFF)</w:t>
      </w:r>
      <w:r>
        <w:rPr>
          <w:rFonts w:ascii="Times New Roman" w:hAnsi="Times New Roman"/>
          <w:noProof/>
          <w:sz w:val="24"/>
          <w:szCs w:val="24"/>
          <w:shd w:val="clear" w:color="auto" w:fill="FEFFFF"/>
        </w:rPr>
        <w:t>,</w:t>
      </w:r>
      <w:r>
        <w:rPr>
          <w:rFonts w:ascii="Times New Roman" w:hAnsi="Times New Roman"/>
          <w:noProof/>
          <w:sz w:val="24"/>
          <w:szCs w:val="24"/>
          <w:shd w:val="clear" w:color="auto" w:fill="FEFFFF"/>
        </w:rPr>
        <w:t xml:space="preserve"> the lists of beneficiaries have to be published and made available on Member States</w:t>
      </w:r>
      <w:r>
        <w:rPr>
          <w:rFonts w:ascii="Times New Roman" w:hAnsi="Times New Roman"/>
          <w:noProof/>
          <w:sz w:val="24"/>
          <w:szCs w:val="24"/>
        </w:rPr>
        <w:t xml:space="preserve"> programmes’ sites</w:t>
      </w:r>
      <w:r>
        <w:rPr>
          <w:rFonts w:ascii="Times New Roman" w:eastAsia="Times New Roman" w:hAnsi="Times New Roman" w:cs="Times New Roman"/>
          <w:noProof/>
          <w:sz w:val="24"/>
          <w:szCs w:val="24"/>
          <w:vertAlign w:val="superscript"/>
          <w:lang w:val="nl-NL"/>
        </w:rPr>
        <w:footnoteReference w:id="5"/>
      </w:r>
      <w:r>
        <w:rPr>
          <w:rFonts w:ascii="Times New Roman" w:hAnsi="Times New Roman"/>
          <w:noProof/>
          <w:sz w:val="24"/>
          <w:szCs w:val="24"/>
        </w:rPr>
        <w:t xml:space="preserve">. As far as regional policy is concerned, access to lists of beneficiaries is available through links on europa.eu: </w:t>
      </w:r>
      <w:hyperlink r:id="rId14" w:history="1">
        <w:r>
          <w:rPr>
            <w:rStyle w:val="Hyperlink0"/>
            <w:rFonts w:eastAsia="Arial Unicode MS"/>
            <w:noProof/>
          </w:rPr>
          <w:t>https://ec.europa.eu/regional_policy/en/atlas/beneficiaries/</w:t>
        </w:r>
      </w:hyperlink>
      <w:r>
        <w:rPr>
          <w:rStyle w:val="None"/>
          <w:rFonts w:ascii="Times New Roman" w:hAnsi="Times New Roman"/>
          <w:noProof/>
          <w:sz w:val="24"/>
          <w:szCs w:val="24"/>
        </w:rPr>
        <w:t>, including an inventory of beneficiaries lists.</w:t>
      </w:r>
      <w:r>
        <w:rPr>
          <w:rStyle w:val="None"/>
          <w:rFonts w:ascii="Times New Roman" w:hAnsi="Times New Roman"/>
          <w:noProof/>
          <w:sz w:val="24"/>
          <w:szCs w:val="24"/>
          <w:lang w:val="nl-NL"/>
        </w:rPr>
        <w:t xml:space="preserve"> </w:t>
      </w:r>
      <w:r>
        <w:rPr>
          <w:rStyle w:val="None"/>
          <w:rFonts w:ascii="Times New Roman" w:hAnsi="Times New Roman"/>
          <w:noProof/>
          <w:sz w:val="24"/>
          <w:szCs w:val="24"/>
        </w:rPr>
        <w:t>A similar webpage with links for the EMFF is available at: </w:t>
      </w:r>
      <w:r>
        <w:rPr>
          <w:rStyle w:val="None"/>
          <w:rFonts w:ascii="Times New Roman" w:hAnsi="Times New Roman"/>
          <w:i/>
          <w:iCs/>
          <w:noProof/>
          <w:color w:val="0000FF"/>
          <w:sz w:val="24"/>
          <w:szCs w:val="24"/>
          <w:u w:color="0000FF"/>
        </w:rPr>
        <w:t>https://ec.europa.eu/fisheries/contracts_and_fun</w:t>
      </w:r>
      <w:r>
        <w:rPr>
          <w:rStyle w:val="None"/>
          <w:rFonts w:ascii="Times New Roman" w:hAnsi="Times New Roman"/>
          <w:i/>
          <w:iCs/>
          <w:noProof/>
          <w:color w:val="0000FF"/>
          <w:sz w:val="24"/>
          <w:szCs w:val="24"/>
          <w:u w:color="0000FF"/>
        </w:rPr>
        <w:t>ding/the_european_transparency_initiative_en/</w:t>
      </w:r>
      <w:r>
        <w:rPr>
          <w:rStyle w:val="None"/>
          <w:rFonts w:ascii="Times New Roman" w:hAnsi="Times New Roman"/>
          <w:i/>
          <w:iCs/>
          <w:noProof/>
          <w:color w:val="FFFFFF"/>
          <w:sz w:val="24"/>
          <w:szCs w:val="24"/>
          <w:u w:color="FFFFFF"/>
          <w:lang w:val="nl-NL"/>
        </w:rPr>
        <w:t xml:space="preserve">.. </w:t>
      </w:r>
      <w:r>
        <w:rPr>
          <w:rStyle w:val="None"/>
          <w:rFonts w:ascii="Times New Roman" w:hAnsi="Times New Roman"/>
          <w:b/>
          <w:bCs/>
          <w:noProof/>
          <w:sz w:val="24"/>
          <w:szCs w:val="24"/>
        </w:rPr>
        <w:t>The Commission is exploring possible actions to improve information on beneficiaries of EU funds while taking into account the legislative framework, potential administrative burdens and including data protec</w:t>
      </w:r>
      <w:r>
        <w:rPr>
          <w:rStyle w:val="None"/>
          <w:rFonts w:ascii="Times New Roman" w:hAnsi="Times New Roman"/>
          <w:b/>
          <w:bCs/>
          <w:noProof/>
          <w:sz w:val="24"/>
          <w:szCs w:val="24"/>
        </w:rPr>
        <w:t>tion rules.</w:t>
      </w:r>
      <w:r>
        <w:rPr>
          <w:rStyle w:val="None"/>
          <w:rFonts w:ascii="Times New Roman" w:hAnsi="Times New Roman"/>
          <w:noProof/>
          <w:sz w:val="24"/>
          <w:szCs w:val="24"/>
        </w:rPr>
        <w:t xml:space="preserve"> It is also looking into the possibility of strengthening the electronic management and exchange of information with Member States in shared management</w:t>
      </w:r>
      <w:r>
        <w:rPr>
          <w:rStyle w:val="None"/>
          <w:rFonts w:ascii="Times New Roman" w:hAnsi="Times New Roman"/>
          <w:noProof/>
          <w:sz w:val="24"/>
          <w:szCs w:val="24"/>
          <w:lang w:val="nl-NL"/>
        </w:rPr>
        <w:t xml:space="preserve"> </w:t>
      </w:r>
      <w:r>
        <w:rPr>
          <w:rStyle w:val="None"/>
          <w:rFonts w:ascii="Times New Roman" w:hAnsi="Times New Roman"/>
          <w:noProof/>
          <w:sz w:val="24"/>
          <w:szCs w:val="24"/>
        </w:rPr>
        <w:t>to ensure better interoperability of data in general. It will further look into the possibili</w:t>
      </w:r>
      <w:r>
        <w:rPr>
          <w:rStyle w:val="None"/>
          <w:rFonts w:ascii="Times New Roman" w:hAnsi="Times New Roman"/>
          <w:noProof/>
          <w:sz w:val="24"/>
          <w:szCs w:val="24"/>
        </w:rPr>
        <w:t>ties offered by the Arachne data mining tool.</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Finally, the Commission is following up the request of the European Parliament regarding the </w:t>
      </w:r>
      <w:r>
        <w:rPr>
          <w:rStyle w:val="None"/>
          <w:rFonts w:ascii="Times New Roman" w:hAnsi="Times New Roman"/>
          <w:b/>
          <w:bCs/>
          <w:noProof/>
          <w:sz w:val="24"/>
          <w:szCs w:val="24"/>
        </w:rPr>
        <w:t xml:space="preserve">largest beneficiaries of EU funds </w:t>
      </w:r>
      <w:r>
        <w:rPr>
          <w:rStyle w:val="None"/>
          <w:rFonts w:ascii="Times New Roman" w:hAnsi="Times New Roman"/>
          <w:noProof/>
          <w:sz w:val="24"/>
          <w:szCs w:val="24"/>
        </w:rPr>
        <w:t xml:space="preserve">under the Common Agricultural Policy and Cohesion policy. Since the responsibility </w:t>
      </w:r>
      <w:r>
        <w:rPr>
          <w:rStyle w:val="None"/>
          <w:rFonts w:ascii="Times New Roman" w:hAnsi="Times New Roman"/>
          <w:noProof/>
          <w:sz w:val="24"/>
          <w:szCs w:val="24"/>
        </w:rPr>
        <w:t>to collect the requested data lies with the Member States, the Commission was obliged to contact the respective authorities in the Member States to obtain the information. However, the COVID-19 crisis made the exercise more complicated than under normal ci</w:t>
      </w:r>
      <w:r>
        <w:rPr>
          <w:rStyle w:val="None"/>
          <w:rFonts w:ascii="Times New Roman" w:hAnsi="Times New Roman"/>
          <w:noProof/>
          <w:sz w:val="24"/>
          <w:szCs w:val="24"/>
        </w:rPr>
        <w:t>rcumstances. The Commission will provide a comprehensive reply to the European Parliament once it is in a position to do so.</w:t>
      </w:r>
    </w:p>
    <w:p w:rsidR="002A53BA" w:rsidRDefault="002A53BA">
      <w:pPr>
        <w:pStyle w:val="CorpoA"/>
        <w:spacing w:before="120" w:after="120" w:line="240" w:lineRule="auto"/>
        <w:ind w:left="851"/>
        <w:jc w:val="both"/>
        <w:rPr>
          <w:rStyle w:val="None"/>
          <w:rFonts w:ascii="Times New Roman" w:eastAsia="Times New Roman" w:hAnsi="Times New Roman" w:cs="Times New Roman"/>
          <w:noProof/>
          <w:sz w:val="24"/>
          <w:szCs w:val="24"/>
        </w:rPr>
      </w:pPr>
    </w:p>
    <w:p w:rsidR="002A53BA" w:rsidRDefault="0044511F">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noProof/>
          <w:sz w:val="24"/>
          <w:szCs w:val="24"/>
        </w:rPr>
        <w:t xml:space="preserve">6.3 </w:t>
      </w:r>
      <w:r>
        <w:rPr>
          <w:rStyle w:val="None"/>
          <w:rFonts w:ascii="Times New Roman" w:hAnsi="Times New Roman"/>
          <w:b/>
          <w:bCs/>
          <w:smallCaps/>
          <w:noProof/>
          <w:sz w:val="24"/>
          <w:szCs w:val="24"/>
        </w:rPr>
        <w:t>Financial instruments managed by the EIB group</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shd w:val="clear" w:color="auto" w:fill="FFFFFF"/>
        </w:rPr>
      </w:pPr>
      <w:r>
        <w:rPr>
          <w:rStyle w:val="None"/>
          <w:rFonts w:ascii="Times New Roman" w:hAnsi="Times New Roman"/>
          <w:noProof/>
          <w:sz w:val="24"/>
          <w:szCs w:val="24"/>
        </w:rPr>
        <w:t>The European Parliament and the Council invited the Commission to provide relev</w:t>
      </w:r>
      <w:r>
        <w:rPr>
          <w:rStyle w:val="None"/>
          <w:rFonts w:ascii="Times New Roman" w:hAnsi="Times New Roman"/>
          <w:noProof/>
          <w:sz w:val="24"/>
          <w:szCs w:val="24"/>
        </w:rPr>
        <w:t xml:space="preserve">ant </w:t>
      </w:r>
      <w:r>
        <w:rPr>
          <w:rStyle w:val="None"/>
          <w:rFonts w:ascii="Times New Roman" w:hAnsi="Times New Roman"/>
          <w:b/>
          <w:bCs/>
          <w:noProof/>
          <w:sz w:val="24"/>
          <w:szCs w:val="24"/>
        </w:rPr>
        <w:t>information on the funds transferred from the EU budget</w:t>
      </w:r>
      <w:r>
        <w:rPr>
          <w:rStyle w:val="None"/>
          <w:rFonts w:ascii="Times New Roman" w:hAnsi="Times New Roman"/>
          <w:noProof/>
          <w:sz w:val="24"/>
          <w:szCs w:val="24"/>
        </w:rPr>
        <w:t xml:space="preserve"> for financial instruments managed by the EIB Group. </w:t>
      </w:r>
      <w:r>
        <w:rPr>
          <w:rStyle w:val="None"/>
          <w:rFonts w:ascii="Times New Roman" w:hAnsi="Times New Roman"/>
          <w:noProof/>
          <w:sz w:val="24"/>
          <w:szCs w:val="24"/>
          <w:shd w:val="clear" w:color="auto" w:fill="FFFFFF"/>
        </w:rPr>
        <w:t>The Commission will continue to provide</w:t>
      </w:r>
      <w:r>
        <w:rPr>
          <w:rStyle w:val="None"/>
          <w:rFonts w:ascii="Times New Roman" w:hAnsi="Times New Roman"/>
          <w:noProof/>
          <w:sz w:val="24"/>
          <w:szCs w:val="24"/>
          <w:shd w:val="clear" w:color="auto" w:fill="FFFFFF"/>
          <w:lang w:val="nl-NL"/>
        </w:rPr>
        <w:t xml:space="preserve"> each year</w:t>
      </w:r>
      <w:r>
        <w:rPr>
          <w:rStyle w:val="None"/>
          <w:rFonts w:ascii="Times New Roman" w:hAnsi="Times New Roman"/>
          <w:noProof/>
          <w:sz w:val="24"/>
          <w:szCs w:val="24"/>
          <w:shd w:val="clear" w:color="auto" w:fill="FFFFFF"/>
        </w:rPr>
        <w:t xml:space="preserve"> the budget authority with an annual detailed report on all financial instruments</w:t>
      </w:r>
      <w:r>
        <w:rPr>
          <w:rStyle w:val="None"/>
          <w:rFonts w:ascii="Times New Roman" w:hAnsi="Times New Roman"/>
          <w:noProof/>
          <w:sz w:val="24"/>
          <w:szCs w:val="24"/>
          <w:shd w:val="clear" w:color="auto" w:fill="FFFFFF"/>
          <w:lang w:val="nl-NL"/>
        </w:rPr>
        <w:t xml:space="preserve"> in the form o</w:t>
      </w:r>
      <w:r>
        <w:rPr>
          <w:rStyle w:val="None"/>
          <w:rFonts w:ascii="Times New Roman" w:hAnsi="Times New Roman"/>
          <w:noProof/>
          <w:sz w:val="24"/>
          <w:szCs w:val="24"/>
          <w:shd w:val="clear" w:color="auto" w:fill="FFFFFF"/>
          <w:lang w:val="nl-NL"/>
        </w:rPr>
        <w:t>f “Working Document X on Financial Instruments” attached to the Draft Budget  N+1 as per Article 41(4) of the Financial Regulation</w:t>
      </w:r>
      <w:r>
        <w:rPr>
          <w:rStyle w:val="None"/>
          <w:rFonts w:ascii="Times New Roman" w:hAnsi="Times New Roman"/>
          <w:noProof/>
          <w:sz w:val="24"/>
          <w:szCs w:val="24"/>
          <w:shd w:val="clear" w:color="auto" w:fill="FFFFFF"/>
        </w:rPr>
        <w:t xml:space="preserve">. The report </w:t>
      </w:r>
      <w:r>
        <w:rPr>
          <w:rStyle w:val="None"/>
          <w:rFonts w:ascii="Times New Roman" w:hAnsi="Times New Roman"/>
          <w:noProof/>
          <w:sz w:val="24"/>
          <w:szCs w:val="24"/>
          <w:shd w:val="clear" w:color="auto" w:fill="FFFFFF"/>
          <w:lang w:val="nl-NL"/>
        </w:rPr>
        <w:t xml:space="preserve">produced in 2020, to be attached to the Draft Budget 2021, </w:t>
      </w:r>
      <w:r>
        <w:rPr>
          <w:rStyle w:val="None"/>
          <w:rFonts w:ascii="Times New Roman" w:hAnsi="Times New Roman"/>
          <w:noProof/>
          <w:sz w:val="24"/>
          <w:szCs w:val="24"/>
          <w:shd w:val="clear" w:color="auto" w:fill="FFFFFF"/>
        </w:rPr>
        <w:t>also include</w:t>
      </w:r>
      <w:r>
        <w:rPr>
          <w:rStyle w:val="None"/>
          <w:rFonts w:ascii="Times New Roman" w:hAnsi="Times New Roman"/>
          <w:noProof/>
          <w:sz w:val="24"/>
          <w:szCs w:val="24"/>
          <w:shd w:val="clear" w:color="auto" w:fill="FFFFFF"/>
          <w:lang w:val="nl-NL"/>
        </w:rPr>
        <w:t>s</w:t>
      </w:r>
      <w:r>
        <w:rPr>
          <w:rStyle w:val="None"/>
          <w:rFonts w:ascii="Times New Roman" w:hAnsi="Times New Roman"/>
          <w:noProof/>
          <w:sz w:val="24"/>
          <w:szCs w:val="24"/>
          <w:shd w:val="clear" w:color="auto" w:fill="FFFFFF"/>
        </w:rPr>
        <w:t xml:space="preserve"> the overall amount and the breakdown of </w:t>
      </w:r>
      <w:r>
        <w:rPr>
          <w:rStyle w:val="None"/>
          <w:rFonts w:ascii="Times New Roman" w:hAnsi="Times New Roman"/>
          <w:noProof/>
          <w:sz w:val="24"/>
          <w:szCs w:val="24"/>
          <w:shd w:val="clear" w:color="auto" w:fill="FFFFFF"/>
        </w:rPr>
        <w:t>the funds transferred to the financial instruments managed by the EIB Group. This comprehensive reporting ensure</w:t>
      </w:r>
      <w:r>
        <w:rPr>
          <w:rStyle w:val="None"/>
          <w:rFonts w:ascii="Times New Roman" w:hAnsi="Times New Roman"/>
          <w:noProof/>
          <w:sz w:val="24"/>
          <w:szCs w:val="24"/>
          <w:shd w:val="clear" w:color="auto" w:fill="FFFFFF"/>
          <w:lang w:val="nl-NL"/>
        </w:rPr>
        <w:t>s</w:t>
      </w:r>
      <w:r>
        <w:rPr>
          <w:rStyle w:val="None"/>
          <w:rFonts w:ascii="Times New Roman" w:hAnsi="Times New Roman"/>
          <w:noProof/>
          <w:sz w:val="24"/>
          <w:szCs w:val="24"/>
          <w:shd w:val="clear" w:color="auto" w:fill="FFFFFF"/>
        </w:rPr>
        <w:t xml:space="preserve"> transparency and allow</w:t>
      </w:r>
      <w:r>
        <w:rPr>
          <w:rStyle w:val="None"/>
          <w:rFonts w:ascii="Times New Roman" w:hAnsi="Times New Roman"/>
          <w:noProof/>
          <w:sz w:val="24"/>
          <w:szCs w:val="24"/>
          <w:shd w:val="clear" w:color="auto" w:fill="FFFFFF"/>
          <w:lang w:val="nl-NL"/>
        </w:rPr>
        <w:t>s</w:t>
      </w:r>
      <w:r>
        <w:rPr>
          <w:rStyle w:val="None"/>
          <w:rFonts w:ascii="Times New Roman" w:hAnsi="Times New Roman"/>
          <w:noProof/>
          <w:sz w:val="24"/>
          <w:szCs w:val="24"/>
          <w:shd w:val="clear" w:color="auto" w:fill="FFFFFF"/>
        </w:rPr>
        <w:t xml:space="preserve"> proper scrutiny.</w:t>
      </w:r>
    </w:p>
    <w:p w:rsidR="002A53BA" w:rsidRDefault="0044511F">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noProof/>
          <w:sz w:val="24"/>
          <w:szCs w:val="24"/>
        </w:rPr>
        <w:t xml:space="preserve">6.4  </w:t>
      </w:r>
      <w:r>
        <w:rPr>
          <w:rStyle w:val="None"/>
          <w:rFonts w:ascii="Times New Roman" w:hAnsi="Times New Roman"/>
          <w:b/>
          <w:bCs/>
          <w:smallCaps/>
          <w:noProof/>
          <w:sz w:val="24"/>
          <w:szCs w:val="24"/>
        </w:rPr>
        <w:t>Traditional own resources</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The European Parliament urged the Commission to review, together with </w:t>
      </w:r>
      <w:r>
        <w:rPr>
          <w:rStyle w:val="None"/>
          <w:rFonts w:ascii="Times New Roman" w:hAnsi="Times New Roman"/>
          <w:noProof/>
          <w:sz w:val="24"/>
          <w:szCs w:val="24"/>
        </w:rPr>
        <w:t>the Member States, how customs duties can be more effectively collected and possible improvements in the recovery of fraudulent amounts. The Council stressed the importance of accurate data.</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b/>
          <w:bCs/>
          <w:noProof/>
          <w:sz w:val="24"/>
          <w:szCs w:val="24"/>
        </w:rPr>
        <w:t>The Commission is determined to avoid losses of customs duties.</w:t>
      </w:r>
      <w:r>
        <w:rPr>
          <w:rStyle w:val="None"/>
          <w:rFonts w:ascii="Times New Roman" w:hAnsi="Times New Roman"/>
          <w:noProof/>
          <w:sz w:val="24"/>
          <w:szCs w:val="24"/>
        </w:rPr>
        <w:t xml:space="preserve"> I</w:t>
      </w:r>
      <w:r>
        <w:rPr>
          <w:rStyle w:val="None"/>
          <w:rFonts w:ascii="Times New Roman" w:hAnsi="Times New Roman"/>
          <w:noProof/>
          <w:sz w:val="24"/>
          <w:szCs w:val="24"/>
        </w:rPr>
        <w:t xml:space="preserve">t acts as soon as irregularities are detected and meticulously follows up on inspection findings in </w:t>
      </w:r>
      <w:r>
        <w:rPr>
          <w:rStyle w:val="None"/>
          <w:rFonts w:ascii="Times New Roman" w:hAnsi="Times New Roman"/>
          <w:noProof/>
          <w:sz w:val="24"/>
          <w:szCs w:val="24"/>
        </w:rPr>
        <w:lastRenderedPageBreak/>
        <w:t xml:space="preserve">order to ensure that Traditional Own Resources losses to the EU budget are recovered in full. </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However, the responsibility for collecting the customs duties</w:t>
      </w:r>
      <w:r>
        <w:rPr>
          <w:rStyle w:val="None"/>
          <w:rFonts w:ascii="Times New Roman" w:hAnsi="Times New Roman"/>
          <w:noProof/>
          <w:sz w:val="24"/>
          <w:szCs w:val="24"/>
        </w:rPr>
        <w:t xml:space="preserve"> is primarily that of the Member States. </w:t>
      </w:r>
      <w:r>
        <w:rPr>
          <w:rStyle w:val="None"/>
          <w:rFonts w:ascii="Times New Roman" w:hAnsi="Times New Roman"/>
          <w:b/>
          <w:bCs/>
          <w:noProof/>
          <w:sz w:val="24"/>
          <w:szCs w:val="24"/>
        </w:rPr>
        <w:t>The Commission is currently considering how to better pool expertise and resources to reinforce the customs union in “acting as one”</w:t>
      </w:r>
      <w:r>
        <w:rPr>
          <w:rStyle w:val="None"/>
          <w:rFonts w:ascii="Times New Roman" w:hAnsi="Times New Roman"/>
          <w:b/>
          <w:bCs/>
          <w:noProof/>
          <w:sz w:val="24"/>
          <w:szCs w:val="24"/>
          <w:lang w:val="nl-NL"/>
        </w:rPr>
        <w:t xml:space="preserve"> </w:t>
      </w:r>
      <w:r>
        <w:rPr>
          <w:rStyle w:val="None"/>
          <w:rFonts w:ascii="Times New Roman" w:hAnsi="Times New Roman"/>
          <w:b/>
          <w:bCs/>
          <w:noProof/>
          <w:sz w:val="24"/>
          <w:szCs w:val="24"/>
        </w:rPr>
        <w:t>and will present to this effect an Action Plan to reinforce the Customs Union.</w:t>
      </w:r>
      <w:r>
        <w:rPr>
          <w:rStyle w:val="None"/>
          <w:rFonts w:ascii="Times New Roman" w:hAnsi="Times New Roman"/>
          <w:noProof/>
          <w:sz w:val="24"/>
          <w:szCs w:val="24"/>
        </w:rPr>
        <w:t xml:space="preserve"> In addition, the Commission issues recommendations to Member States to enhance their control strategies. Moreover, the Commission is developing a wider and more structured usage of data mining techniques to improve its monitoring of imports flows in order</w:t>
      </w:r>
      <w:r>
        <w:rPr>
          <w:rStyle w:val="None"/>
          <w:rFonts w:ascii="Times New Roman" w:hAnsi="Times New Roman"/>
          <w:noProof/>
          <w:sz w:val="24"/>
          <w:szCs w:val="24"/>
        </w:rPr>
        <w:t xml:space="preserve"> to detect changes in fraud patterns. The Commission will propose legislation to create a Single Window Environment for customs that will facilitate the controls at EU borders.</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It will also examine how reinforced desk checks focusing on unusual changes in </w:t>
      </w:r>
      <w:r>
        <w:rPr>
          <w:rStyle w:val="None"/>
          <w:rFonts w:ascii="Times New Roman" w:hAnsi="Times New Roman"/>
          <w:noProof/>
          <w:sz w:val="24"/>
          <w:szCs w:val="24"/>
        </w:rPr>
        <w:t>the Traditional Own Resources statements could generate effective and efficient value added in detecting errors.</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As far as </w:t>
      </w:r>
      <w:r>
        <w:rPr>
          <w:rStyle w:val="None"/>
          <w:rFonts w:ascii="Times New Roman" w:hAnsi="Times New Roman"/>
          <w:b/>
          <w:bCs/>
          <w:noProof/>
          <w:sz w:val="24"/>
          <w:szCs w:val="24"/>
        </w:rPr>
        <w:t>e-commerce</w:t>
      </w:r>
      <w:r>
        <w:rPr>
          <w:rStyle w:val="None"/>
          <w:rFonts w:ascii="Times New Roman" w:hAnsi="Times New Roman"/>
          <w:noProof/>
          <w:sz w:val="24"/>
          <w:szCs w:val="24"/>
        </w:rPr>
        <w:t xml:space="preserve"> is concerned, in the 2018 report on the protection of financial interest and fight against fraud, the Commission has recom</w:t>
      </w:r>
      <w:r>
        <w:rPr>
          <w:rStyle w:val="None"/>
          <w:rFonts w:ascii="Times New Roman" w:hAnsi="Times New Roman"/>
          <w:noProof/>
          <w:sz w:val="24"/>
          <w:szCs w:val="24"/>
        </w:rPr>
        <w:t>mended to Member States - who are in charge of controls - to enforce their control strategy. In addition, the VAT e-commerce package planned to enter into force in 2021 will modernise</w:t>
      </w:r>
      <w:r>
        <w:rPr>
          <w:rStyle w:val="None"/>
          <w:rFonts w:ascii="Times New Roman" w:hAnsi="Times New Roman"/>
          <w:noProof/>
          <w:sz w:val="24"/>
          <w:szCs w:val="24"/>
          <w:lang w:val="nl-NL"/>
        </w:rPr>
        <w:t xml:space="preserve"> the </w:t>
      </w:r>
      <w:r>
        <w:rPr>
          <w:rStyle w:val="None"/>
          <w:rFonts w:ascii="Times New Roman" w:hAnsi="Times New Roman"/>
          <w:noProof/>
          <w:sz w:val="24"/>
          <w:szCs w:val="24"/>
        </w:rPr>
        <w:t>VAT collection and payment for cross-border e-commerce and better pr</w:t>
      </w:r>
      <w:r>
        <w:rPr>
          <w:rStyle w:val="None"/>
          <w:rFonts w:ascii="Times New Roman" w:hAnsi="Times New Roman"/>
          <w:noProof/>
          <w:sz w:val="24"/>
          <w:szCs w:val="24"/>
        </w:rPr>
        <w:t>otect the internal market. The Commission also works together with Member States</w:t>
      </w:r>
      <w:r>
        <w:rPr>
          <w:rStyle w:val="None"/>
          <w:rFonts w:ascii="Times New Roman" w:hAnsi="Times New Roman"/>
          <w:noProof/>
          <w:sz w:val="24"/>
          <w:szCs w:val="24"/>
          <w:lang w:val="nl-NL"/>
        </w:rPr>
        <w:t xml:space="preserve"> </w:t>
      </w:r>
      <w:r>
        <w:rPr>
          <w:rStyle w:val="None"/>
          <w:rFonts w:ascii="Times New Roman" w:hAnsi="Times New Roman"/>
          <w:noProof/>
          <w:sz w:val="24"/>
          <w:szCs w:val="24"/>
        </w:rPr>
        <w:t>and relevant business stakeholders in the framework of the Customs 2020 Project Group on Import and Export Customs Formalities Related to Low Value Consignments to develop a c</w:t>
      </w:r>
      <w:r>
        <w:rPr>
          <w:rStyle w:val="None"/>
          <w:rFonts w:ascii="Times New Roman" w:hAnsi="Times New Roman"/>
          <w:noProof/>
          <w:sz w:val="24"/>
          <w:szCs w:val="24"/>
        </w:rPr>
        <w:t>onsistent approach</w:t>
      </w:r>
      <w:r>
        <w:rPr>
          <w:rStyle w:val="None"/>
          <w:rFonts w:ascii="Times New Roman" w:hAnsi="Times New Roman"/>
          <w:noProof/>
          <w:sz w:val="24"/>
          <w:szCs w:val="24"/>
          <w:lang w:val="nl-NL"/>
        </w:rPr>
        <w:t xml:space="preserve"> </w:t>
      </w:r>
      <w:r>
        <w:rPr>
          <w:rStyle w:val="None"/>
          <w:rFonts w:ascii="Times New Roman" w:hAnsi="Times New Roman"/>
          <w:noProof/>
          <w:sz w:val="24"/>
          <w:szCs w:val="24"/>
        </w:rPr>
        <w:t>for the implementation of the customs related elements of the new VAT rules. Finally, the Commission will consider the issue of e-commerce when establishing its future annual traditional own resources’ inspection programmes.</w:t>
      </w:r>
    </w:p>
    <w:p w:rsidR="002A53BA" w:rsidRDefault="0044511F">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smallCaps/>
          <w:noProof/>
          <w:sz w:val="24"/>
          <w:szCs w:val="24"/>
        </w:rPr>
        <w:t>6.5 COVID-19</w:t>
      </w:r>
      <w:r>
        <w:rPr>
          <w:rStyle w:val="None"/>
          <w:rFonts w:ascii="Times New Roman" w:hAnsi="Times New Roman"/>
          <w:b/>
          <w:bCs/>
          <w:smallCaps/>
          <w:noProof/>
          <w:sz w:val="24"/>
          <w:szCs w:val="24"/>
        </w:rPr>
        <w:t xml:space="preserve"> </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The magnitude of the</w:t>
      </w:r>
      <w:r>
        <w:rPr>
          <w:rStyle w:val="None"/>
          <w:rFonts w:ascii="Times New Roman" w:hAnsi="Times New Roman"/>
          <w:b/>
          <w:bCs/>
          <w:noProof/>
          <w:sz w:val="24"/>
          <w:szCs w:val="24"/>
        </w:rPr>
        <w:t xml:space="preserve"> COVID-19 crisis</w:t>
      </w:r>
      <w:r>
        <w:rPr>
          <w:rStyle w:val="None"/>
          <w:rFonts w:ascii="Times New Roman" w:hAnsi="Times New Roman"/>
          <w:noProof/>
          <w:sz w:val="24"/>
          <w:szCs w:val="24"/>
        </w:rPr>
        <w:t xml:space="preserve"> was not known when the 2018 discharge was discussed in the European Parliament and the Council. Since then, the Commission has taken a range of measures to respond to the crisis caused by the pandemic, such as the Cor</w:t>
      </w:r>
      <w:r>
        <w:rPr>
          <w:rStyle w:val="None"/>
          <w:rFonts w:ascii="Times New Roman" w:hAnsi="Times New Roman"/>
          <w:noProof/>
          <w:sz w:val="24"/>
          <w:szCs w:val="24"/>
        </w:rPr>
        <w:t xml:space="preserve">onavirus Response Investment Initiatives to mitigate its socio-economic impact in the European Union, followed by the proposals for a new recovery instrument Next Generation EU and the reinforced Multiannual Financial Framework 2021-2027 to kick-start the </w:t>
      </w:r>
      <w:r>
        <w:rPr>
          <w:rStyle w:val="None"/>
          <w:rFonts w:ascii="Times New Roman" w:hAnsi="Times New Roman"/>
          <w:noProof/>
          <w:sz w:val="24"/>
          <w:szCs w:val="24"/>
        </w:rPr>
        <w:t xml:space="preserve">European recovery. The pandemic itself, through its massive impact on EU beneficiaries, national authorities and Commission services, as well as the measures taken, </w:t>
      </w:r>
      <w:r>
        <w:rPr>
          <w:rStyle w:val="None"/>
          <w:rFonts w:ascii="Times New Roman" w:hAnsi="Times New Roman"/>
          <w:b/>
          <w:bCs/>
          <w:noProof/>
          <w:sz w:val="24"/>
          <w:szCs w:val="24"/>
        </w:rPr>
        <w:t>will have consequences for the performance of the EU budget and the compliance aspects of f</w:t>
      </w:r>
      <w:r>
        <w:rPr>
          <w:rStyle w:val="None"/>
          <w:rFonts w:ascii="Times New Roman" w:hAnsi="Times New Roman"/>
          <w:b/>
          <w:bCs/>
          <w:noProof/>
          <w:sz w:val="24"/>
          <w:szCs w:val="24"/>
        </w:rPr>
        <w:t>inancial management</w:t>
      </w:r>
      <w:r>
        <w:rPr>
          <w:rStyle w:val="None"/>
          <w:rFonts w:ascii="Times New Roman" w:hAnsi="Times New Roman"/>
          <w:noProof/>
          <w:sz w:val="24"/>
          <w:szCs w:val="24"/>
        </w:rPr>
        <w:t>.</w:t>
      </w:r>
    </w:p>
    <w:p w:rsidR="002A53BA" w:rsidRDefault="0044511F">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To address those issues pro-actively, the Commission is undertaking </w:t>
      </w:r>
      <w:r>
        <w:rPr>
          <w:rStyle w:val="None"/>
          <w:rFonts w:ascii="Times New Roman" w:hAnsi="Times New Roman"/>
          <w:b/>
          <w:bCs/>
          <w:noProof/>
          <w:sz w:val="24"/>
          <w:szCs w:val="24"/>
        </w:rPr>
        <w:t>a targeted risk assessment exercise</w:t>
      </w:r>
      <w:r>
        <w:rPr>
          <w:rStyle w:val="None"/>
          <w:rFonts w:ascii="Times New Roman" w:hAnsi="Times New Roman"/>
          <w:noProof/>
          <w:sz w:val="24"/>
          <w:szCs w:val="24"/>
        </w:rPr>
        <w:t xml:space="preserve"> </w:t>
      </w:r>
      <w:r>
        <w:rPr>
          <w:rStyle w:val="None"/>
          <w:rFonts w:ascii="Times New Roman" w:hAnsi="Times New Roman"/>
          <w:b/>
          <w:bCs/>
          <w:noProof/>
          <w:sz w:val="24"/>
          <w:szCs w:val="24"/>
        </w:rPr>
        <w:t xml:space="preserve">related to the COVID-19 crisis, including an overview of mitigating actions </w:t>
      </w:r>
      <w:r>
        <w:rPr>
          <w:rStyle w:val="None"/>
          <w:rFonts w:ascii="Times New Roman" w:hAnsi="Times New Roman"/>
          <w:noProof/>
          <w:sz w:val="24"/>
          <w:szCs w:val="24"/>
        </w:rPr>
        <w:t>taken or to be taken by the Commission. This risk asses</w:t>
      </w:r>
      <w:r>
        <w:rPr>
          <w:rStyle w:val="None"/>
          <w:rFonts w:ascii="Times New Roman" w:hAnsi="Times New Roman"/>
          <w:noProof/>
          <w:sz w:val="24"/>
          <w:szCs w:val="24"/>
        </w:rPr>
        <w:t>sment covers both performance and compliance aspects</w:t>
      </w:r>
      <w:r>
        <w:rPr>
          <w:rStyle w:val="None"/>
          <w:rFonts w:ascii="Times New Roman" w:hAnsi="Times New Roman"/>
          <w:noProof/>
          <w:sz w:val="24"/>
          <w:szCs w:val="24"/>
          <w:lang w:val="nl-NL"/>
        </w:rPr>
        <w:t xml:space="preserve"> and focuses </w:t>
      </w:r>
      <w:r>
        <w:rPr>
          <w:rStyle w:val="None"/>
          <w:rFonts w:ascii="Times New Roman" w:hAnsi="Times New Roman"/>
          <w:noProof/>
          <w:sz w:val="24"/>
          <w:szCs w:val="24"/>
        </w:rPr>
        <w:t xml:space="preserve">on the control, audit and assurance aspects in relation to the EU budget. The Commission will inform the European Parliament and the Council on the outcome of the risk assessment exercise.  </w:t>
      </w:r>
    </w:p>
    <w:p w:rsidR="002A53BA" w:rsidRDefault="0044511F">
      <w:pPr>
        <w:pStyle w:val="CorpoA"/>
        <w:keepNext/>
        <w:keepLines/>
        <w:numPr>
          <w:ilvl w:val="0"/>
          <w:numId w:val="10"/>
        </w:numPr>
        <w:spacing w:before="360" w:after="120" w:line="240" w:lineRule="auto"/>
        <w:jc w:val="both"/>
        <w:outlineLvl w:val="0"/>
        <w:rPr>
          <w:rFonts w:ascii="Times New Roman" w:hAnsi="Times New Roman"/>
          <w:b/>
          <w:bCs/>
          <w:noProof/>
          <w:sz w:val="24"/>
          <w:szCs w:val="24"/>
          <w:lang w:val="nl-NL"/>
        </w:rPr>
      </w:pPr>
      <w:r>
        <w:rPr>
          <w:rStyle w:val="None"/>
          <w:rFonts w:ascii="Times New Roman" w:hAnsi="Times New Roman"/>
          <w:b/>
          <w:bCs/>
          <w:smallCaps/>
          <w:noProof/>
          <w:sz w:val="24"/>
          <w:szCs w:val="24"/>
          <w:lang w:val="nl-NL"/>
        </w:rPr>
        <w:lastRenderedPageBreak/>
        <w:t>Looking ahead</w:t>
      </w:r>
    </w:p>
    <w:p w:rsidR="002A53BA" w:rsidRDefault="0044511F">
      <w:pPr>
        <w:pStyle w:val="CorpoA"/>
        <w:spacing w:before="120" w:after="120" w:line="240" w:lineRule="auto"/>
        <w:ind w:left="851"/>
        <w:jc w:val="both"/>
        <w:rPr>
          <w:rFonts w:ascii="Times New Roman" w:eastAsia="Times New Roman" w:hAnsi="Times New Roman" w:cs="Times New Roman"/>
          <w:noProof/>
          <w:sz w:val="24"/>
          <w:szCs w:val="24"/>
          <w:lang w:val="nl-NL"/>
        </w:rPr>
      </w:pPr>
      <w:r>
        <w:rPr>
          <w:rStyle w:val="None"/>
          <w:rFonts w:ascii="Times New Roman" w:hAnsi="Times New Roman"/>
          <w:noProof/>
          <w:sz w:val="24"/>
          <w:szCs w:val="24"/>
        </w:rPr>
        <w:t>The negotiations on the 2021-2027 Multiannual Financial Framework and the underlying spending programmes are entering the final phase. The Commission will work closely and constructively with the European Parliament and the Council throughout</w:t>
      </w:r>
      <w:r>
        <w:rPr>
          <w:rStyle w:val="None"/>
          <w:rFonts w:ascii="Times New Roman" w:hAnsi="Times New Roman"/>
          <w:noProof/>
          <w:sz w:val="24"/>
          <w:szCs w:val="24"/>
        </w:rPr>
        <w:t xml:space="preserve"> the process to ensure that the EU budget continues to be managed responsibly, also in the future will achieve results on the ground and can be fully accounted for in the annual discharge procedure.</w:t>
      </w:r>
    </w:p>
    <w:p w:rsidR="002A53BA" w:rsidRDefault="002A53BA">
      <w:pPr>
        <w:pStyle w:val="CorpoA"/>
        <w:spacing w:before="120" w:after="120" w:line="240" w:lineRule="auto"/>
        <w:ind w:left="850"/>
        <w:jc w:val="both"/>
        <w:rPr>
          <w:rFonts w:ascii="Times New Roman" w:eastAsia="Times New Roman" w:hAnsi="Times New Roman" w:cs="Times New Roman"/>
          <w:noProof/>
          <w:sz w:val="24"/>
          <w:szCs w:val="24"/>
          <w:lang w:val="nl-NL"/>
        </w:rPr>
      </w:pPr>
    </w:p>
    <w:p w:rsidR="002A53BA" w:rsidRDefault="0044511F">
      <w:pPr>
        <w:pStyle w:val="CorpoA"/>
        <w:spacing w:before="120" w:after="120" w:line="240" w:lineRule="auto"/>
        <w:ind w:left="850"/>
        <w:jc w:val="center"/>
        <w:rPr>
          <w:noProof/>
        </w:rPr>
      </w:pPr>
      <w:r>
        <w:rPr>
          <w:rFonts w:ascii="Times New Roman" w:hAnsi="Times New Roman"/>
          <w:noProof/>
          <w:sz w:val="24"/>
          <w:szCs w:val="24"/>
        </w:rPr>
        <w:t>* * *</w:t>
      </w:r>
      <w:bookmarkStart w:id="2" w:name="CopyToNewDocument_"/>
      <w:bookmarkEnd w:id="2"/>
    </w:p>
    <w:sectPr w:rsidR="002A53BA">
      <w:headerReference w:type="even" r:id="rId15"/>
      <w:headerReference w:type="default" r:id="rId16"/>
      <w:footerReference w:type="even" r:id="rId17"/>
      <w:footerReference w:type="default" r:id="rId18"/>
      <w:headerReference w:type="first" r:id="rId19"/>
      <w:footerReference w:type="first" r:id="rId20"/>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BA" w:rsidRDefault="0044511F">
      <w:r>
        <w:separator/>
      </w:r>
    </w:p>
  </w:endnote>
  <w:endnote w:type="continuationSeparator" w:id="0">
    <w:p w:rsidR="002A53BA" w:rsidRDefault="0044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44511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44511F">
    <w:pPr>
      <w:pStyle w:val="Footer1"/>
      <w:tabs>
        <w:tab w:val="clear" w:pos="9071"/>
        <w:tab w:val="clear" w:pos="9921"/>
        <w:tab w:val="right" w:pos="9046"/>
      </w:tabs>
    </w:pPr>
    <w:r>
      <w:rPr>
        <w:rFonts w:ascii="Arial" w:hAnsi="Arial"/>
        <w:b/>
        <w:bCs/>
        <w:sz w:val="48"/>
        <w:szCs w:val="48"/>
      </w:rPr>
      <w:tab/>
    </w: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BA" w:rsidRDefault="0044511F">
      <w:r>
        <w:separator/>
      </w:r>
    </w:p>
  </w:footnote>
  <w:footnote w:type="continuationSeparator" w:id="0">
    <w:p w:rsidR="002A53BA" w:rsidRDefault="0044511F">
      <w:r>
        <w:continuationSeparator/>
      </w:r>
    </w:p>
  </w:footnote>
  <w:footnote w:type="continuationNotice" w:id="1">
    <w:p w:rsidR="002A53BA" w:rsidRDefault="002A53BA"/>
  </w:footnote>
  <w:footnote w:id="2">
    <w:p w:rsidR="002A53BA" w:rsidRDefault="0044511F">
      <w:pPr>
        <w:pStyle w:val="Footnote"/>
        <w:rPr>
          <w:lang w:val="en-IE"/>
        </w:rPr>
      </w:pPr>
      <w:r>
        <w:rPr>
          <w:vertAlign w:val="superscript"/>
          <w:lang w:val="nl-NL"/>
        </w:rPr>
        <w:footnoteRef/>
      </w:r>
      <w:r>
        <w:rPr>
          <w:rFonts w:ascii="Times New Roman" w:hAnsi="Times New Roman"/>
          <w:sz w:val="20"/>
          <w:szCs w:val="20"/>
          <w:lang w:val="en-US"/>
        </w:rPr>
        <w:t xml:space="preserve"> COM(2019)343 final </w:t>
      </w:r>
      <w:r>
        <w:rPr>
          <w:rFonts w:ascii="Times New Roman" w:hAnsi="Times New Roman"/>
          <w:i/>
          <w:iCs/>
          <w:sz w:val="20"/>
          <w:szCs w:val="20"/>
          <w:lang w:val="en-US"/>
        </w:rPr>
        <w:t>Streng</w:t>
      </w:r>
      <w:r>
        <w:rPr>
          <w:rFonts w:ascii="Times New Roman" w:hAnsi="Times New Roman"/>
          <w:i/>
          <w:iCs/>
          <w:sz w:val="20"/>
          <w:szCs w:val="20"/>
          <w:lang w:val="en-US"/>
        </w:rPr>
        <w:t>thening the rule of law within the Union - a blueprint for action.</w:t>
      </w:r>
      <w:r>
        <w:rPr>
          <w:rFonts w:ascii="Times New Roman" w:hAnsi="Times New Roman"/>
          <w:sz w:val="16"/>
          <w:szCs w:val="16"/>
          <w:lang w:val="en-US"/>
        </w:rPr>
        <w:t xml:space="preserve"> </w:t>
      </w:r>
    </w:p>
  </w:footnote>
  <w:footnote w:id="3">
    <w:p w:rsidR="002A53BA" w:rsidRDefault="0044511F">
      <w:pPr>
        <w:pStyle w:val="FootnoteText"/>
      </w:pPr>
      <w:r>
        <w:rPr>
          <w:vertAlign w:val="superscript"/>
        </w:rPr>
        <w:footnoteRef/>
      </w:r>
      <w:r>
        <w:rPr>
          <w:rFonts w:eastAsia="Arial Unicode MS" w:cs="Arial Unicode MS"/>
        </w:rPr>
        <w:t xml:space="preserve"> COM(2018) 324 final.</w:t>
      </w:r>
    </w:p>
  </w:footnote>
  <w:footnote w:id="4">
    <w:p w:rsidR="002A53BA" w:rsidRDefault="0044511F">
      <w:pPr>
        <w:pStyle w:val="FootnoteText"/>
      </w:pPr>
      <w:r>
        <w:rPr>
          <w:sz w:val="24"/>
          <w:szCs w:val="24"/>
          <w:vertAlign w:val="superscript"/>
          <w:lang w:val="nl-NL"/>
        </w:rPr>
        <w:footnoteRef/>
      </w:r>
      <w:r>
        <w:rPr>
          <w:rFonts w:eastAsia="Arial Unicode MS" w:cs="Arial Unicode MS"/>
        </w:rPr>
        <w:t xml:space="preserve"> Cf. articles 111-114 and 117 of Regulation (EU) No 1306/2013.</w:t>
      </w:r>
    </w:p>
  </w:footnote>
  <w:footnote w:id="5">
    <w:p w:rsidR="002A53BA" w:rsidRDefault="0044511F">
      <w:pPr>
        <w:pStyle w:val="FootnoteText"/>
      </w:pPr>
      <w:r>
        <w:rPr>
          <w:sz w:val="24"/>
          <w:szCs w:val="24"/>
          <w:vertAlign w:val="superscript"/>
          <w:lang w:val="nl-NL"/>
        </w:rPr>
        <w:footnoteRef/>
      </w:r>
      <w:r>
        <w:t xml:space="preserve"> Cf. article 115(2) of the Common Provisions Regulation</w:t>
      </w:r>
      <w:r>
        <w:rPr>
          <w:lang w:val="nl-NL"/>
        </w:rPr>
        <w:t xml:space="preserve"> </w:t>
      </w:r>
      <w:r>
        <w:t>and article 119(2) of the EMFF Regulation 50</w:t>
      </w:r>
      <w:r>
        <w:t>8/2014.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BA" w:rsidRDefault="002A5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F8A"/>
    <w:multiLevelType w:val="hybridMultilevel"/>
    <w:tmpl w:val="4170ED16"/>
    <w:numStyleLink w:val="ImportedStyle1"/>
  </w:abstractNum>
  <w:abstractNum w:abstractNumId="1" w15:restartNumberingAfterBreak="0">
    <w:nsid w:val="0E4E0631"/>
    <w:multiLevelType w:val="hybridMultilevel"/>
    <w:tmpl w:val="8D902FCA"/>
    <w:styleLink w:val="ImportedStyle10"/>
    <w:lvl w:ilvl="0" w:tplc="CDC6BDA8">
      <w:start w:val="1"/>
      <w:numFmt w:val="bullet"/>
      <w:lvlText w:val="o"/>
      <w:lvlJc w:val="left"/>
      <w:pPr>
        <w:ind w:left="15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C2DEFA">
      <w:start w:val="1"/>
      <w:numFmt w:val="bullet"/>
      <w:lvlText w:val="o"/>
      <w:lvlJc w:val="left"/>
      <w:pPr>
        <w:ind w:left="22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20A8E2">
      <w:start w:val="1"/>
      <w:numFmt w:val="bullet"/>
      <w:lvlText w:val="▪"/>
      <w:lvlJc w:val="left"/>
      <w:pPr>
        <w:ind w:left="30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BEC96CC">
      <w:start w:val="1"/>
      <w:numFmt w:val="bullet"/>
      <w:lvlText w:val="•"/>
      <w:lvlJc w:val="left"/>
      <w:pPr>
        <w:ind w:left="37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328A2C">
      <w:start w:val="1"/>
      <w:numFmt w:val="bullet"/>
      <w:lvlText w:val="o"/>
      <w:lvlJc w:val="left"/>
      <w:pPr>
        <w:ind w:left="445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9896FA">
      <w:start w:val="1"/>
      <w:numFmt w:val="bullet"/>
      <w:lvlText w:val="▪"/>
      <w:lvlJc w:val="left"/>
      <w:pPr>
        <w:ind w:left="51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2F8A8EA">
      <w:start w:val="1"/>
      <w:numFmt w:val="bullet"/>
      <w:lvlText w:val="•"/>
      <w:lvlJc w:val="left"/>
      <w:pPr>
        <w:ind w:left="58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70CE4A2">
      <w:start w:val="1"/>
      <w:numFmt w:val="bullet"/>
      <w:lvlText w:val="o"/>
      <w:lvlJc w:val="left"/>
      <w:pPr>
        <w:ind w:left="66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2EA6750">
      <w:start w:val="1"/>
      <w:numFmt w:val="bullet"/>
      <w:lvlText w:val="▪"/>
      <w:lvlJc w:val="left"/>
      <w:pPr>
        <w:ind w:left="73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DD4F49"/>
    <w:multiLevelType w:val="hybridMultilevel"/>
    <w:tmpl w:val="C45ED4A4"/>
    <w:numStyleLink w:val="ImportedStyle2"/>
  </w:abstractNum>
  <w:abstractNum w:abstractNumId="3" w15:restartNumberingAfterBreak="0">
    <w:nsid w:val="17A434F1"/>
    <w:multiLevelType w:val="hybridMultilevel"/>
    <w:tmpl w:val="2C763A9A"/>
    <w:lvl w:ilvl="0" w:tplc="650ACFDE">
      <w:numFmt w:val="bullet"/>
      <w:lvlText w:val="•"/>
      <w:lvlJc w:val="left"/>
      <w:pPr>
        <w:ind w:left="1571" w:hanging="720"/>
      </w:pPr>
      <w:rPr>
        <w:rFonts w:ascii="Times New Roman" w:eastAsia="Arial Unicode MS"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2286326E"/>
    <w:multiLevelType w:val="hybridMultilevel"/>
    <w:tmpl w:val="C45ED4A4"/>
    <w:styleLink w:val="ImportedStyle2"/>
    <w:lvl w:ilvl="0" w:tplc="58B233B2">
      <w:start w:val="1"/>
      <w:numFmt w:val="bullet"/>
      <w:lvlText w:val="o"/>
      <w:lvlJc w:val="left"/>
      <w:pPr>
        <w:ind w:left="8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128EEC">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5E0EF0">
      <w:start w:val="1"/>
      <w:numFmt w:val="bullet"/>
      <w:lvlText w:val="▪"/>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643D5C">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4A6D4C">
      <w:start w:val="1"/>
      <w:numFmt w:val="bullet"/>
      <w:lvlText w:val="o"/>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442F24">
      <w:start w:val="1"/>
      <w:numFmt w:val="bullet"/>
      <w:lvlText w:val="▪"/>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CC98F0">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F6075E">
      <w:start w:val="1"/>
      <w:numFmt w:val="bullet"/>
      <w:lvlText w:val="o"/>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705E22">
      <w:start w:val="1"/>
      <w:numFmt w:val="bullet"/>
      <w:lvlText w:val="▪"/>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996468"/>
    <w:multiLevelType w:val="hybridMultilevel"/>
    <w:tmpl w:val="4894B5AC"/>
    <w:lvl w:ilvl="0" w:tplc="0809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15:restartNumberingAfterBreak="0">
    <w:nsid w:val="2B0A6BBD"/>
    <w:multiLevelType w:val="hybridMultilevel"/>
    <w:tmpl w:val="4170ED16"/>
    <w:numStyleLink w:val="ImportedStyle1"/>
  </w:abstractNum>
  <w:abstractNum w:abstractNumId="7" w15:restartNumberingAfterBreak="0">
    <w:nsid w:val="36440AF0"/>
    <w:multiLevelType w:val="multilevel"/>
    <w:tmpl w:val="9CF047C6"/>
    <w:styleLink w:val="Estiloimportado2"/>
    <w:lvl w:ilvl="0">
      <w:start w:val="1"/>
      <w:numFmt w:val="decimal"/>
      <w:lvlText w:val="%1."/>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BE25939"/>
    <w:multiLevelType w:val="hybridMultilevel"/>
    <w:tmpl w:val="4170ED16"/>
    <w:styleLink w:val="ImportedStyle1"/>
    <w:lvl w:ilvl="0" w:tplc="EC8662BE">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24AF154">
      <w:start w:val="1"/>
      <w:numFmt w:val="bullet"/>
      <w:lvlText w:val="o"/>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2A3F76">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400B82">
      <w:start w:val="1"/>
      <w:numFmt w:val="bullet"/>
      <w:lvlText w:val="•"/>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12EBD8">
      <w:start w:val="1"/>
      <w:numFmt w:val="bullet"/>
      <w:lvlText w:val="o"/>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AD28836">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E4504E">
      <w:start w:val="1"/>
      <w:numFmt w:val="bullet"/>
      <w:lvlText w:val="•"/>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C28CEA">
      <w:start w:val="1"/>
      <w:numFmt w:val="bullet"/>
      <w:lvlText w:val="o"/>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64296A">
      <w:start w:val="1"/>
      <w:numFmt w:val="bullet"/>
      <w:lvlText w:val="▪"/>
      <w:lvlJc w:val="left"/>
      <w:pPr>
        <w:ind w:left="73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032DB1"/>
    <w:multiLevelType w:val="multilevel"/>
    <w:tmpl w:val="9CF047C6"/>
    <w:numStyleLink w:val="Estiloimportado2"/>
  </w:abstractNum>
  <w:abstractNum w:abstractNumId="10" w15:restartNumberingAfterBreak="0">
    <w:nsid w:val="57437573"/>
    <w:multiLevelType w:val="multilevel"/>
    <w:tmpl w:val="9CF047C6"/>
    <w:numStyleLink w:val="Estiloimportado2"/>
  </w:abstractNum>
  <w:abstractNum w:abstractNumId="11" w15:restartNumberingAfterBreak="0">
    <w:nsid w:val="5E34469B"/>
    <w:multiLevelType w:val="hybridMultilevel"/>
    <w:tmpl w:val="8D902FCA"/>
    <w:numStyleLink w:val="ImportedStyle10"/>
  </w:abstractNum>
  <w:abstractNum w:abstractNumId="12" w15:restartNumberingAfterBreak="0">
    <w:nsid w:val="7CD30FC9"/>
    <w:multiLevelType w:val="hybridMultilevel"/>
    <w:tmpl w:val="C45ED4A4"/>
    <w:numStyleLink w:val="ImportedStyle2"/>
  </w:abstractNum>
  <w:num w:numId="1">
    <w:abstractNumId w:val="7"/>
  </w:num>
  <w:num w:numId="2">
    <w:abstractNumId w:val="9"/>
  </w:num>
  <w:num w:numId="3">
    <w:abstractNumId w:val="8"/>
  </w:num>
  <w:num w:numId="4">
    <w:abstractNumId w:val="0"/>
  </w:num>
  <w:num w:numId="5">
    <w:abstractNumId w:val="4"/>
  </w:num>
  <w:num w:numId="6">
    <w:abstractNumId w:val="2"/>
  </w:num>
  <w:num w:numId="7">
    <w:abstractNumId w:val="9"/>
    <w:lvlOverride w:ilvl="0">
      <w:startOverride w:val="2"/>
    </w:lvlOverride>
  </w:num>
  <w:num w:numId="8">
    <w:abstractNumId w:val="5"/>
  </w:num>
  <w:num w:numId="9">
    <w:abstractNumId w:val="3"/>
  </w:num>
  <w:num w:numId="10">
    <w:abstractNumId w:val="10"/>
  </w:num>
  <w:num w:numId="11">
    <w:abstractNumId w:val="6"/>
  </w:num>
  <w:num w:numId="12">
    <w:abstractNumId w:val="12"/>
  </w:num>
  <w:num w:numId="13">
    <w:abstractNumId w:val="10"/>
    <w:lvlOverride w:ilvl="0">
      <w:startOverride w:val="2"/>
    </w:lvlOverride>
  </w:num>
  <w:num w:numId="14">
    <w:abstractNumId w:val="1"/>
  </w:num>
  <w:num w:numId="15">
    <w:abstractNumId w:val="11"/>
  </w:num>
  <w:num w:numId="16">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98D4A1-9F5A-4FE7-A5CA-0C8189F73410"/>
    <w:docVar w:name="LW_COVERPAGE_TYPE" w:val="1"/>
    <w:docVar w:name="LW_CROSSREFERENCE" w:val="&lt;UNUSED&gt;"/>
    <w:docVar w:name="LW_DocType" w:val="NORMAL"/>
    <w:docVar w:name="LW_EMISSION" w:val="7.7.2020"/>
    <w:docVar w:name="LW_EMISSION_ISODATE" w:val="2020-07-0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ollow-up to the discharge for the 2018 financial year (Summary)"/>
    <w:docVar w:name="LW_TYPE.DOC.CP" w:val="REPORT FROM THE COMMISSION TO THE EUROPEAN PARLIAMENT AND THE COUNCIL"/>
  </w:docVars>
  <w:rsids>
    <w:rsidRoot w:val="002A53BA"/>
    <w:rsid w:val="002A53BA"/>
    <w:rsid w:val="004451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BDAA94-59AC-4AE5-AF8F-CC75C972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lang w:val="en-US"/>
    </w:rPr>
  </w:style>
  <w:style w:type="paragraph" w:customStyle="1" w:styleId="CorpoA">
    <w:name w:val="Corpo A"/>
    <w:link w:val="CorpoAChar"/>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rPr>
      <w:lang w:val="en-US"/>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lang w:val="fr-FR"/>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lang w:val="en-US"/>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en-US"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en-US"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en-US"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en-US"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en-US"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c.europa.eu/regional_policy/en/atlas/beneficia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4981</Words>
  <Characters>28094</Characters>
  <Application>Microsoft Office Word</Application>
  <DocSecurity>4</DocSecurity>
  <Lines>468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FUSCO Martha (SG)</dc:creator>
  <cp:lastModifiedBy>ANDRADE FUSCO Martha (SG)</cp:lastModifiedBy>
  <cp:revision>2</cp:revision>
  <dcterms:created xsi:type="dcterms:W3CDTF">2020-07-07T15:22:00Z</dcterms:created>
  <dcterms:modified xsi:type="dcterms:W3CDTF">2020-07-07T15:22:00Z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