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F9CC349A-3906-42A1-AE16-61C5A47C825F"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rPr>
          <w:rFonts w:ascii="Times New Roman" w:eastAsia="Times New Roman" w:hAnsi="Times New Roman" w:cs="Times New Roman"/>
          <w:noProof/>
          <w:sz w:val="24"/>
          <w:szCs w:val="24"/>
        </w:rPr>
      </w:pPr>
      <w:bookmarkStart w:id="1" w:name="_GoBack"/>
      <w:bookmarkEnd w:id="1"/>
      <w:r>
        <w:rPr>
          <w:rFonts w:ascii="Times New Roman" w:hAnsi="Times New Roman"/>
          <w:noProof/>
          <w:sz w:val="24"/>
          <w:szCs w:val="24"/>
        </w:rPr>
        <w:lastRenderedPageBreak/>
        <w:t>Vu:</w:t>
      </w:r>
    </w:p>
    <w:p>
      <w:pPr>
        <w:pStyle w:val="Tiret0"/>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tabs>
          <w:tab w:val="clear" w:pos="850"/>
          <w:tab w:val="num" w:pos="927"/>
        </w:tabs>
        <w:rPr>
          <w:rFonts w:cs="Arial"/>
          <w:noProof/>
          <w:szCs w:val="18"/>
        </w:rPr>
      </w:pPr>
      <w:r>
        <w:rPr>
          <w:noProof/>
        </w:rPr>
        <w:t>le règlement (UE, Euratom) 2018/1046 du Parlement européen et du Conseil du 18 juillet 2018 relatif aux règles financières applicables au budget général de l'Union [...]</w:t>
      </w:r>
      <w:r>
        <w:rPr>
          <w:rStyle w:val="FootnoteReference"/>
          <w:noProof/>
        </w:rPr>
        <w:footnoteReference w:id="2"/>
      </w:r>
      <w:r>
        <w:rPr>
          <w:noProof/>
        </w:rPr>
        <w:t>, et notamment son article 44,</w:t>
      </w:r>
    </w:p>
    <w:p>
      <w:pPr>
        <w:pStyle w:val="Tiret0"/>
        <w:tabs>
          <w:tab w:val="clear" w:pos="850"/>
          <w:tab w:val="num" w:pos="927"/>
        </w:tabs>
        <w:rPr>
          <w:noProof/>
        </w:rPr>
      </w:pPr>
      <w:r>
        <w:rPr>
          <w:noProof/>
        </w:rPr>
        <w:t>le budget général de l'Union européenne pour l'exercice 2020, adopté le 27 novembre 2019</w:t>
      </w:r>
      <w:r>
        <w:rPr>
          <w:rStyle w:val="FootnoteReference"/>
          <w:noProof/>
        </w:rPr>
        <w:footnoteReference w:id="3"/>
      </w:r>
      <w:r>
        <w:rPr>
          <w:noProof/>
        </w:rPr>
        <w:t>,</w:t>
      </w:r>
    </w:p>
    <w:p>
      <w:pPr>
        <w:pStyle w:val="Tiret0"/>
        <w:rPr>
          <w:noProof/>
        </w:rPr>
      </w:pPr>
      <w:r>
        <w:rPr>
          <w:noProof/>
        </w:rPr>
        <w:t>le budget rectificatif nº 1/2020</w:t>
      </w:r>
      <w:r>
        <w:rPr>
          <w:rStyle w:val="FootnoteReference"/>
          <w:noProof/>
        </w:rPr>
        <w:footnoteReference w:id="4"/>
      </w:r>
      <w:r>
        <w:rPr>
          <w:noProof/>
        </w:rPr>
        <w:t>, adopté le 17 avril 2020,</w:t>
      </w:r>
    </w:p>
    <w:p>
      <w:pPr>
        <w:pStyle w:val="Tiret0"/>
        <w:rPr>
          <w:noProof/>
        </w:rPr>
      </w:pPr>
      <w:r>
        <w:rPr>
          <w:noProof/>
        </w:rPr>
        <w:t>le budget rectificatif nº 2/2020</w:t>
      </w:r>
      <w:r>
        <w:rPr>
          <w:rStyle w:val="FootnoteReference"/>
          <w:noProof/>
        </w:rPr>
        <w:footnoteReference w:id="5"/>
      </w:r>
      <w:r>
        <w:rPr>
          <w:noProof/>
        </w:rPr>
        <w:t>, adopté le 17 avril 2020,</w:t>
      </w:r>
    </w:p>
    <w:p>
      <w:pPr>
        <w:pStyle w:val="Tiret0"/>
        <w:rPr>
          <w:noProof/>
        </w:rPr>
      </w:pPr>
      <w:r>
        <w:rPr>
          <w:noProof/>
        </w:rPr>
        <w:t>le budget rectificatif nº 3/2020</w:t>
      </w:r>
      <w:r>
        <w:rPr>
          <w:rStyle w:val="FootnoteReference"/>
          <w:noProof/>
        </w:rPr>
        <w:footnoteReference w:id="6"/>
      </w:r>
      <w:r>
        <w:rPr>
          <w:noProof/>
        </w:rPr>
        <w:t>, adopté le 17 juin 2020,</w:t>
      </w:r>
    </w:p>
    <w:p>
      <w:pPr>
        <w:pStyle w:val="Tiret0"/>
        <w:rPr>
          <w:noProof/>
        </w:rPr>
      </w:pPr>
      <w:r>
        <w:rPr>
          <w:noProof/>
        </w:rPr>
        <w:t>le budget rectificatif nº 4/2020</w:t>
      </w:r>
      <w:r>
        <w:rPr>
          <w:rStyle w:val="FootnoteReference"/>
          <w:noProof/>
        </w:rPr>
        <w:footnoteReference w:id="7"/>
      </w:r>
      <w:r>
        <w:rPr>
          <w:noProof/>
        </w:rPr>
        <w:t>, adopté le 17 juin 2020,</w:t>
      </w:r>
    </w:p>
    <w:p>
      <w:pPr>
        <w:pStyle w:val="Tiret0"/>
        <w:rPr>
          <w:noProof/>
        </w:rPr>
      </w:pPr>
      <w:r>
        <w:rPr>
          <w:noProof/>
        </w:rPr>
        <w:t>le projet de budget rectificatif nº 5/2020</w:t>
      </w:r>
      <w:r>
        <w:rPr>
          <w:rStyle w:val="FootnoteReference"/>
          <w:noProof/>
        </w:rPr>
        <w:footnoteReference w:id="8"/>
      </w:r>
      <w:r>
        <w:rPr>
          <w:noProof/>
        </w:rPr>
        <w:t>, adopté le 3 juin 2020,</w:t>
      </w:r>
    </w:p>
    <w:p>
      <w:pPr>
        <w:pStyle w:val="Tiret0"/>
        <w:rPr>
          <w:noProof/>
        </w:rPr>
      </w:pPr>
      <w:r>
        <w:rPr>
          <w:noProof/>
        </w:rPr>
        <w:t>le projet de budget rectificatif nº 6/2020</w:t>
      </w:r>
      <w:r>
        <w:rPr>
          <w:rStyle w:val="FootnoteReference"/>
          <w:noProof/>
        </w:rPr>
        <w:footnoteReference w:id="9"/>
      </w:r>
      <w:r>
        <w:rPr>
          <w:noProof/>
        </w:rPr>
        <w:t>, adopté le 3 juin 2020,</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Commission européenne présente ci-après au Parlement européen et au Conseil le projet de budget rectificatif nº 7/2020 au budget 2020.</w:t>
      </w:r>
    </w:p>
    <w:p>
      <w:pPr>
        <w:spacing w:after="0" w:line="240" w:lineRule="auto"/>
        <w:rPr>
          <w:rFonts w:ascii="Times New Roman" w:eastAsia="Times New Roman" w:hAnsi="Times New Roman" w:cs="Times New Roman"/>
          <w:b/>
          <w:noProof/>
          <w:sz w:val="24"/>
          <w:szCs w:val="24"/>
          <w:u w:val="single"/>
          <w:lang w:eastAsia="en-GB"/>
        </w:rPr>
      </w:pPr>
    </w:p>
    <w:p>
      <w:pPr>
        <w:spacing w:after="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szCs w:val="24"/>
          <w:u w:val="single"/>
        </w:rPr>
        <w:t>MODIFICATIONS À L’ÉTAT DES RECETTES ET DES DÉPENSES PAR SECTION</w:t>
      </w:r>
    </w:p>
    <w:p>
      <w:pPr>
        <w:spacing w:after="0" w:line="240" w:lineRule="auto"/>
        <w:rPr>
          <w:rFonts w:ascii="Times New Roman" w:eastAsia="Times New Roman" w:hAnsi="Times New Roman" w:cs="Times New Roman"/>
          <w:b/>
          <w:noProof/>
          <w:sz w:val="24"/>
          <w:szCs w:val="24"/>
          <w:u w:val="single"/>
          <w:lang w:eastAsia="ko-KR"/>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modifications apportées à l’état général des recettes et à la section III sont disponibles sur EUR-Lex (</w:t>
      </w:r>
      <w:hyperlink r:id="rId16" w:history="1">
        <w:r>
          <w:rPr>
            <w:rFonts w:ascii="Times New Roman" w:hAnsi="Times New Roman"/>
            <w:noProof/>
            <w:sz w:val="24"/>
            <w:szCs w:val="24"/>
            <w:u w:val="single"/>
          </w:rPr>
          <w:t>http://eur-lex.europa.eu/budget/www/index-fr.htm</w:t>
        </w:r>
      </w:hyperlink>
      <w:r>
        <w:rPr>
          <w:rFonts w:ascii="Times New Roman" w:hAnsi="Times New Roman"/>
          <w:noProof/>
          <w:sz w:val="24"/>
          <w:szCs w:val="24"/>
        </w:rPr>
        <w:t>).</w:t>
      </w:r>
    </w:p>
    <w:p>
      <w:pPr>
        <w:spacing w:after="0" w:line="240" w:lineRule="auto"/>
        <w:rPr>
          <w:rFonts w:ascii="Times New Roman" w:eastAsia="Times New Roman" w:hAnsi="Times New Roman" w:cs="Times New Roman"/>
          <w:noProof/>
          <w:sz w:val="24"/>
          <w:szCs w:val="24"/>
          <w:lang w:eastAsia="en-GB"/>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pPr>
    </w:p>
    <w:p>
      <w:pPr>
        <w:pStyle w:val="TOCHeading"/>
        <w:rPr>
          <w:noProof/>
        </w:rPr>
      </w:pPr>
      <w:r>
        <w:rPr>
          <w:noProof/>
        </w:rPr>
        <w:t>TABLE DES MATIÈRES</w:t>
      </w:r>
    </w:p>
    <w:sdt>
      <w:sdtPr>
        <w:rPr>
          <w:b w:val="0"/>
          <w:bCs w:val="0"/>
          <w:caps w:val="0"/>
          <w:smallCaps/>
          <w:noProof/>
          <w:sz w:val="24"/>
          <w:szCs w:val="24"/>
          <w:lang w:eastAsia="de-DE"/>
        </w:rPr>
        <w:id w:val="2029912794"/>
        <w:docPartObj>
          <w:docPartGallery w:val="Table of Contents"/>
          <w:docPartUnique/>
        </w:docPartObj>
      </w:sdtPr>
      <w:sdtEndPr>
        <w:rPr>
          <w:b/>
        </w:rPr>
      </w:sdtEndPr>
      <w:sdtContent>
        <w:p>
          <w:pPr>
            <w:pStyle w:val="TOC1"/>
            <w:tabs>
              <w:tab w:val="left" w:pos="480"/>
              <w:tab w:val="right" w:leader="dot" w:pos="9855"/>
            </w:tabs>
            <w:rPr>
              <w:rFonts w:asciiTheme="minorHAnsi" w:eastAsiaTheme="minorEastAsia" w:hAnsiTheme="minorHAnsi" w:cstheme="minorBidi"/>
              <w:b w:val="0"/>
              <w:bCs w:val="0"/>
              <w:caps w:val="0"/>
              <w:noProof/>
              <w:sz w:val="22"/>
              <w:szCs w:val="22"/>
              <w:lang w:eastAsia="fr-FR"/>
            </w:rPr>
          </w:pPr>
          <w:r>
            <w:rPr>
              <w:noProof/>
            </w:rPr>
            <w:fldChar w:fldCharType="begin"/>
          </w:r>
          <w:r>
            <w:rPr>
              <w:noProof/>
            </w:rPr>
            <w:instrText xml:space="preserve"> TOC \o "1-3" \h \z \u </w:instrText>
          </w:r>
          <w:r>
            <w:rPr>
              <w:noProof/>
            </w:rPr>
            <w:fldChar w:fldCharType="separate"/>
          </w:r>
          <w:hyperlink w:anchor="_Toc45028180" w:history="1">
            <w:r>
              <w:rPr>
                <w:rStyle w:val="Hyperlink"/>
                <w:noProof/>
              </w:rPr>
              <w:t>1.</w:t>
            </w:r>
            <w:r>
              <w:rPr>
                <w:rFonts w:asciiTheme="minorHAnsi" w:eastAsiaTheme="minorEastAsia" w:hAnsiTheme="minorHAnsi" w:cstheme="minorBidi"/>
                <w:b w:val="0"/>
                <w:bCs w:val="0"/>
                <w:caps w:val="0"/>
                <w:noProof/>
                <w:sz w:val="22"/>
                <w:szCs w:val="22"/>
                <w:lang w:eastAsia="fr-FR"/>
              </w:rPr>
              <w:tab/>
            </w:r>
            <w:r>
              <w:rPr>
                <w:rStyle w:val="Hyperlink"/>
                <w:noProof/>
              </w:rPr>
              <w:t>Introduction</w:t>
            </w:r>
            <w:r>
              <w:rPr>
                <w:noProof/>
                <w:webHidden/>
              </w:rPr>
              <w:tab/>
            </w:r>
            <w:r>
              <w:rPr>
                <w:noProof/>
                <w:webHidden/>
              </w:rPr>
              <w:fldChar w:fldCharType="begin"/>
            </w:r>
            <w:r>
              <w:rPr>
                <w:noProof/>
                <w:webHidden/>
              </w:rPr>
              <w:instrText xml:space="preserve"> PAGEREF _Toc45028180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eastAsia="fr-FR"/>
            </w:rPr>
          </w:pPr>
          <w:hyperlink w:anchor="_Toc45028181" w:history="1">
            <w:r>
              <w:rPr>
                <w:rStyle w:val="Hyperlink"/>
                <w:smallCaps/>
                <w:noProof/>
              </w:rPr>
              <w:t>2.</w:t>
            </w:r>
            <w:r>
              <w:rPr>
                <w:rFonts w:asciiTheme="minorHAnsi" w:eastAsiaTheme="minorEastAsia" w:hAnsiTheme="minorHAnsi" w:cstheme="minorBidi"/>
                <w:b w:val="0"/>
                <w:bCs w:val="0"/>
                <w:caps w:val="0"/>
                <w:noProof/>
                <w:sz w:val="22"/>
                <w:szCs w:val="22"/>
                <w:lang w:eastAsia="fr-FR"/>
              </w:rPr>
              <w:tab/>
            </w:r>
            <w:r>
              <w:rPr>
                <w:rStyle w:val="Hyperlink"/>
                <w:smallCaps/>
                <w:noProof/>
              </w:rPr>
              <w:t>Actualisation des recettes</w:t>
            </w:r>
            <w:r>
              <w:rPr>
                <w:noProof/>
                <w:webHidden/>
              </w:rPr>
              <w:tab/>
            </w:r>
            <w:r>
              <w:rPr>
                <w:noProof/>
                <w:webHidden/>
              </w:rPr>
              <w:fldChar w:fldCharType="begin"/>
            </w:r>
            <w:r>
              <w:rPr>
                <w:noProof/>
                <w:webHidden/>
              </w:rPr>
              <w:instrText xml:space="preserve"> PAGEREF _Toc45028181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eastAsia="fr-FR"/>
            </w:rPr>
          </w:pPr>
          <w:hyperlink w:anchor="_Toc45028182" w:history="1">
            <w:r>
              <w:rPr>
                <w:rStyle w:val="Hyperlink"/>
                <w:b/>
                <w:noProof/>
              </w:rPr>
              <w:t>2.1</w:t>
            </w:r>
            <w:r>
              <w:rPr>
                <w:rFonts w:asciiTheme="minorHAnsi" w:eastAsiaTheme="minorEastAsia" w:hAnsiTheme="minorHAnsi" w:cstheme="minorBidi"/>
                <w:smallCaps w:val="0"/>
                <w:noProof/>
                <w:sz w:val="22"/>
                <w:szCs w:val="22"/>
                <w:lang w:eastAsia="fr-FR"/>
              </w:rPr>
              <w:tab/>
            </w:r>
            <w:r>
              <w:rPr>
                <w:rStyle w:val="Hyperlink"/>
                <w:b/>
                <w:noProof/>
              </w:rPr>
              <w:t>Incidence globale du PBR n° 7/2020 sur la répartition, entre États membres, de l’ensemble des versements de ressources propres</w:t>
            </w:r>
            <w:r>
              <w:rPr>
                <w:noProof/>
                <w:webHidden/>
              </w:rPr>
              <w:tab/>
            </w:r>
            <w:r>
              <w:rPr>
                <w:noProof/>
                <w:webHidden/>
              </w:rPr>
              <w:fldChar w:fldCharType="begin"/>
            </w:r>
            <w:r>
              <w:rPr>
                <w:noProof/>
                <w:webHidden/>
              </w:rPr>
              <w:instrText xml:space="preserve"> PAGEREF _Toc45028182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eastAsia="fr-FR"/>
            </w:rPr>
          </w:pPr>
          <w:hyperlink w:anchor="_Toc45028183" w:history="1">
            <w:r>
              <w:rPr>
                <w:rStyle w:val="Hyperlink"/>
                <w:b/>
                <w:noProof/>
              </w:rPr>
              <w:t>2.2</w:t>
            </w:r>
            <w:r>
              <w:rPr>
                <w:rFonts w:asciiTheme="minorHAnsi" w:eastAsiaTheme="minorEastAsia" w:hAnsiTheme="minorHAnsi" w:cstheme="minorBidi"/>
                <w:smallCaps w:val="0"/>
                <w:noProof/>
                <w:sz w:val="22"/>
                <w:szCs w:val="22"/>
                <w:lang w:eastAsia="fr-FR"/>
              </w:rPr>
              <w:tab/>
            </w:r>
            <w:r>
              <w:rPr>
                <w:rStyle w:val="Hyperlink"/>
                <w:b/>
                <w:noProof/>
              </w:rPr>
              <w:t>Révision des prévisions relatives aux RPT et aux assiettes TVA et RNB</w:t>
            </w:r>
            <w:r>
              <w:rPr>
                <w:noProof/>
                <w:webHidden/>
              </w:rPr>
              <w:tab/>
            </w:r>
            <w:r>
              <w:rPr>
                <w:noProof/>
                <w:webHidden/>
              </w:rPr>
              <w:fldChar w:fldCharType="begin"/>
            </w:r>
            <w:r>
              <w:rPr>
                <w:noProof/>
                <w:webHidden/>
              </w:rPr>
              <w:instrText xml:space="preserve"> PAGEREF _Toc45028183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eastAsia="fr-FR"/>
            </w:rPr>
          </w:pPr>
          <w:hyperlink w:anchor="_Toc45028184" w:history="1">
            <w:r>
              <w:rPr>
                <w:rStyle w:val="Hyperlink"/>
                <w:b/>
                <w:noProof/>
              </w:rPr>
              <w:t>2.3</w:t>
            </w:r>
            <w:r>
              <w:rPr>
                <w:rFonts w:asciiTheme="minorHAnsi" w:eastAsiaTheme="minorEastAsia" w:hAnsiTheme="minorHAnsi" w:cstheme="minorBidi"/>
                <w:smallCaps w:val="0"/>
                <w:noProof/>
                <w:sz w:val="22"/>
                <w:szCs w:val="22"/>
                <w:lang w:eastAsia="fr-FR"/>
              </w:rPr>
              <w:tab/>
            </w:r>
            <w:r>
              <w:rPr>
                <w:rStyle w:val="Hyperlink"/>
                <w:b/>
                <w:noProof/>
              </w:rPr>
              <w:t>Corrections britanniques 2015, 2016, 2017, 2018 et 2019</w:t>
            </w:r>
            <w:r>
              <w:rPr>
                <w:noProof/>
                <w:webHidden/>
              </w:rPr>
              <w:tab/>
            </w:r>
            <w:r>
              <w:rPr>
                <w:noProof/>
                <w:webHidden/>
              </w:rPr>
              <w:fldChar w:fldCharType="begin"/>
            </w:r>
            <w:r>
              <w:rPr>
                <w:noProof/>
                <w:webHidden/>
              </w:rPr>
              <w:instrText xml:space="preserve"> PAGEREF _Toc45028184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45028185" w:history="1">
            <w:r>
              <w:rPr>
                <w:rStyle w:val="Hyperlink"/>
                <w:i/>
                <w:noProof/>
              </w:rPr>
              <w:t>2.3.1</w:t>
            </w:r>
            <w:r>
              <w:rPr>
                <w:rFonts w:asciiTheme="minorHAnsi" w:eastAsiaTheme="minorEastAsia" w:hAnsiTheme="minorHAnsi" w:cstheme="minorBidi"/>
                <w:smallCaps w:val="0"/>
                <w:noProof/>
                <w:sz w:val="22"/>
                <w:szCs w:val="22"/>
                <w:lang w:eastAsia="fr-FR"/>
              </w:rPr>
              <w:tab/>
            </w:r>
            <w:r>
              <w:rPr>
                <w:rStyle w:val="Hyperlink"/>
                <w:i/>
                <w:noProof/>
              </w:rPr>
              <w:t>Introduction</w:t>
            </w:r>
            <w:r>
              <w:rPr>
                <w:noProof/>
                <w:webHidden/>
              </w:rPr>
              <w:tab/>
            </w:r>
            <w:r>
              <w:rPr>
                <w:noProof/>
                <w:webHidden/>
              </w:rPr>
              <w:fldChar w:fldCharType="begin"/>
            </w:r>
            <w:r>
              <w:rPr>
                <w:noProof/>
                <w:webHidden/>
              </w:rPr>
              <w:instrText xml:space="preserve"> PAGEREF _Toc45028185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45028186" w:history="1">
            <w:r>
              <w:rPr>
                <w:rStyle w:val="Hyperlink"/>
                <w:i/>
                <w:noProof/>
              </w:rPr>
              <w:t>2.3.2</w:t>
            </w:r>
            <w:r>
              <w:rPr>
                <w:rFonts w:asciiTheme="minorHAnsi" w:eastAsiaTheme="minorEastAsia" w:hAnsiTheme="minorHAnsi" w:cstheme="minorBidi"/>
                <w:smallCaps w:val="0"/>
                <w:noProof/>
                <w:sz w:val="22"/>
                <w:szCs w:val="22"/>
                <w:lang w:eastAsia="fr-FR"/>
              </w:rPr>
              <w:tab/>
            </w:r>
            <w:r>
              <w:rPr>
                <w:rStyle w:val="Hyperlink"/>
                <w:i/>
                <w:noProof/>
              </w:rPr>
              <w:t>Calcul des corrections</w:t>
            </w:r>
            <w:r>
              <w:rPr>
                <w:noProof/>
                <w:webHidden/>
              </w:rPr>
              <w:tab/>
            </w:r>
            <w:r>
              <w:rPr>
                <w:noProof/>
                <w:webHidden/>
              </w:rPr>
              <w:fldChar w:fldCharType="begin"/>
            </w:r>
            <w:r>
              <w:rPr>
                <w:noProof/>
                <w:webHidden/>
              </w:rPr>
              <w:instrText xml:space="preserve"> PAGEREF _Toc45028186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eastAsia="fr-FR"/>
            </w:rPr>
          </w:pPr>
          <w:hyperlink w:anchor="_Toc45028187" w:history="1">
            <w:r>
              <w:rPr>
                <w:rStyle w:val="Hyperlink"/>
                <w:i/>
                <w:noProof/>
              </w:rPr>
              <w:t>2.3.3</w:t>
            </w:r>
            <w:r>
              <w:rPr>
                <w:rFonts w:asciiTheme="minorHAnsi" w:eastAsiaTheme="minorEastAsia" w:hAnsiTheme="minorHAnsi" w:cstheme="minorBidi"/>
                <w:smallCaps w:val="0"/>
                <w:noProof/>
                <w:sz w:val="22"/>
                <w:szCs w:val="22"/>
                <w:lang w:eastAsia="fr-FR"/>
              </w:rPr>
              <w:tab/>
            </w:r>
            <w:r>
              <w:rPr>
                <w:rStyle w:val="Hyperlink"/>
                <w:i/>
                <w:noProof/>
              </w:rPr>
              <w:t>Inscription dans le PBR nº 7/2020 de la première mise à jour de la correction britannique pour 2019, de la deuxième mise à jour de la correction britannique pour 2018, de la troisième mise à jour de la correction britannique pour 2017 et des montants définitifs des corrections britanniques pour 2016 et 2015</w:t>
            </w:r>
            <w:r>
              <w:rPr>
                <w:noProof/>
                <w:webHidden/>
              </w:rPr>
              <w:tab/>
            </w:r>
            <w:r>
              <w:rPr>
                <w:noProof/>
                <w:webHidden/>
              </w:rPr>
              <w:fldChar w:fldCharType="begin"/>
            </w:r>
            <w:r>
              <w:rPr>
                <w:noProof/>
                <w:webHidden/>
              </w:rPr>
              <w:instrText xml:space="preserve"> PAGEREF _Toc45028187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eastAsia="fr-FR"/>
            </w:rPr>
          </w:pPr>
          <w:hyperlink w:anchor="_Toc45028188" w:history="1">
            <w:r>
              <w:rPr>
                <w:rStyle w:val="Hyperlink"/>
                <w:b/>
                <w:noProof/>
              </w:rPr>
              <w:t>2.4</w:t>
            </w:r>
            <w:r>
              <w:rPr>
                <w:rFonts w:asciiTheme="minorHAnsi" w:eastAsiaTheme="minorEastAsia" w:hAnsiTheme="minorHAnsi" w:cstheme="minorBidi"/>
                <w:smallCaps w:val="0"/>
                <w:noProof/>
                <w:sz w:val="22"/>
                <w:szCs w:val="22"/>
                <w:lang w:eastAsia="fr-FR"/>
              </w:rPr>
              <w:tab/>
            </w:r>
            <w:r>
              <w:rPr>
                <w:rStyle w:val="Hyperlink"/>
                <w:b/>
                <w:noProof/>
              </w:rPr>
              <w:t>Différences de change dans les ressources propres</w:t>
            </w:r>
            <w:r>
              <w:rPr>
                <w:noProof/>
                <w:webHidden/>
              </w:rPr>
              <w:tab/>
            </w:r>
            <w:r>
              <w:rPr>
                <w:noProof/>
                <w:webHidden/>
              </w:rPr>
              <w:fldChar w:fldCharType="begin"/>
            </w:r>
            <w:r>
              <w:rPr>
                <w:noProof/>
                <w:webHidden/>
              </w:rPr>
              <w:instrText xml:space="preserve"> PAGEREF _Toc45028188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eastAsia="fr-FR"/>
            </w:rPr>
          </w:pPr>
          <w:hyperlink w:anchor="_Toc45028189" w:history="1">
            <w:r>
              <w:rPr>
                <w:rStyle w:val="Hyperlink"/>
                <w:b/>
                <w:noProof/>
              </w:rPr>
              <w:t>2.5</w:t>
            </w:r>
            <w:r>
              <w:rPr>
                <w:rFonts w:asciiTheme="minorHAnsi" w:eastAsiaTheme="minorEastAsia" w:hAnsiTheme="minorHAnsi" w:cstheme="minorBidi"/>
                <w:smallCaps w:val="0"/>
                <w:noProof/>
                <w:sz w:val="22"/>
                <w:szCs w:val="22"/>
                <w:lang w:eastAsia="fr-FR"/>
              </w:rPr>
              <w:tab/>
            </w:r>
            <w:r>
              <w:rPr>
                <w:rStyle w:val="Hyperlink"/>
                <w:b/>
                <w:noProof/>
              </w:rPr>
              <w:t>Amendes et astreintes</w:t>
            </w:r>
            <w:r>
              <w:rPr>
                <w:noProof/>
                <w:webHidden/>
              </w:rPr>
              <w:tab/>
            </w:r>
            <w:r>
              <w:rPr>
                <w:noProof/>
                <w:webHidden/>
              </w:rPr>
              <w:fldChar w:fldCharType="begin"/>
            </w:r>
            <w:r>
              <w:rPr>
                <w:noProof/>
                <w:webHidden/>
              </w:rPr>
              <w:instrText xml:space="preserve"> PAGEREF _Toc45028189 \h </w:instrText>
            </w:r>
            <w:r>
              <w:rPr>
                <w:noProof/>
                <w:webHidden/>
              </w:rPr>
            </w:r>
            <w:r>
              <w:rPr>
                <w:noProof/>
                <w:webHidden/>
              </w:rPr>
              <w:fldChar w:fldCharType="separate"/>
            </w:r>
            <w:r>
              <w:rPr>
                <w:noProof/>
                <w:webHidden/>
              </w:rPr>
              <w:t>17</w:t>
            </w:r>
            <w:r>
              <w:rPr>
                <w:noProof/>
                <w:webHidden/>
              </w:rPr>
              <w:fldChar w:fldCharType="end"/>
            </w:r>
          </w:hyperlink>
        </w:p>
        <w:p>
          <w:pPr>
            <w:pStyle w:val="ManualHeading1"/>
            <w:ind w:left="0" w:firstLine="0"/>
            <w:rPr>
              <w:bCs/>
              <w:noProof/>
            </w:rPr>
          </w:pPr>
          <w:r>
            <w:rPr>
              <w:b w:val="0"/>
              <w:bCs/>
              <w:noProof/>
            </w:rPr>
            <w:fldChar w:fldCharType="end"/>
          </w:r>
        </w:p>
      </w:sdtContent>
    </w:sdt>
    <w:p>
      <w:pPr>
        <w:rPr>
          <w:b/>
          <w:noProof/>
          <w:u w:val="single"/>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1021" w:right="1021" w:bottom="1021" w:left="1021" w:header="709" w:footer="709" w:gutter="0"/>
          <w:cols w:space="708"/>
          <w:docGrid w:linePitch="360"/>
        </w:sectPr>
      </w:pPr>
    </w:p>
    <w:p>
      <w:pPr>
        <w:pStyle w:val="Exposdesmotifstitre"/>
        <w:rPr>
          <w:noProof/>
        </w:rPr>
      </w:pPr>
      <w:r>
        <w:rPr>
          <w:noProof/>
        </w:rPr>
        <w:t>EXPOSÉ DES MOTIFS</w:t>
      </w:r>
    </w:p>
    <w:p>
      <w:pPr>
        <w:pStyle w:val="ManualHeading1"/>
        <w:rPr>
          <w:noProof/>
        </w:rPr>
      </w:pPr>
      <w:bookmarkStart w:id="2" w:name="_Toc385506031"/>
      <w:bookmarkStart w:id="3" w:name="_Toc430865946"/>
      <w:bookmarkStart w:id="4" w:name="_Toc430867524"/>
      <w:bookmarkStart w:id="5" w:name="_Toc514181799"/>
      <w:bookmarkStart w:id="6" w:name="_Toc45028180"/>
      <w:bookmarkStart w:id="7" w:name="_Toc351469332"/>
      <w:bookmarkStart w:id="8" w:name="_Toc361649879"/>
      <w:r>
        <w:rPr>
          <w:noProof/>
        </w:rPr>
        <w:t>1.</w:t>
      </w:r>
      <w:r>
        <w:rPr>
          <w:noProof/>
        </w:rPr>
        <w:tab/>
        <w:t>Introduction</w:t>
      </w:r>
      <w:bookmarkEnd w:id="2"/>
      <w:bookmarkEnd w:id="3"/>
      <w:bookmarkEnd w:id="4"/>
      <w:bookmarkEnd w:id="5"/>
      <w:bookmarkEnd w:id="6"/>
    </w:p>
    <w:p>
      <w:pPr>
        <w:pStyle w:val="ListDash"/>
        <w:numPr>
          <w:ilvl w:val="0"/>
          <w:numId w:val="0"/>
        </w:numPr>
        <w:rPr>
          <w:noProof/>
        </w:rPr>
      </w:pPr>
      <w:bookmarkStart w:id="9" w:name="_Toc514181800"/>
      <w:bookmarkStart w:id="10" w:name="_Toc462410050"/>
      <w:bookmarkStart w:id="11" w:name="_Toc430865947"/>
      <w:bookmarkStart w:id="12" w:name="_Toc430867525"/>
      <w:r>
        <w:rPr>
          <w:noProof/>
        </w:rPr>
        <w:t>Le projet de budget rectificatif (PBR) nº 7 pour l’exercice 2020 a pour objet, compte tenu de l’évolution récente de la situation, d’actualiser le volet des recettes du budget, à savoir:</w:t>
      </w:r>
    </w:p>
    <w:p>
      <w:pPr>
        <w:pStyle w:val="Tiret0"/>
        <w:rPr>
          <w:noProof/>
        </w:rPr>
      </w:pPr>
      <w:r>
        <w:rPr>
          <w:noProof/>
        </w:rPr>
        <w:t>de réviser les prévisions relatives aux ressources propres traditionnelles (droits de douane) et aux assiettes de la taxe sur la valeur ajoutée (TVA) et du revenu national brut (RNB), et d’inscrire au budget les corrections britanniques correspondantes ainsi que leur financement, éléments qui ont tous une incidence sur la répartition des contributions au titre des ressources propres versées par les États membres au budget de l’UE;</w:t>
      </w:r>
    </w:p>
    <w:p>
      <w:pPr>
        <w:pStyle w:val="Tiret0"/>
        <w:rPr>
          <w:noProof/>
        </w:rPr>
      </w:pPr>
      <w:r>
        <w:rPr>
          <w:noProof/>
        </w:rPr>
        <w:t>de mettre à jour d’autres recettes telles que les amendes et les différences de change.</w:t>
      </w:r>
    </w:p>
    <w:p>
      <w:pPr>
        <w:keepNext/>
        <w:tabs>
          <w:tab w:val="left" w:pos="850"/>
        </w:tabs>
        <w:spacing w:before="240" w:after="120"/>
        <w:ind w:left="851" w:hanging="851"/>
        <w:jc w:val="both"/>
        <w:outlineLvl w:val="0"/>
        <w:rPr>
          <w:rFonts w:ascii="Times New Roman" w:hAnsi="Times New Roman" w:cs="Times New Roman"/>
          <w:b/>
          <w:smallCaps/>
          <w:noProof/>
        </w:rPr>
      </w:pPr>
      <w:bookmarkStart w:id="13" w:name="_Toc45028181"/>
      <w:bookmarkStart w:id="14" w:name="_Toc460335328"/>
      <w:bookmarkStart w:id="15" w:name="_Toc430865948"/>
      <w:bookmarkStart w:id="16" w:name="_Toc430867526"/>
      <w:bookmarkEnd w:id="9"/>
      <w:bookmarkEnd w:id="10"/>
      <w:r>
        <w:rPr>
          <w:rFonts w:ascii="Times New Roman" w:hAnsi="Times New Roman"/>
          <w:b/>
          <w:smallCaps/>
          <w:noProof/>
        </w:rPr>
        <w:t>2.</w:t>
      </w:r>
      <w:r>
        <w:rPr>
          <w:noProof/>
        </w:rPr>
        <w:tab/>
      </w:r>
      <w:r>
        <w:rPr>
          <w:rFonts w:ascii="Times New Roman" w:hAnsi="Times New Roman"/>
          <w:b/>
          <w:smallCaps/>
          <w:noProof/>
        </w:rPr>
        <w:t>Actualisation des recettes</w:t>
      </w:r>
      <w:bookmarkEnd w:id="13"/>
    </w:p>
    <w:p>
      <w:pPr>
        <w:keepNext/>
        <w:tabs>
          <w:tab w:val="left" w:pos="850"/>
        </w:tabs>
        <w:spacing w:before="360" w:after="120"/>
        <w:ind w:left="850" w:hanging="850"/>
        <w:jc w:val="both"/>
        <w:outlineLvl w:val="1"/>
        <w:rPr>
          <w:rFonts w:ascii="Times New Roman" w:eastAsia="Calibri" w:hAnsi="Times New Roman" w:cs="Times New Roman"/>
          <w:b/>
          <w:noProof/>
        </w:rPr>
      </w:pPr>
      <w:bookmarkStart w:id="17" w:name="_Toc462410058"/>
      <w:bookmarkStart w:id="18" w:name="_Toc494994378"/>
      <w:bookmarkStart w:id="19" w:name="_Toc525202232"/>
      <w:bookmarkStart w:id="20" w:name="_Toc45028182"/>
      <w:r>
        <w:rPr>
          <w:rFonts w:ascii="Times New Roman" w:hAnsi="Times New Roman"/>
          <w:b/>
          <w:noProof/>
        </w:rPr>
        <w:t>2.1</w:t>
      </w:r>
      <w:r>
        <w:rPr>
          <w:noProof/>
        </w:rPr>
        <w:tab/>
      </w:r>
      <w:r>
        <w:rPr>
          <w:rFonts w:ascii="Times New Roman" w:hAnsi="Times New Roman"/>
          <w:b/>
          <w:noProof/>
        </w:rPr>
        <w:t>Incidence globale du PBR n° 7/2020 sur la répartition, entre États membres, de l’ensemble des versements de ressources propres</w:t>
      </w:r>
      <w:bookmarkEnd w:id="17"/>
      <w:bookmarkEnd w:id="18"/>
      <w:bookmarkEnd w:id="19"/>
      <w:bookmarkEnd w:id="20"/>
    </w:p>
    <w:p>
      <w:pPr>
        <w:autoSpaceDE w:val="0"/>
        <w:autoSpaceDN w:val="0"/>
        <w:adjustRightInd w:val="0"/>
        <w:spacing w:before="120" w:after="240"/>
        <w:jc w:val="both"/>
        <w:rPr>
          <w:rFonts w:ascii="Times New Roman" w:hAnsi="Times New Roman" w:cs="Times New Roman"/>
          <w:noProof/>
        </w:rPr>
      </w:pPr>
      <w:r>
        <w:rPr>
          <w:rFonts w:ascii="Times New Roman" w:hAnsi="Times New Roman"/>
          <w:noProof/>
        </w:rPr>
        <w:t>À la suite de la 178</w:t>
      </w:r>
      <w:r>
        <w:rPr>
          <w:rFonts w:ascii="Times New Roman" w:hAnsi="Times New Roman"/>
          <w:noProof/>
          <w:vertAlign w:val="superscript"/>
        </w:rPr>
        <w:t>e</w:t>
      </w:r>
      <w:r>
        <w:rPr>
          <w:rFonts w:ascii="Times New Roman" w:hAnsi="Times New Roman"/>
          <w:noProof/>
        </w:rPr>
        <w:t xml:space="preserve"> réunion du comité consultatif des ressources propres (CCRP), qui s’est tenue par procédure écrite du 19 au 25 mai 2020, il est nécessaire de procéder à deux types d’ajustements au volet des recettes du budget: </w:t>
      </w:r>
    </w:p>
    <w:p>
      <w:pPr>
        <w:pStyle w:val="Tiret0"/>
        <w:rPr>
          <w:noProof/>
        </w:rPr>
      </w:pPr>
      <w:r>
        <w:rPr>
          <w:noProof/>
        </w:rPr>
        <w:t>une actualisation des estimations en ce qui concerne les ressources propres traditionnelles (RPT) ainsi que les ressources propres fondées sur la taxe sur la valeur ajoutée (TVA) et le revenu national brut (RNB), afin de tenir compte de prévisions économiques plus récentes, et</w:t>
      </w:r>
    </w:p>
    <w:p>
      <w:pPr>
        <w:pStyle w:val="Tiret0"/>
        <w:rPr>
          <w:noProof/>
        </w:rPr>
      </w:pPr>
      <w:r>
        <w:rPr>
          <w:noProof/>
        </w:rPr>
        <w:t xml:space="preserve">une actualisation de la correction britannique. </w:t>
      </w:r>
    </w:p>
    <w:p>
      <w:pPr>
        <w:autoSpaceDE w:val="0"/>
        <w:autoSpaceDN w:val="0"/>
        <w:adjustRightInd w:val="0"/>
        <w:spacing w:before="120" w:after="240"/>
        <w:jc w:val="both"/>
        <w:rPr>
          <w:rFonts w:ascii="Times New Roman" w:hAnsi="Times New Roman" w:cs="Times New Roman"/>
          <w:noProof/>
        </w:rPr>
      </w:pPr>
      <w:r>
        <w:rPr>
          <w:rFonts w:ascii="Times New Roman" w:hAnsi="Times New Roman"/>
          <w:noProof/>
        </w:rPr>
        <w:t>Ces ajustements sont présentés aux sections 2.2 et 2.3 ci-dessous.</w:t>
      </w:r>
    </w:p>
    <w:p>
      <w:pPr>
        <w:autoSpaceDE w:val="0"/>
        <w:autoSpaceDN w:val="0"/>
        <w:adjustRightInd w:val="0"/>
        <w:spacing w:before="120" w:after="240"/>
        <w:jc w:val="both"/>
        <w:rPr>
          <w:rFonts w:ascii="Times New Roman" w:hAnsi="Times New Roman" w:cs="Times New Roman"/>
          <w:noProof/>
        </w:rPr>
      </w:pPr>
      <w:r>
        <w:rPr>
          <w:rFonts w:ascii="Times New Roman" w:hAnsi="Times New Roman"/>
          <w:noProof/>
        </w:rPr>
        <w:t>En outre, les autres recettes sont mises à jour pour tenir compte des montants des amendes et astreintes définitivement encaissés jusqu’en juin 2020, ainsi que des différences de change négatives (voir les sections 2.5 et 2.4 ci-dessous).</w:t>
      </w:r>
    </w:p>
    <w:p>
      <w:pPr>
        <w:autoSpaceDE w:val="0"/>
        <w:autoSpaceDN w:val="0"/>
        <w:adjustRightInd w:val="0"/>
        <w:spacing w:before="120" w:after="240"/>
        <w:jc w:val="both"/>
        <w:rPr>
          <w:rFonts w:ascii="Times New Roman" w:hAnsi="Times New Roman" w:cs="Times New Roman"/>
          <w:noProof/>
        </w:rPr>
      </w:pPr>
      <w:r>
        <w:rPr>
          <w:rFonts w:ascii="Times New Roman" w:hAnsi="Times New Roman"/>
          <w:noProof/>
        </w:rPr>
        <w:t>L’incidence globale de l’ensemble des ajustements des recettes du présent PBR est présentée dans le tableau récapitulatif ci-dessous. Ce tableau indique également la répartition, entre États membres, de l’ensemble des versements de ressources propres tels qu’ils figurent dans le budget 2020, tels qu’ils ont été modifiés à la suite du projet de budget rectificatif nº 6 (PBR 6/2020)</w:t>
      </w:r>
      <w:r>
        <w:rPr>
          <w:rStyle w:val="FootnoteReference"/>
          <w:rFonts w:ascii="Times New Roman" w:hAnsi="Times New Roman" w:cs="Times New Roman"/>
          <w:noProof/>
        </w:rPr>
        <w:footnoteReference w:id="10"/>
      </w:r>
      <w:r>
        <w:rPr>
          <w:rFonts w:ascii="Times New Roman" w:hAnsi="Times New Roman"/>
          <w:noProof/>
        </w:rPr>
        <w:t>, et enfin tels qu’ils sont inscrits dans le présent PBR.</w:t>
      </w:r>
    </w:p>
    <w:p>
      <w:pPr>
        <w:rPr>
          <w:rFonts w:ascii="Times New Roman" w:hAnsi="Times New Roman" w:cs="Times New Roman"/>
          <w:b/>
          <w:noProof/>
        </w:rPr>
      </w:pPr>
      <w:r>
        <w:rPr>
          <w:noProof/>
        </w:rPr>
        <w:br w:type="page"/>
      </w:r>
    </w:p>
    <w:p>
      <w:pPr>
        <w:jc w:val="center"/>
        <w:rPr>
          <w:rFonts w:ascii="Times New Roman" w:hAnsi="Times New Roman" w:cs="Times New Roman"/>
          <w:b/>
          <w:noProof/>
        </w:rPr>
      </w:pPr>
      <w:r>
        <w:rPr>
          <w:rFonts w:ascii="Times New Roman" w:hAnsi="Times New Roman"/>
          <w:b/>
          <w:noProof/>
        </w:rPr>
        <w:t>Répartition de l’ensemble des versements de ressources propres par État membre (en Mio EUR)</w:t>
      </w:r>
    </w:p>
    <w:p>
      <w:pPr>
        <w:jc w:val="center"/>
        <w:rPr>
          <w:rFonts w:ascii="Times New Roman" w:hAnsi="Times New Roman" w:cs="Times New Roman"/>
          <w:b/>
          <w:noProof/>
        </w:rPr>
      </w:pPr>
    </w:p>
    <w:tbl>
      <w:tblPr>
        <w:tblW w:w="5400" w:type="dxa"/>
        <w:jc w:val="center"/>
        <w:tblLook w:val="04A0" w:firstRow="1" w:lastRow="0" w:firstColumn="1" w:lastColumn="0" w:noHBand="0" w:noVBand="1"/>
      </w:tblPr>
      <w:tblGrid>
        <w:gridCol w:w="1060"/>
        <w:gridCol w:w="1620"/>
        <w:gridCol w:w="1380"/>
        <w:gridCol w:w="1340"/>
      </w:tblGrid>
      <w:tr>
        <w:trPr>
          <w:trHeight w:val="300"/>
          <w:jc w:val="center"/>
        </w:trPr>
        <w:tc>
          <w:tcPr>
            <w:tcW w:w="1060" w:type="dxa"/>
            <w:tcBorders>
              <w:top w:val="single" w:sz="4" w:space="0" w:color="auto"/>
              <w:left w:val="single" w:sz="4" w:space="0" w:color="auto"/>
              <w:bottom w:val="nil"/>
              <w:right w:val="single" w:sz="4" w:space="0" w:color="auto"/>
            </w:tcBorders>
            <w:shd w:val="clear" w:color="000000" w:fill="FFFFFF"/>
            <w:noWrap/>
            <w:vAlign w:val="bottom"/>
            <w:hideMark/>
          </w:tcPr>
          <w:p>
            <w:pPr>
              <w:spacing w:after="120"/>
              <w:jc w:val="center"/>
              <w:rPr>
                <w:rFonts w:ascii="Times New Roman" w:hAnsi="Times New Roman" w:cs="Times New Roman"/>
                <w:b/>
                <w:bCs/>
                <w:noProof/>
                <w:color w:val="000000"/>
                <w:sz w:val="20"/>
                <w:szCs w:val="20"/>
              </w:rPr>
            </w:pPr>
            <w:bookmarkStart w:id="21" w:name="_Toc462410059"/>
            <w:bookmarkStart w:id="22" w:name="_Toc525202233"/>
            <w:r>
              <w:rPr>
                <w:rFonts w:ascii="Times New Roman" w:hAnsi="Times New Roman"/>
                <w:b/>
                <w:bCs/>
                <w:noProof/>
                <w:color w:val="000000"/>
                <w:sz w:val="20"/>
                <w:szCs w:val="20"/>
              </w:rPr>
              <w:t xml:space="preserve"> </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b/>
                <w:bCs/>
                <w:noProof/>
                <w:color w:val="000000"/>
                <w:sz w:val="20"/>
                <w:szCs w:val="20"/>
              </w:rPr>
              <w:t>Budget 2020</w:t>
            </w:r>
          </w:p>
        </w:tc>
        <w:tc>
          <w:tcPr>
            <w:tcW w:w="1380" w:type="dxa"/>
            <w:tcBorders>
              <w:top w:val="single" w:sz="4" w:space="0" w:color="auto"/>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b/>
                <w:bCs/>
                <w:noProof/>
                <w:color w:val="000000"/>
                <w:sz w:val="20"/>
                <w:szCs w:val="20"/>
              </w:rPr>
              <w:t>PBR 6/2020</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b/>
                <w:bCs/>
                <w:noProof/>
                <w:color w:val="000000"/>
                <w:sz w:val="20"/>
                <w:szCs w:val="20"/>
              </w:rPr>
              <w:t>PBR 7/2020</w:t>
            </w:r>
          </w:p>
        </w:tc>
      </w:tr>
      <w:tr>
        <w:trPr>
          <w:trHeight w:val="300"/>
          <w:jc w:val="center"/>
        </w:trPr>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pPr>
              <w:spacing w:after="120"/>
              <w:rPr>
                <w:rFonts w:ascii="Times New Roman" w:hAnsi="Times New Roman" w:cs="Times New Roman"/>
                <w:noProof/>
                <w:color w:val="000000"/>
                <w:sz w:val="20"/>
                <w:szCs w:val="20"/>
              </w:rPr>
            </w:pPr>
            <w:r>
              <w:rPr>
                <w:rFonts w:ascii="Times New Roman" w:hAnsi="Times New Roman"/>
                <w:noProof/>
                <w:color w:val="000000"/>
                <w:sz w:val="20"/>
                <w:szCs w:val="20"/>
              </w:rPr>
              <w:t xml:space="preserve"> </w:t>
            </w:r>
          </w:p>
        </w:tc>
        <w:tc>
          <w:tcPr>
            <w:tcW w:w="1620" w:type="dxa"/>
            <w:tcBorders>
              <w:top w:val="nil"/>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noProof/>
                <w:color w:val="000000"/>
                <w:sz w:val="20"/>
                <w:szCs w:val="20"/>
              </w:rPr>
            </w:pPr>
            <w:r>
              <w:rPr>
                <w:rFonts w:ascii="Times New Roman" w:hAnsi="Times New Roman"/>
                <w:noProof/>
                <w:color w:val="000000"/>
                <w:sz w:val="20"/>
                <w:szCs w:val="20"/>
              </w:rPr>
              <w:t>(1)</w:t>
            </w:r>
          </w:p>
        </w:tc>
        <w:tc>
          <w:tcPr>
            <w:tcW w:w="1380" w:type="dxa"/>
            <w:tcBorders>
              <w:top w:val="nil"/>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noProof/>
                <w:color w:val="000000"/>
                <w:sz w:val="20"/>
                <w:szCs w:val="20"/>
              </w:rPr>
            </w:pPr>
            <w:r>
              <w:rPr>
                <w:rFonts w:ascii="Times New Roman" w:hAnsi="Times New Roman"/>
                <w:noProof/>
                <w:color w:val="000000"/>
                <w:sz w:val="20"/>
                <w:szCs w:val="20"/>
              </w:rPr>
              <w:t>(2)</w:t>
            </w:r>
          </w:p>
        </w:tc>
        <w:tc>
          <w:tcPr>
            <w:tcW w:w="1340" w:type="dxa"/>
            <w:tcBorders>
              <w:top w:val="nil"/>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noProof/>
                <w:color w:val="000000"/>
                <w:sz w:val="20"/>
                <w:szCs w:val="20"/>
              </w:rPr>
            </w:pPr>
            <w:r>
              <w:rPr>
                <w:rFonts w:ascii="Times New Roman" w:hAnsi="Times New Roman"/>
                <w:noProof/>
                <w:color w:val="000000"/>
                <w:sz w:val="20"/>
                <w:szCs w:val="20"/>
              </w:rPr>
              <w:t>(3)</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BE</w:t>
            </w:r>
          </w:p>
        </w:tc>
        <w:tc>
          <w:tcPr>
            <w:tcW w:w="1620" w:type="dxa"/>
            <w:tcBorders>
              <w:top w:val="single" w:sz="4" w:space="0" w:color="auto"/>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6 313,9</w:t>
            </w:r>
          </w:p>
        </w:tc>
        <w:tc>
          <w:tcPr>
            <w:tcW w:w="1380" w:type="dxa"/>
            <w:tcBorders>
              <w:top w:val="single" w:sz="4" w:space="0" w:color="auto"/>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6 499,9</w:t>
            </w:r>
          </w:p>
        </w:tc>
        <w:tc>
          <w:tcPr>
            <w:tcW w:w="1340" w:type="dxa"/>
            <w:tcBorders>
              <w:top w:val="single" w:sz="4" w:space="0" w:color="auto"/>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6 332,3</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BG</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641,7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665,6</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659,8</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CZ</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2 135,7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2 218,8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2 290,7</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DK</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2 904,5</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3 029,7</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3 118,1</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DE</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31 032,1</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32 448,8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32 955,7</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EE</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277,4</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288,2</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302,2</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IE</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2 599,7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2 706,9</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2 652,8</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EL</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1 825,0</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1 901,0</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1 905,6</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ES</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12 649,7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13 149,6</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12 577,5</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FR</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23 283,6</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24 261,5</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24 654,5</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HR</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515,6</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536,8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531,2</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IT</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17 239,5</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17 946,0</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17 751,0</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CY</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216,0</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224,5</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226,6</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LV</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318,9</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331,5</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319,3</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LT</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512,4</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531,0</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525,5</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LU</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397,7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414,8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452,3</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HU</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1 429,0</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1 484,4</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1 498,4</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MT</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128,9</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134,0</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131,4</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NL</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8 025,0</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8 344,8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8 249,6</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AT</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3 536,8</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3 696,0</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3 789,0</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PL</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5 450,1</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5 656,5</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5 782,5</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PT</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2 011,6</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2 092,8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2 171,8</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RO</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2 057,1</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2 144,4</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2 240,4</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SI</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522,1</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541,7</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526,5</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SK</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926,7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965,2</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937,7</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FI</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2 245,5</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2 341,3</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2 421,9</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SE</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3 903,6</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4 091,9</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4 313,3</w:t>
            </w:r>
          </w:p>
        </w:tc>
      </w:tr>
      <w:tr>
        <w:trPr>
          <w:trHeight w:val="300"/>
          <w:jc w:val="center"/>
        </w:trPr>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UK</w:t>
            </w:r>
          </w:p>
        </w:tc>
        <w:tc>
          <w:tcPr>
            <w:tcW w:w="1620" w:type="dxa"/>
            <w:tcBorders>
              <w:top w:val="nil"/>
              <w:left w:val="nil"/>
              <w:bottom w:val="single" w:sz="4" w:space="0" w:color="auto"/>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18 537,9</w:t>
            </w:r>
          </w:p>
        </w:tc>
        <w:tc>
          <w:tcPr>
            <w:tcW w:w="1380" w:type="dxa"/>
            <w:tcBorders>
              <w:top w:val="nil"/>
              <w:left w:val="nil"/>
              <w:bottom w:val="single" w:sz="4" w:space="0" w:color="auto"/>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18 359,7</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noProof/>
                <w:sz w:val="20"/>
                <w:szCs w:val="20"/>
              </w:rPr>
              <w:t>17 972,3</w:t>
            </w:r>
          </w:p>
        </w:tc>
      </w:tr>
      <w:tr>
        <w:trPr>
          <w:trHeight w:val="300"/>
          <w:jc w:val="center"/>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b/>
                <w:bCs/>
                <w:noProof/>
                <w:color w:val="000000"/>
                <w:sz w:val="20"/>
                <w:szCs w:val="20"/>
              </w:rPr>
              <w:t>UE</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151 637,8</w:t>
            </w:r>
          </w:p>
        </w:tc>
        <w:tc>
          <w:tcPr>
            <w:tcW w:w="1380" w:type="dxa"/>
            <w:tcBorders>
              <w:top w:val="single" w:sz="4" w:space="0" w:color="auto"/>
              <w:left w:val="nil"/>
              <w:bottom w:val="single" w:sz="4" w:space="0" w:color="auto"/>
              <w:right w:val="single" w:sz="4" w:space="0" w:color="auto"/>
            </w:tcBorders>
            <w:shd w:val="clear" w:color="000000" w:fill="FFFFFF"/>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157 007,3</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pPr>
              <w:spacing w:after="120"/>
              <w:jc w:val="right"/>
              <w:rPr>
                <w:rFonts w:ascii="Times New Roman" w:hAnsi="Times New Roman" w:cs="Times New Roman"/>
                <w:b/>
                <w:bCs/>
                <w:noProof/>
                <w:color w:val="000000"/>
                <w:sz w:val="20"/>
                <w:szCs w:val="20"/>
              </w:rPr>
            </w:pPr>
            <w:r>
              <w:rPr>
                <w:rFonts w:ascii="Times New Roman" w:hAnsi="Times New Roman"/>
                <w:b/>
                <w:noProof/>
                <w:sz w:val="20"/>
                <w:szCs w:val="20"/>
              </w:rPr>
              <w:t>157 289,9</w:t>
            </w:r>
          </w:p>
        </w:tc>
      </w:tr>
    </w:tbl>
    <w:p>
      <w:pPr>
        <w:rPr>
          <w:noProof/>
        </w:rPr>
      </w:pPr>
      <w:r>
        <w:rPr>
          <w:noProof/>
        </w:rPr>
        <w:br w:type="page"/>
      </w:r>
    </w:p>
    <w:p>
      <w:pPr>
        <w:keepNext/>
        <w:tabs>
          <w:tab w:val="left" w:pos="850"/>
        </w:tabs>
        <w:spacing w:before="360" w:after="120"/>
        <w:ind w:left="850" w:hanging="850"/>
        <w:jc w:val="both"/>
        <w:outlineLvl w:val="1"/>
        <w:rPr>
          <w:rFonts w:ascii="Times New Roman" w:eastAsia="Calibri" w:hAnsi="Times New Roman" w:cs="Times New Roman"/>
          <w:b/>
          <w:noProof/>
        </w:rPr>
      </w:pPr>
      <w:bookmarkStart w:id="23" w:name="_Toc45028183"/>
      <w:r>
        <w:rPr>
          <w:rFonts w:ascii="Times New Roman" w:hAnsi="Times New Roman"/>
          <w:b/>
          <w:noProof/>
        </w:rPr>
        <w:t>2.2</w:t>
      </w:r>
      <w:r>
        <w:rPr>
          <w:noProof/>
        </w:rPr>
        <w:tab/>
      </w:r>
      <w:r>
        <w:rPr>
          <w:rFonts w:ascii="Times New Roman" w:hAnsi="Times New Roman"/>
          <w:b/>
          <w:noProof/>
        </w:rPr>
        <w:t>Révision des prévisions relatives aux RPT et aux assiettes TVA et RNB</w:t>
      </w:r>
      <w:bookmarkEnd w:id="21"/>
      <w:bookmarkEnd w:id="22"/>
      <w:bookmarkEnd w:id="23"/>
    </w:p>
    <w:p>
      <w:pPr>
        <w:spacing w:before="120" w:after="120"/>
        <w:jc w:val="both"/>
        <w:rPr>
          <w:rFonts w:ascii="Times New Roman" w:hAnsi="Times New Roman" w:cs="Times New Roman"/>
          <w:noProof/>
        </w:rPr>
      </w:pPr>
      <w:r>
        <w:rPr>
          <w:rFonts w:ascii="Times New Roman" w:hAnsi="Times New Roman"/>
          <w:noProof/>
        </w:rPr>
        <w:t>Conformément aux pratiques établies, la Commission propose de réviser le financement du budget sur la base de prévisions économiques plus récentes</w:t>
      </w:r>
      <w:r>
        <w:rPr>
          <w:rStyle w:val="FootnoteReference"/>
          <w:rFonts w:ascii="Times New Roman" w:hAnsi="Times New Roman" w:cs="Times New Roman"/>
          <w:noProof/>
        </w:rPr>
        <w:footnoteReference w:id="11"/>
      </w:r>
      <w:r>
        <w:rPr>
          <w:rFonts w:ascii="Times New Roman" w:hAnsi="Times New Roman"/>
          <w:noProof/>
        </w:rPr>
        <w:t xml:space="preserve">, arrêtées avec les États membres dans le cadre de la procédure de prévision du CCRP. </w:t>
      </w:r>
    </w:p>
    <w:p>
      <w:pPr>
        <w:spacing w:before="120" w:after="120"/>
        <w:jc w:val="both"/>
        <w:rPr>
          <w:rFonts w:ascii="Times New Roman" w:hAnsi="Times New Roman" w:cs="Times New Roman"/>
          <w:noProof/>
        </w:rPr>
      </w:pPr>
      <w:r>
        <w:rPr>
          <w:rFonts w:ascii="Times New Roman" w:hAnsi="Times New Roman"/>
          <w:noProof/>
        </w:rPr>
        <w:t>Cette révision porte sur les prévisions relatives aux RPT à verser au budget en 2020, ainsi que sur les prévisions relatives aux assiettes TVA et RNB de 2020. Les prévisions figurant dans le budget 2020 ont été établies lors de la 175</w:t>
      </w:r>
      <w:r>
        <w:rPr>
          <w:rFonts w:ascii="Times New Roman" w:hAnsi="Times New Roman"/>
          <w:noProof/>
          <w:vertAlign w:val="superscript"/>
        </w:rPr>
        <w:t>e</w:t>
      </w:r>
      <w:r>
        <w:rPr>
          <w:rFonts w:ascii="Times New Roman" w:hAnsi="Times New Roman"/>
          <w:noProof/>
        </w:rPr>
        <w:t> réunion du CCRP, qui s'est tenue le 24 mai 2019. La révision prévue dans le présent PBR tient compte des prévisions arrêtées lors de la 178</w:t>
      </w:r>
      <w:r>
        <w:rPr>
          <w:rFonts w:ascii="Times New Roman" w:hAnsi="Times New Roman"/>
          <w:noProof/>
          <w:vertAlign w:val="superscript"/>
        </w:rPr>
        <w:t>e</w:t>
      </w:r>
      <w:r>
        <w:rPr>
          <w:rFonts w:ascii="Times New Roman" w:hAnsi="Times New Roman"/>
          <w:noProof/>
        </w:rPr>
        <w:t> réunion du CCRP, qui s’est tenue par procédure écrite du 19 au 25 mai 2020. L’utilisation de prévisions actualisées des ressources propres rend plus précise la détermination des prévisions de recettes et, partant, des versements demandés aux États membres en faveur du budget de l’UE pendant l’exercice budgétaire.</w:t>
      </w:r>
    </w:p>
    <w:p>
      <w:pPr>
        <w:pStyle w:val="Text1"/>
        <w:ind w:left="0"/>
        <w:rPr>
          <w:noProof/>
          <w:color w:val="000000"/>
        </w:rPr>
      </w:pPr>
      <w:r>
        <w:rPr>
          <w:noProof/>
          <w:color w:val="000000"/>
        </w:rPr>
        <w:t>Les projections du CCRP concernant les assiettes TVA et RNB sont généralement déterminées sous forme de compromis entre les prévisions de la Commission et celles des États membres. Toutefois, cette année, les États membres ont accepté la proposition de la Commission aux termes de laquelle ses propres prévisions seront utilisées pour les assiettes TVA et RNB pour 2020 afin de garantir l’égalité de traitement entre les États membres. Les prévisions économiques de la Commission du printemps 2020 constituent une approche cohérente sur le plan horizontal, fondée sur un ensemble cohérent de données, de méthodes et d’hypothèses pour tous les États membres, ce qui semble particulièrement important dans cette situation exceptionnelle de pandémie de COVID-19.</w:t>
      </w:r>
    </w:p>
    <w:p>
      <w:pPr>
        <w:pStyle w:val="Text1"/>
        <w:ind w:left="0"/>
        <w:rPr>
          <w:noProof/>
        </w:rPr>
      </w:pPr>
      <w:r>
        <w:rPr>
          <w:noProof/>
        </w:rPr>
        <w:t>La pandémie a radicalement modifié les perspectives de l’économie européenne. Les prévisions du printemps 2020 de la Commission tablent sur une contraction record de l’économie de l’UE de 7,5 % cette année, suivie d’un rebond de 6,1 % en 2021, ce qui ne suffira pas à compenser entièrement les pertes de cette année. À la fin de la période de prévision, l’économie de l’UE serait à un niveau de production inférieur d’environ 3 % à celui figurant dans les prévisions de l’automne 2019. La pandémie aura des répercussions sur toutes les composantes de la demande, à l’exception de la consommation et des investissements du secteur public, qui jouent un rôle stabilisateur. Le commerce international devrait subir un affaissement sans précédent et le rebond de l’an prochain devrait rester limité en raison des perturbations dans les chaînes de valeur mondiales.</w:t>
      </w:r>
    </w:p>
    <w:p>
      <w:pPr>
        <w:spacing w:before="120" w:after="120"/>
        <w:jc w:val="both"/>
        <w:rPr>
          <w:rFonts w:ascii="Times New Roman" w:hAnsi="Times New Roman" w:cs="Times New Roman"/>
          <w:noProof/>
        </w:rPr>
      </w:pPr>
      <w:r>
        <w:rPr>
          <w:rFonts w:ascii="Times New Roman" w:hAnsi="Times New Roman"/>
          <w:noProof/>
        </w:rPr>
        <w:t>La détérioration de la situation économique se reflète dans les prévisions relatives aux ressources propres pour 2020. En conséquence, par rapport aux prévisions arrêtées en mai 2019, les prévisions pour 2020 ont été révisées comme suit:</w:t>
      </w:r>
    </w:p>
    <w:p>
      <w:pPr>
        <w:numPr>
          <w:ilvl w:val="0"/>
          <w:numId w:val="4"/>
        </w:numPr>
        <w:spacing w:before="120" w:after="240" w:line="240" w:lineRule="auto"/>
        <w:jc w:val="both"/>
        <w:rPr>
          <w:rFonts w:ascii="Times New Roman" w:hAnsi="Times New Roman" w:cs="Times New Roman"/>
          <w:noProof/>
        </w:rPr>
      </w:pPr>
      <w:r>
        <w:rPr>
          <w:rFonts w:ascii="Times New Roman" w:hAnsi="Times New Roman"/>
          <w:noProof/>
        </w:rPr>
        <w:t>le total des droits de douane nets pour 2020 est désormais estimé à 18 507,3 millions d’EUR (après déduction des 20 % de frais de perception), ce qui représente une diminution de 16,47 % par rapport aux prévisions figurant dans le budget 2020, qui étaient de 22 156,9 millions d’EUR. La Commission a comparé les résultats de la méthode traditionnelle appliquée par le CCRP pour les prévisions (sur la base des prévisions économiques de la Commission du printemps 2020) avec ceux de la méthode d’extrapolation fondée sur les dernières données disponibles en matière de perception des droits de douane (janvier – avril 2020). Comme les années précédentes, il a été convenu d’appliquer une approche prudente garantissant une bonne gestion budgétaire dans un contexte de forte incertitude économique et d’éventuelles perturbations dans la structure des échanges commerciaux. La méthode de prévision traditionnelle, qui tient compte des effets possibles de la pandémie sur le commerce, indique les recettes issues des RPT les plus faibles. Par conséquent, il a été convenu de l’appliquer pour la révision des prévisions relatives aux RPT de 2020;</w:t>
      </w:r>
    </w:p>
    <w:p>
      <w:pPr>
        <w:numPr>
          <w:ilvl w:val="0"/>
          <w:numId w:val="4"/>
        </w:numPr>
        <w:spacing w:before="120" w:after="120" w:line="240" w:lineRule="auto"/>
        <w:jc w:val="both"/>
        <w:rPr>
          <w:rFonts w:ascii="Times New Roman" w:hAnsi="Times New Roman" w:cs="Times New Roman"/>
          <w:noProof/>
        </w:rPr>
      </w:pPr>
      <w:r>
        <w:rPr>
          <w:rFonts w:ascii="Times New Roman" w:hAnsi="Times New Roman"/>
          <w:noProof/>
        </w:rPr>
        <w:t>l'assiette TVA totale non écrêtée de l’UE pour 2020 est désormais estimée à 6 764 185,3 millions d'EUR, ce qui représente une diminution de 8,30 % par rapport aux prévisions de mai 2019, qui s'étaient établies à 7 376 556,2 millions d’EUR. L’assiette TVA</w:t>
      </w:r>
      <w:r>
        <w:rPr>
          <w:rFonts w:ascii="Times New Roman" w:hAnsi="Times New Roman" w:cs="Times New Roman"/>
          <w:noProof/>
          <w:vertAlign w:val="superscript"/>
          <w:lang w:eastAsia="de-DE"/>
        </w:rPr>
        <w:footnoteReference w:id="12"/>
      </w:r>
      <w:r>
        <w:rPr>
          <w:rFonts w:ascii="Times New Roman" w:hAnsi="Times New Roman"/>
          <w:noProof/>
        </w:rPr>
        <w:t xml:space="preserve"> totale </w:t>
      </w:r>
      <w:r>
        <w:rPr>
          <w:rFonts w:ascii="Times New Roman" w:hAnsi="Times New Roman"/>
          <w:i/>
          <w:noProof/>
        </w:rPr>
        <w:t>écrêtée</w:t>
      </w:r>
      <w:r>
        <w:rPr>
          <w:rFonts w:ascii="Times New Roman" w:hAnsi="Times New Roman"/>
          <w:noProof/>
        </w:rPr>
        <w:t xml:space="preserve"> de l’UE pour 2020 est estimée à 6 727 739,2 millions d’EUR, soit une baisse de 8,43 % par rapport aux prévisions de mai 2019, qui étaient de 7 347 133,9 millions d’EUR;</w:t>
      </w:r>
    </w:p>
    <w:p>
      <w:pPr>
        <w:numPr>
          <w:ilvl w:val="0"/>
          <w:numId w:val="4"/>
        </w:numPr>
        <w:spacing w:before="120" w:after="120" w:line="240" w:lineRule="auto"/>
        <w:jc w:val="both"/>
        <w:rPr>
          <w:rFonts w:ascii="Times New Roman" w:hAnsi="Times New Roman" w:cs="Times New Roman"/>
          <w:noProof/>
        </w:rPr>
      </w:pPr>
      <w:r>
        <w:rPr>
          <w:rFonts w:ascii="Times New Roman" w:hAnsi="Times New Roman"/>
          <w:noProof/>
        </w:rPr>
        <w:t>l’assiette RNB totale de l’UE pour 2020 est estimée à 15 480 146,9 millions d’EUR, ce qui constitue une baisse de 8,88 % par rapport aux prévisions de mai 2019, qui s’établissaient à 16 988 025,0 millions d’EUR.</w:t>
      </w:r>
    </w:p>
    <w:p>
      <w:pPr>
        <w:spacing w:before="120" w:after="120"/>
        <w:jc w:val="both"/>
        <w:rPr>
          <w:rFonts w:ascii="Times New Roman" w:hAnsi="Times New Roman" w:cs="Times New Roman"/>
          <w:noProof/>
        </w:rPr>
      </w:pPr>
      <w:r>
        <w:rPr>
          <w:rFonts w:ascii="Times New Roman" w:hAnsi="Times New Roman"/>
          <w:noProof/>
        </w:rPr>
        <w:t>Les taux de change du 31 décembre 2019 ont été utilisés pour convertir en euros les prévisions des assiettes TVA et RNB libellées en monnaie nationale (pour les neuf États membres qui ne font pas partie de la zone euro). On évite ainsi des distorsions, puisque ces taux servent à convertir en monnaie nationale les paiements budgétisés de ressources propres exprimés en euros lorsque les montants sont prélevés (conformément aux dispositions de l’article 10 </w:t>
      </w:r>
      <w:r>
        <w:rPr>
          <w:rFonts w:ascii="Times New Roman" w:hAnsi="Times New Roman"/>
          <w:i/>
          <w:iCs/>
          <w:noProof/>
        </w:rPr>
        <w:t>bis</w:t>
      </w:r>
      <w:r>
        <w:rPr>
          <w:rFonts w:ascii="Times New Roman" w:hAnsi="Times New Roman"/>
          <w:noProof/>
        </w:rPr>
        <w:t>, paragraphe 1, du règlement nº 609/2014 du Conseil).</w:t>
      </w:r>
    </w:p>
    <w:p>
      <w:pPr>
        <w:spacing w:before="120" w:after="120"/>
        <w:jc w:val="both"/>
        <w:rPr>
          <w:rFonts w:ascii="Times New Roman" w:hAnsi="Times New Roman" w:cs="Times New Roman"/>
          <w:noProof/>
        </w:rPr>
      </w:pPr>
      <w:r>
        <w:rPr>
          <w:rFonts w:ascii="Times New Roman" w:hAnsi="Times New Roman"/>
          <w:noProof/>
        </w:rPr>
        <w:t>Les prévisions révisées des RPT, des assiettes TVA non écrêtées et des assiettes RNB pour 2020, telles qu’adoptées lors de la 178</w:t>
      </w:r>
      <w:r>
        <w:rPr>
          <w:rFonts w:ascii="Times New Roman" w:hAnsi="Times New Roman"/>
          <w:noProof/>
          <w:vertAlign w:val="superscript"/>
        </w:rPr>
        <w:t>e</w:t>
      </w:r>
      <w:r>
        <w:rPr>
          <w:rFonts w:ascii="Times New Roman" w:hAnsi="Times New Roman"/>
          <w:noProof/>
        </w:rPr>
        <w:t> réunion du CCRP qui s’est tenue par procédure écrite du 19 au 25 mai 2020, sont exposées dans le tableau ci-après:</w:t>
      </w:r>
    </w:p>
    <w:p>
      <w:pPr>
        <w:keepNext/>
        <w:jc w:val="center"/>
        <w:rPr>
          <w:rFonts w:ascii="Times New Roman" w:hAnsi="Times New Roman" w:cs="Times New Roman"/>
          <w:b/>
          <w:i/>
          <w:noProof/>
        </w:rPr>
      </w:pPr>
      <w:r>
        <w:rPr>
          <w:rFonts w:ascii="Times New Roman" w:hAnsi="Times New Roman"/>
          <w:b/>
          <w:noProof/>
        </w:rPr>
        <w:t xml:space="preserve">Prévisions révisées des RPT et des assiettes TVA et RNB pour 2020 </w:t>
      </w:r>
      <w:r>
        <w:rPr>
          <w:rFonts w:ascii="Times New Roman" w:hAnsi="Times New Roman"/>
          <w:b/>
          <w:i/>
          <w:noProof/>
        </w:rPr>
        <w:t>(en Mio EUR)</w:t>
      </w:r>
    </w:p>
    <w:tbl>
      <w:tblPr>
        <w:tblW w:w="6640" w:type="dxa"/>
        <w:jc w:val="center"/>
        <w:tblLook w:val="04A0" w:firstRow="1" w:lastRow="0" w:firstColumn="1" w:lastColumn="0" w:noHBand="0" w:noVBand="1"/>
      </w:tblPr>
      <w:tblGrid>
        <w:gridCol w:w="1240"/>
        <w:gridCol w:w="1260"/>
        <w:gridCol w:w="1240"/>
        <w:gridCol w:w="1360"/>
        <w:gridCol w:w="1540"/>
      </w:tblGrid>
      <w:tr>
        <w:trPr>
          <w:trHeight w:val="510"/>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b/>
                <w:bCs/>
                <w:noProof/>
                <w:color w:val="00000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b/>
                <w:bCs/>
                <w:noProof/>
                <w:color w:val="000000"/>
                <w:sz w:val="20"/>
                <w:szCs w:val="20"/>
              </w:rPr>
              <w:t>Droits de douane</w:t>
            </w:r>
            <w:r>
              <w:rPr>
                <w:noProof/>
              </w:rPr>
              <w:t xml:space="preserve"> </w:t>
            </w:r>
            <w:r>
              <w:rPr>
                <w:noProof/>
              </w:rPr>
              <w:br/>
            </w:r>
            <w:r>
              <w:rPr>
                <w:rFonts w:ascii="Times New Roman" w:hAnsi="Times New Roman"/>
                <w:b/>
                <w:bCs/>
                <w:noProof/>
                <w:color w:val="000000"/>
                <w:sz w:val="20"/>
                <w:szCs w:val="20"/>
              </w:rPr>
              <w:t>(80 %)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b/>
                <w:bCs/>
                <w:noProof/>
                <w:color w:val="000000"/>
                <w:sz w:val="20"/>
                <w:szCs w:val="20"/>
              </w:rPr>
              <w:t>Assiettes TVA non écrêtées</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b/>
                <w:bCs/>
                <w:noProof/>
                <w:color w:val="000000"/>
                <w:sz w:val="20"/>
                <w:szCs w:val="20"/>
              </w:rPr>
              <w:t>Assiettes RNB</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b/>
                <w:bCs/>
                <w:noProof/>
                <w:color w:val="000000"/>
                <w:sz w:val="20"/>
                <w:szCs w:val="20"/>
              </w:rPr>
              <w:t xml:space="preserve">Assiettes TVA </w:t>
            </w:r>
            <w:r>
              <w:rPr>
                <w:noProof/>
              </w:rPr>
              <w:br/>
            </w:r>
            <w:r>
              <w:rPr>
                <w:rFonts w:ascii="Times New Roman" w:hAnsi="Times New Roman"/>
                <w:b/>
                <w:bCs/>
                <w:noProof/>
                <w:color w:val="000000"/>
                <w:sz w:val="20"/>
                <w:szCs w:val="20"/>
              </w:rPr>
              <w:t>écrêtées</w:t>
            </w:r>
            <w:r>
              <w:rPr>
                <w:rStyle w:val="FootnoteReference"/>
                <w:rFonts w:ascii="Times New Roman" w:hAnsi="Times New Roman" w:cs="Times New Roman"/>
                <w:b/>
                <w:bCs/>
                <w:noProof/>
                <w:color w:val="000000"/>
                <w:sz w:val="20"/>
                <w:szCs w:val="20"/>
              </w:rPr>
              <w:footnoteReference w:id="13"/>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BE</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1 855,2</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189 777,7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449 226,0</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189 777,7</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BG</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77,0</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27 165,8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56 874,4</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27 165,8</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CZ</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257,6</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92 345,4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201 610,8</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92 345,4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DK</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316,9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113 403,4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299 768,7</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113 403,4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DE</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3 682,9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1 379 190,9</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3 354 899,6</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1 379 190,9</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EE</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36,4</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12 711,1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26 004,9</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12 711,1</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color w:val="000000"/>
                <w:sz w:val="20"/>
                <w:szCs w:val="20"/>
              </w:rPr>
            </w:pPr>
            <w:r>
              <w:rPr>
                <w:rFonts w:ascii="Times New Roman" w:hAnsi="Times New Roman"/>
                <w:noProof/>
                <w:color w:val="000000"/>
                <w:sz w:val="20"/>
                <w:szCs w:val="20"/>
              </w:rPr>
              <w:t>IE</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239,8</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91 612,0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244 502,7</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91 612,0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color w:val="000000"/>
                <w:sz w:val="20"/>
                <w:szCs w:val="20"/>
              </w:rPr>
            </w:pPr>
            <w:r>
              <w:rPr>
                <w:rFonts w:ascii="Times New Roman" w:hAnsi="Times New Roman"/>
                <w:noProof/>
                <w:color w:val="000000"/>
                <w:sz w:val="20"/>
                <w:szCs w:val="20"/>
              </w:rPr>
              <w:t>EL</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227,1</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68 974,4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170 317,2</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68 974,4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color w:val="000000"/>
                <w:sz w:val="20"/>
                <w:szCs w:val="20"/>
              </w:rPr>
            </w:pPr>
            <w:r>
              <w:rPr>
                <w:rFonts w:ascii="Times New Roman" w:hAnsi="Times New Roman"/>
                <w:noProof/>
                <w:color w:val="000000"/>
                <w:sz w:val="20"/>
                <w:szCs w:val="20"/>
              </w:rPr>
              <w:t>ES</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1 145,6</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525 701,4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1 139 453,3</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525 701,4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color w:val="000000"/>
                <w:sz w:val="20"/>
                <w:szCs w:val="20"/>
              </w:rPr>
            </w:pPr>
            <w:r>
              <w:rPr>
                <w:rFonts w:ascii="Times New Roman" w:hAnsi="Times New Roman"/>
                <w:noProof/>
                <w:color w:val="000000"/>
                <w:sz w:val="20"/>
                <w:szCs w:val="20"/>
              </w:rPr>
              <w:t>FR</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1 492,9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1 043 797,5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2 310 950,4</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1 043 797,5</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HR</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29,5</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33 212,2</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49 035,0</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24 517,5</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IT</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1 548,8</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655 487,7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1 640 896,9</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655 487,7</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CY</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25,0</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15 360,0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19 667,9</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9 834,0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LV</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36,4</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12 075,5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28 582,7</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12 075,5</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LT</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90,5</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18 210,5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43 691,8</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18 210,5</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LU</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17,7</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30 401,6</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42 714,0</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21 357,0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HU</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164,9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57 027,0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133 530,3</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57 027,0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MT</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13,4</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9 182,8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11 568,7</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5 784,4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NL</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2 461,7</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309 010,0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752 515,8</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309 010,0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AT</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188,0</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173 737,6</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379 655,5</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173 737,6</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PL</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734,9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254 114,4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497 588,8</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248 794,4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PT</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179,8</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102 255,7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195 586,8</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97 793,4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RO</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164,9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81 445,0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210 407,0</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81 445,0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SI</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71,0</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21 884,8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45 058,8</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21 884,8</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SK</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74,1</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34 104,4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87 990,5</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34 104,4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FI</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136,7</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101 842,5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228 223,7</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101 842,5</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SE</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436,1</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204 408,8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466 486,2</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204 408,8</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noProof/>
                <w:sz w:val="20"/>
                <w:szCs w:val="20"/>
              </w:rPr>
              <w:t>UK</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 xml:space="preserve"> 2 802,5</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1 105 745,2</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2 393 338,5</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noProof/>
                <w:color w:val="000000"/>
                <w:sz w:val="20"/>
                <w:szCs w:val="20"/>
              </w:rPr>
              <w:t>1 105 745,2</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b/>
                <w:bCs/>
                <w:noProof/>
                <w:sz w:val="20"/>
                <w:szCs w:val="20"/>
              </w:rPr>
            </w:pPr>
            <w:r>
              <w:rPr>
                <w:rFonts w:ascii="Times New Roman" w:hAnsi="Times New Roman"/>
                <w:b/>
                <w:bCs/>
                <w:noProof/>
                <w:sz w:val="20"/>
                <w:szCs w:val="20"/>
              </w:rPr>
              <w:t>EU-28</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 xml:space="preserve"> 18 507,3</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6 764 185,3</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15 480 146,9</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6 727 739,2</w:t>
            </w:r>
          </w:p>
        </w:tc>
      </w:tr>
    </w:tbl>
    <w:p>
      <w:pPr>
        <w:keepNext/>
        <w:tabs>
          <w:tab w:val="left" w:pos="850"/>
        </w:tabs>
        <w:spacing w:before="360" w:after="120"/>
        <w:ind w:left="850" w:hanging="850"/>
        <w:jc w:val="both"/>
        <w:outlineLvl w:val="1"/>
        <w:rPr>
          <w:rFonts w:ascii="Times New Roman" w:eastAsia="Calibri" w:hAnsi="Times New Roman" w:cs="Times New Roman"/>
          <w:b/>
          <w:noProof/>
        </w:rPr>
      </w:pPr>
      <w:bookmarkStart w:id="24" w:name="_Toc421699312"/>
      <w:bookmarkStart w:id="25" w:name="_Toc461544621"/>
      <w:bookmarkStart w:id="26" w:name="_Toc462410060"/>
      <w:bookmarkStart w:id="27" w:name="_Toc525202234"/>
      <w:bookmarkStart w:id="28" w:name="_Toc45028184"/>
      <w:bookmarkStart w:id="29" w:name="_Toc390436796"/>
      <w:bookmarkStart w:id="30" w:name="_Toc420941901"/>
      <w:bookmarkStart w:id="31" w:name="_Toc294673193"/>
      <w:bookmarkStart w:id="32" w:name="_Toc357005413"/>
      <w:bookmarkStart w:id="33" w:name="_Toc358885561"/>
      <w:r>
        <w:rPr>
          <w:rFonts w:ascii="Times New Roman" w:hAnsi="Times New Roman"/>
          <w:b/>
          <w:noProof/>
        </w:rPr>
        <w:t>2.3</w:t>
      </w:r>
      <w:r>
        <w:rPr>
          <w:noProof/>
        </w:rPr>
        <w:tab/>
      </w:r>
      <w:r>
        <w:rPr>
          <w:rFonts w:ascii="Times New Roman" w:hAnsi="Times New Roman"/>
          <w:b/>
          <w:noProof/>
        </w:rPr>
        <w:t>Corrections britanniques 2015, 2016, 2017, 2018 et 2019</w:t>
      </w:r>
      <w:bookmarkEnd w:id="24"/>
      <w:bookmarkEnd w:id="25"/>
      <w:bookmarkEnd w:id="26"/>
      <w:bookmarkEnd w:id="27"/>
      <w:bookmarkEnd w:id="28"/>
    </w:p>
    <w:p>
      <w:pPr>
        <w:keepNext/>
        <w:tabs>
          <w:tab w:val="left" w:pos="850"/>
        </w:tabs>
        <w:spacing w:before="240" w:after="120"/>
        <w:ind w:left="850" w:hanging="850"/>
        <w:jc w:val="both"/>
        <w:outlineLvl w:val="1"/>
        <w:rPr>
          <w:rFonts w:ascii="Times New Roman" w:eastAsia="Calibri" w:hAnsi="Times New Roman" w:cs="Times New Roman"/>
          <w:i/>
          <w:noProof/>
        </w:rPr>
      </w:pPr>
      <w:bookmarkStart w:id="34" w:name="_Toc294673194"/>
      <w:bookmarkStart w:id="35" w:name="_Toc357005414"/>
      <w:bookmarkStart w:id="36" w:name="_Toc390436797"/>
      <w:bookmarkStart w:id="37" w:name="_Toc420941902"/>
      <w:bookmarkStart w:id="38" w:name="_Toc461544622"/>
      <w:bookmarkStart w:id="39" w:name="_Toc45028185"/>
      <w:bookmarkEnd w:id="29"/>
      <w:bookmarkEnd w:id="30"/>
      <w:r>
        <w:rPr>
          <w:rFonts w:ascii="Times New Roman" w:hAnsi="Times New Roman"/>
          <w:i/>
          <w:noProof/>
        </w:rPr>
        <w:t>2.3.1</w:t>
      </w:r>
      <w:r>
        <w:rPr>
          <w:noProof/>
        </w:rPr>
        <w:tab/>
      </w:r>
      <w:r>
        <w:rPr>
          <w:rFonts w:ascii="Times New Roman" w:hAnsi="Times New Roman"/>
          <w:i/>
          <w:noProof/>
        </w:rPr>
        <w:t>Introduction</w:t>
      </w:r>
      <w:bookmarkEnd w:id="34"/>
      <w:bookmarkEnd w:id="35"/>
      <w:bookmarkEnd w:id="36"/>
      <w:bookmarkEnd w:id="37"/>
      <w:bookmarkEnd w:id="38"/>
      <w:bookmarkEnd w:id="39"/>
    </w:p>
    <w:p>
      <w:pPr>
        <w:spacing w:before="120" w:after="120"/>
        <w:jc w:val="both"/>
        <w:rPr>
          <w:rFonts w:ascii="Times New Roman" w:hAnsi="Times New Roman" w:cs="Times New Roman"/>
          <w:noProof/>
        </w:rPr>
      </w:pPr>
      <w:r>
        <w:rPr>
          <w:rFonts w:ascii="Times New Roman" w:hAnsi="Times New Roman"/>
          <w:noProof/>
        </w:rPr>
        <w:t>La correction des déséquilibres budgétaires en faveur du Royaume-Uni (correction britannique) qu’il convient de budgétiser dans le présent PBR concerne les exercices  2015, 2016, 2017, 2018 et 2019.</w:t>
      </w:r>
    </w:p>
    <w:p>
      <w:pPr>
        <w:jc w:val="both"/>
        <w:rPr>
          <w:rFonts w:ascii="Times New Roman" w:hAnsi="Times New Roman" w:cs="Times New Roman"/>
          <w:noProof/>
        </w:rPr>
      </w:pPr>
      <w:r>
        <w:rPr>
          <w:rFonts w:ascii="Times New Roman" w:hAnsi="Times New Roman"/>
          <w:noProof/>
        </w:rPr>
        <w:t>Les corrections britanniques pour 2015, 2016, 2017, 2018 et 2019 relèvent des dispositions de la décision 2014/335/UE, Euratom du Conseil relative au système des ressources propres de l’Union européenne</w:t>
      </w:r>
      <w:r>
        <w:rPr>
          <w:rStyle w:val="FootnoteReference"/>
          <w:rFonts w:ascii="Times New Roman" w:hAnsi="Times New Roman" w:cs="Times New Roman"/>
          <w:noProof/>
        </w:rPr>
        <w:footnoteReference w:id="14"/>
      </w:r>
      <w:r>
        <w:rPr>
          <w:rFonts w:ascii="Times New Roman" w:hAnsi="Times New Roman"/>
          <w:noProof/>
        </w:rPr>
        <w:t xml:space="preserve"> et du document de travail qui l’accompagne, le </w:t>
      </w:r>
      <w:r>
        <w:rPr>
          <w:rFonts w:ascii="Times New Roman" w:hAnsi="Times New Roman"/>
          <w:i/>
          <w:noProof/>
        </w:rPr>
        <w:t>Mode de calcul de 2014</w:t>
      </w:r>
      <w:r>
        <w:rPr>
          <w:rFonts w:ascii="Times New Roman" w:hAnsi="Times New Roman" w:cs="Times New Roman"/>
          <w:noProof/>
          <w:vertAlign w:val="superscript"/>
        </w:rPr>
        <w:footnoteReference w:id="15"/>
      </w:r>
      <w:r>
        <w:rPr>
          <w:rFonts w:ascii="Times New Roman" w:hAnsi="Times New Roman"/>
          <w:noProof/>
        </w:rPr>
        <w:t xml:space="preserve">. Conformément aux dispositions de cette décision, les «gains exceptionnels» nets du Royaume-Uni résultant de l’augmentation, à partir de 2001, du pourcentage de RPT retenu par les États membres à titre de compensation pour leurs frais de perception sont neutralisés, et les dépenses réparties sont ajustées du montant total des dépenses réparties dans les États membres qui ont adhéré à l’UE après le 30 avril 2004, sauf pour les paiements agricoles directs et les dépenses liées au marché ainsi que la partie des dépenses de développement rural provenant de la section «Garantie» du FEOGA. </w:t>
      </w:r>
    </w:p>
    <w:p>
      <w:pPr>
        <w:spacing w:before="120" w:after="120"/>
        <w:jc w:val="both"/>
        <w:rPr>
          <w:rFonts w:ascii="Times New Roman" w:hAnsi="Times New Roman" w:cs="Times New Roman"/>
          <w:noProof/>
        </w:rPr>
      </w:pPr>
      <w:r>
        <w:rPr>
          <w:rFonts w:ascii="Times New Roman" w:hAnsi="Times New Roman"/>
          <w:noProof/>
        </w:rPr>
        <w:t>En outre, la part de l'Autriche, de l'Allemagne, des Pays-Bas et de la Suède dans le financement de la correction britannique est ramenée à un quart par rapport à leur part normale. Cette réduction est financée par les autres États membres, à l’exclusion du Royaume-Uni.</w:t>
      </w:r>
    </w:p>
    <w:p>
      <w:pPr>
        <w:spacing w:before="120" w:after="120"/>
        <w:jc w:val="both"/>
        <w:rPr>
          <w:rFonts w:ascii="Times New Roman" w:hAnsi="Times New Roman" w:cs="Times New Roman"/>
          <w:noProof/>
        </w:rPr>
      </w:pPr>
      <w:r>
        <w:rPr>
          <w:rFonts w:ascii="Times New Roman" w:hAnsi="Times New Roman"/>
          <w:noProof/>
        </w:rPr>
        <w:t xml:space="preserve">Dans le présent PBR sont introduits le calcul et le financement de la </w:t>
      </w:r>
      <w:r>
        <w:rPr>
          <w:rFonts w:ascii="Times New Roman" w:hAnsi="Times New Roman"/>
          <w:i/>
          <w:noProof/>
        </w:rPr>
        <w:t>première mise à jour</w:t>
      </w:r>
      <w:r>
        <w:rPr>
          <w:rFonts w:ascii="Times New Roman" w:hAnsi="Times New Roman"/>
          <w:noProof/>
        </w:rPr>
        <w:t xml:space="preserve"> de la correction britannique </w:t>
      </w:r>
      <w:r>
        <w:rPr>
          <w:rFonts w:ascii="Times New Roman" w:hAnsi="Times New Roman"/>
          <w:i/>
          <w:iCs/>
          <w:noProof/>
        </w:rPr>
        <w:t>pour 2019</w:t>
      </w:r>
      <w:r>
        <w:rPr>
          <w:rFonts w:ascii="Times New Roman" w:hAnsi="Times New Roman"/>
          <w:noProof/>
        </w:rPr>
        <w:t xml:space="preserve">, de la </w:t>
      </w:r>
      <w:r>
        <w:rPr>
          <w:rFonts w:ascii="Times New Roman" w:hAnsi="Times New Roman"/>
          <w:i/>
          <w:iCs/>
          <w:noProof/>
        </w:rPr>
        <w:t>deuxième mise à jour</w:t>
      </w:r>
      <w:r>
        <w:rPr>
          <w:rFonts w:ascii="Times New Roman" w:hAnsi="Times New Roman"/>
          <w:noProof/>
        </w:rPr>
        <w:t xml:space="preserve"> de la correction britannique </w:t>
      </w:r>
      <w:r>
        <w:rPr>
          <w:rFonts w:ascii="Times New Roman" w:hAnsi="Times New Roman"/>
          <w:i/>
          <w:iCs/>
          <w:noProof/>
        </w:rPr>
        <w:t>pour 2018</w:t>
      </w:r>
      <w:r>
        <w:rPr>
          <w:rFonts w:ascii="Times New Roman" w:hAnsi="Times New Roman"/>
          <w:noProof/>
        </w:rPr>
        <w:t xml:space="preserve">, de la </w:t>
      </w:r>
      <w:r>
        <w:rPr>
          <w:rFonts w:ascii="Times New Roman" w:hAnsi="Times New Roman"/>
          <w:i/>
          <w:iCs/>
          <w:noProof/>
        </w:rPr>
        <w:t>troisième mise à jour</w:t>
      </w:r>
      <w:r>
        <w:rPr>
          <w:rFonts w:ascii="Times New Roman" w:hAnsi="Times New Roman"/>
          <w:noProof/>
        </w:rPr>
        <w:t xml:space="preserve"> de la correction britannique </w:t>
      </w:r>
      <w:r>
        <w:rPr>
          <w:rFonts w:ascii="Times New Roman" w:hAnsi="Times New Roman"/>
          <w:i/>
          <w:iCs/>
          <w:noProof/>
        </w:rPr>
        <w:t>pour 2017</w:t>
      </w:r>
      <w:r>
        <w:rPr>
          <w:rFonts w:ascii="Times New Roman" w:hAnsi="Times New Roman"/>
          <w:noProof/>
        </w:rPr>
        <w:t xml:space="preserve"> et des </w:t>
      </w:r>
      <w:r>
        <w:rPr>
          <w:rFonts w:ascii="Times New Roman" w:hAnsi="Times New Roman"/>
          <w:i/>
          <w:iCs/>
          <w:noProof/>
        </w:rPr>
        <w:t>montants définitifs</w:t>
      </w:r>
      <w:r>
        <w:rPr>
          <w:rFonts w:ascii="Times New Roman" w:hAnsi="Times New Roman"/>
          <w:noProof/>
        </w:rPr>
        <w:t xml:space="preserve"> des corrections britanniques </w:t>
      </w:r>
      <w:r>
        <w:rPr>
          <w:rFonts w:ascii="Times New Roman" w:hAnsi="Times New Roman"/>
          <w:i/>
          <w:iCs/>
          <w:noProof/>
        </w:rPr>
        <w:t>pour 2015</w:t>
      </w:r>
      <w:r>
        <w:rPr>
          <w:rFonts w:ascii="Times New Roman" w:hAnsi="Times New Roman"/>
          <w:noProof/>
        </w:rPr>
        <w:t xml:space="preserve"> et </w:t>
      </w:r>
      <w:r>
        <w:rPr>
          <w:rFonts w:ascii="Times New Roman" w:hAnsi="Times New Roman"/>
          <w:i/>
          <w:iCs/>
          <w:noProof/>
        </w:rPr>
        <w:t>pour 2016</w:t>
      </w:r>
      <w:r>
        <w:rPr>
          <w:rFonts w:ascii="Times New Roman" w:hAnsi="Times New Roman"/>
          <w:noProof/>
        </w:rPr>
        <w:t>.</w:t>
      </w:r>
    </w:p>
    <w:p>
      <w:pPr>
        <w:spacing w:before="120" w:after="120"/>
        <w:jc w:val="both"/>
        <w:rPr>
          <w:rFonts w:ascii="Times New Roman" w:hAnsi="Times New Roman" w:cs="Times New Roman"/>
          <w:noProof/>
        </w:rPr>
      </w:pPr>
      <w:r>
        <w:rPr>
          <w:rFonts w:ascii="Times New Roman" w:hAnsi="Times New Roman"/>
          <w:noProof/>
        </w:rPr>
        <w:t xml:space="preserve">La différence entre le </w:t>
      </w:r>
      <w:r>
        <w:rPr>
          <w:rFonts w:ascii="Times New Roman" w:hAnsi="Times New Roman"/>
          <w:i/>
          <w:noProof/>
        </w:rPr>
        <w:t>montant définitif des corrections britanniques pour 2015 et 2016</w:t>
      </w:r>
      <w:r>
        <w:rPr>
          <w:rFonts w:ascii="Times New Roman" w:hAnsi="Times New Roman"/>
          <w:noProof/>
        </w:rPr>
        <w:t xml:space="preserve"> et les montants budgétisés précédemment (</w:t>
      </w:r>
      <w:r>
        <w:rPr>
          <w:rFonts w:ascii="Times New Roman" w:hAnsi="Times New Roman"/>
          <w:i/>
          <w:noProof/>
        </w:rPr>
        <w:t>première mise à jour</w:t>
      </w:r>
      <w:r>
        <w:rPr>
          <w:rFonts w:ascii="Times New Roman" w:hAnsi="Times New Roman"/>
          <w:noProof/>
        </w:rPr>
        <w:t xml:space="preserve"> de la correction britannique </w:t>
      </w:r>
      <w:r>
        <w:rPr>
          <w:rFonts w:ascii="Times New Roman" w:hAnsi="Times New Roman"/>
          <w:i/>
          <w:iCs/>
          <w:noProof/>
        </w:rPr>
        <w:t>pour 2015</w:t>
      </w:r>
      <w:r>
        <w:rPr>
          <w:rFonts w:ascii="Times New Roman" w:hAnsi="Times New Roman"/>
          <w:noProof/>
        </w:rPr>
        <w:t xml:space="preserve"> dans le BR nº 5/2016 et</w:t>
      </w:r>
      <w:r>
        <w:rPr>
          <w:rFonts w:ascii="Times New Roman" w:hAnsi="Times New Roman"/>
          <w:i/>
          <w:noProof/>
        </w:rPr>
        <w:t xml:space="preserve"> première mise à jour</w:t>
      </w:r>
      <w:r>
        <w:rPr>
          <w:rFonts w:ascii="Times New Roman" w:hAnsi="Times New Roman"/>
          <w:noProof/>
        </w:rPr>
        <w:t xml:space="preserve"> de la correction britannique </w:t>
      </w:r>
      <w:r>
        <w:rPr>
          <w:rFonts w:ascii="Times New Roman" w:hAnsi="Times New Roman"/>
          <w:i/>
          <w:iCs/>
          <w:noProof/>
        </w:rPr>
        <w:t>pour 2016</w:t>
      </w:r>
      <w:r>
        <w:rPr>
          <w:rFonts w:ascii="Times New Roman" w:hAnsi="Times New Roman"/>
          <w:noProof/>
        </w:rPr>
        <w:t xml:space="preserve"> dans le BR nº 6/2017) est inscrite au chapitre 35 (Résultat du calcul définitif du financement de la correction des déséquilibres budgétaires en faveur du Royaume-Uni) du présent PBR.</w:t>
      </w:r>
    </w:p>
    <w:p>
      <w:pPr>
        <w:spacing w:before="120" w:after="120"/>
        <w:jc w:val="both"/>
        <w:rPr>
          <w:rFonts w:ascii="Times New Roman" w:hAnsi="Times New Roman" w:cs="Times New Roman"/>
          <w:noProof/>
        </w:rPr>
      </w:pPr>
      <w:r>
        <w:rPr>
          <w:rFonts w:ascii="Times New Roman" w:hAnsi="Times New Roman"/>
          <w:noProof/>
        </w:rPr>
        <w:t xml:space="preserve">La différence entre la </w:t>
      </w:r>
      <w:r>
        <w:rPr>
          <w:rFonts w:ascii="Times New Roman" w:hAnsi="Times New Roman"/>
          <w:i/>
          <w:noProof/>
        </w:rPr>
        <w:t>troisième mise à jour</w:t>
      </w:r>
      <w:r>
        <w:rPr>
          <w:rFonts w:ascii="Times New Roman" w:hAnsi="Times New Roman"/>
          <w:noProof/>
        </w:rPr>
        <w:t xml:space="preserve"> de la correction britannique </w:t>
      </w:r>
      <w:r>
        <w:rPr>
          <w:rFonts w:ascii="Times New Roman" w:hAnsi="Times New Roman"/>
          <w:i/>
          <w:iCs/>
          <w:noProof/>
        </w:rPr>
        <w:t>pour 2017</w:t>
      </w:r>
      <w:r>
        <w:rPr>
          <w:rFonts w:ascii="Times New Roman" w:hAnsi="Times New Roman"/>
          <w:noProof/>
        </w:rPr>
        <w:t xml:space="preserve"> et le montant budgétisé précédemment (la </w:t>
      </w:r>
      <w:r>
        <w:rPr>
          <w:rFonts w:ascii="Times New Roman" w:hAnsi="Times New Roman"/>
          <w:i/>
          <w:noProof/>
        </w:rPr>
        <w:t>première mise à jour</w:t>
      </w:r>
      <w:r>
        <w:rPr>
          <w:rFonts w:ascii="Times New Roman" w:hAnsi="Times New Roman"/>
          <w:noProof/>
        </w:rPr>
        <w:t xml:space="preserve"> dans le BR nº 6/2018) et la différence entre la </w:t>
      </w:r>
      <w:r>
        <w:rPr>
          <w:rFonts w:ascii="Times New Roman" w:hAnsi="Times New Roman"/>
          <w:i/>
          <w:noProof/>
        </w:rPr>
        <w:t>deuxième mise à jour</w:t>
      </w:r>
      <w:r>
        <w:rPr>
          <w:rFonts w:ascii="Times New Roman" w:hAnsi="Times New Roman"/>
          <w:noProof/>
        </w:rPr>
        <w:t xml:space="preserve"> de la correction britannique </w:t>
      </w:r>
      <w:r>
        <w:rPr>
          <w:rFonts w:ascii="Times New Roman" w:hAnsi="Times New Roman"/>
          <w:i/>
          <w:iCs/>
          <w:noProof/>
        </w:rPr>
        <w:t>pour 2018</w:t>
      </w:r>
      <w:r>
        <w:rPr>
          <w:rFonts w:ascii="Times New Roman" w:hAnsi="Times New Roman"/>
          <w:noProof/>
        </w:rPr>
        <w:t xml:space="preserve"> et le montant budgétisé précédemment (le </w:t>
      </w:r>
      <w:r>
        <w:rPr>
          <w:rFonts w:ascii="Times New Roman" w:hAnsi="Times New Roman"/>
          <w:i/>
          <w:noProof/>
        </w:rPr>
        <w:t>montant provisoire</w:t>
      </w:r>
      <w:r>
        <w:rPr>
          <w:rFonts w:ascii="Times New Roman" w:hAnsi="Times New Roman"/>
          <w:noProof/>
        </w:rPr>
        <w:t xml:space="preserve"> figurant dans le budget 2019) sont inscrites au chapitre 36 du présent PBR.</w:t>
      </w:r>
    </w:p>
    <w:p>
      <w:pPr>
        <w:spacing w:before="120" w:after="120"/>
        <w:jc w:val="both"/>
        <w:rPr>
          <w:rFonts w:ascii="Times New Roman" w:hAnsi="Times New Roman" w:cs="Times New Roman"/>
          <w:noProof/>
        </w:rPr>
      </w:pPr>
      <w:r>
        <w:rPr>
          <w:rFonts w:ascii="Times New Roman" w:hAnsi="Times New Roman"/>
          <w:noProof/>
        </w:rPr>
        <w:t xml:space="preserve">Le </w:t>
      </w:r>
      <w:r>
        <w:rPr>
          <w:rFonts w:ascii="Times New Roman" w:hAnsi="Times New Roman"/>
          <w:i/>
          <w:noProof/>
        </w:rPr>
        <w:t>montant de la première mise à jour de la correction britannique pour 2019</w:t>
      </w:r>
      <w:r>
        <w:rPr>
          <w:rFonts w:ascii="Times New Roman" w:hAnsi="Times New Roman"/>
          <w:noProof/>
        </w:rPr>
        <w:t xml:space="preserve"> est inscrit au chapitre 15 (Correction des déséquilibres budgétaires) du présent PBR, remplaçant le </w:t>
      </w:r>
      <w:r>
        <w:rPr>
          <w:rFonts w:ascii="Times New Roman" w:hAnsi="Times New Roman"/>
          <w:i/>
          <w:noProof/>
        </w:rPr>
        <w:t>montant provisoire</w:t>
      </w:r>
      <w:r>
        <w:rPr>
          <w:rFonts w:ascii="Times New Roman" w:hAnsi="Times New Roman"/>
          <w:noProof/>
        </w:rPr>
        <w:t xml:space="preserve"> budgétisé précédemment.</w:t>
      </w:r>
    </w:p>
    <w:p>
      <w:pPr>
        <w:keepNext/>
        <w:tabs>
          <w:tab w:val="left" w:pos="850"/>
        </w:tabs>
        <w:spacing w:before="240" w:after="120"/>
        <w:ind w:left="850" w:hanging="850"/>
        <w:jc w:val="both"/>
        <w:outlineLvl w:val="1"/>
        <w:rPr>
          <w:rFonts w:ascii="Times New Roman" w:eastAsia="Calibri" w:hAnsi="Times New Roman" w:cs="Times New Roman"/>
          <w:i/>
          <w:noProof/>
        </w:rPr>
      </w:pPr>
      <w:bookmarkStart w:id="40" w:name="_Toc231879704"/>
      <w:bookmarkStart w:id="41" w:name="_Toc293417236"/>
      <w:bookmarkStart w:id="42" w:name="_Toc294673195"/>
      <w:bookmarkStart w:id="43" w:name="_Toc357005415"/>
      <w:bookmarkStart w:id="44" w:name="_Toc390436798"/>
      <w:bookmarkStart w:id="45" w:name="_Toc420941903"/>
      <w:bookmarkStart w:id="46" w:name="_Toc461544623"/>
      <w:bookmarkStart w:id="47" w:name="_Toc45028186"/>
      <w:r>
        <w:rPr>
          <w:rFonts w:ascii="Times New Roman" w:hAnsi="Times New Roman"/>
          <w:i/>
          <w:noProof/>
        </w:rPr>
        <w:t>2.3.2</w:t>
      </w:r>
      <w:r>
        <w:rPr>
          <w:noProof/>
        </w:rPr>
        <w:tab/>
      </w:r>
      <w:r>
        <w:rPr>
          <w:rFonts w:ascii="Times New Roman" w:hAnsi="Times New Roman"/>
          <w:i/>
          <w:noProof/>
        </w:rPr>
        <w:t>Calcul des corrections</w:t>
      </w:r>
      <w:bookmarkEnd w:id="40"/>
      <w:bookmarkEnd w:id="41"/>
      <w:bookmarkEnd w:id="42"/>
      <w:bookmarkEnd w:id="43"/>
      <w:bookmarkEnd w:id="44"/>
      <w:bookmarkEnd w:id="45"/>
      <w:bookmarkEnd w:id="46"/>
      <w:bookmarkEnd w:id="47"/>
    </w:p>
    <w:p>
      <w:pPr>
        <w:spacing w:before="120" w:after="120"/>
        <w:jc w:val="both"/>
        <w:rPr>
          <w:rFonts w:ascii="Times New Roman" w:hAnsi="Times New Roman" w:cs="Times New Roman"/>
          <w:noProof/>
        </w:rPr>
      </w:pPr>
      <w:r>
        <w:rPr>
          <w:rFonts w:ascii="Times New Roman" w:hAnsi="Times New Roman"/>
          <w:noProof/>
        </w:rPr>
        <w:t xml:space="preserve">La mise à jour des corrections pour 2015, 2016, 2017, 2018 et 2019 résulte essentiellement de la mise à jour des assiettes TVA et RNB communiquées par les États membres à l’automne 2019. La mise à jour de la correction pour 2018 et 2019 tient également compte des dépenses réparties de 2018 et 2019. </w:t>
      </w:r>
    </w:p>
    <w:p>
      <w:pPr>
        <w:spacing w:before="120" w:after="120"/>
        <w:jc w:val="both"/>
        <w:rPr>
          <w:rFonts w:ascii="Times New Roman" w:hAnsi="Times New Roman"/>
          <w:noProof/>
        </w:rPr>
      </w:pPr>
      <w:r>
        <w:rPr>
          <w:rFonts w:ascii="Times New Roman" w:hAnsi="Times New Roman"/>
          <w:noProof/>
        </w:rPr>
        <w:t>Le tableau ci-après résume les mises à jour des corrections de la période 2015-2019 incluses dans le présent projet de budget rectificatif.</w:t>
      </w:r>
    </w:p>
    <w:p>
      <w:pPr>
        <w:spacing w:before="120" w:after="120"/>
        <w:ind w:left="720"/>
        <w:jc w:val="both"/>
        <w:rPr>
          <w:rFonts w:ascii="Times New Roman" w:hAnsi="Times New Roman" w:cs="Times New Roman"/>
          <w:noProof/>
        </w:rPr>
      </w:pPr>
      <w:r>
        <w:rPr>
          <w:noProof/>
          <w:lang w:val="en-GB" w:eastAsia="en-GB"/>
        </w:rPr>
        <w:drawing>
          <wp:inline distT="0" distB="0" distL="0" distR="0">
            <wp:extent cx="6264275" cy="35953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64275" cy="3595309"/>
                    </a:xfrm>
                    <a:prstGeom prst="rect">
                      <a:avLst/>
                    </a:prstGeom>
                    <a:noFill/>
                    <a:ln>
                      <a:noFill/>
                    </a:ln>
                  </pic:spPr>
                </pic:pic>
              </a:graphicData>
            </a:graphic>
          </wp:inline>
        </w:drawing>
      </w:r>
    </w:p>
    <w:p>
      <w:pPr>
        <w:spacing w:before="120" w:after="120"/>
        <w:jc w:val="both"/>
        <w:rPr>
          <w:rFonts w:ascii="Times New Roman" w:hAnsi="Times New Roman" w:cs="Times New Roman"/>
          <w:noProof/>
        </w:rPr>
      </w:pPr>
    </w:p>
    <w:p>
      <w:pPr>
        <w:tabs>
          <w:tab w:val="left" w:pos="851"/>
        </w:tabs>
        <w:spacing w:before="120" w:after="120"/>
        <w:rPr>
          <w:rFonts w:ascii="Times New Roman" w:hAnsi="Times New Roman" w:cs="Times New Roman"/>
          <w:bCs/>
          <w:noProof/>
          <w:szCs w:val="28"/>
          <w:u w:val="single"/>
        </w:rPr>
      </w:pPr>
      <w:bookmarkStart w:id="48" w:name="_Toc231879705"/>
      <w:r>
        <w:rPr>
          <w:rFonts w:ascii="Times New Roman" w:hAnsi="Times New Roman"/>
          <w:bCs/>
          <w:noProof/>
          <w:szCs w:val="28"/>
          <w:u w:val="single"/>
        </w:rPr>
        <w:t>2.3.2.1</w:t>
      </w:r>
      <w:r>
        <w:rPr>
          <w:noProof/>
          <w:u w:val="single"/>
        </w:rPr>
        <w:tab/>
      </w:r>
      <w:r>
        <w:rPr>
          <w:rFonts w:ascii="Times New Roman" w:hAnsi="Times New Roman"/>
          <w:bCs/>
          <w:noProof/>
          <w:szCs w:val="28"/>
          <w:u w:val="single"/>
        </w:rPr>
        <w:t>Correction britannique 2019</w:t>
      </w:r>
    </w:p>
    <w:p>
      <w:pPr>
        <w:spacing w:before="120" w:after="120"/>
        <w:jc w:val="both"/>
        <w:rPr>
          <w:rFonts w:ascii="Times New Roman" w:hAnsi="Times New Roman" w:cs="Times New Roman"/>
          <w:noProof/>
        </w:rPr>
      </w:pPr>
      <w:r>
        <w:rPr>
          <w:rFonts w:ascii="Times New Roman" w:hAnsi="Times New Roman"/>
          <w:noProof/>
        </w:rPr>
        <w:t xml:space="preserve">Le tableau ci-après résume les différences entre le </w:t>
      </w:r>
      <w:r>
        <w:rPr>
          <w:rFonts w:ascii="Times New Roman" w:hAnsi="Times New Roman"/>
          <w:i/>
          <w:noProof/>
        </w:rPr>
        <w:t>montant provisoire</w:t>
      </w:r>
      <w:r>
        <w:rPr>
          <w:rFonts w:ascii="Times New Roman" w:hAnsi="Times New Roman"/>
          <w:noProof/>
        </w:rPr>
        <w:t xml:space="preserve"> de la correction britannique pour 2019 figurant dans le budget 2020 et la </w:t>
      </w:r>
      <w:r>
        <w:rPr>
          <w:rFonts w:ascii="Times New Roman" w:hAnsi="Times New Roman"/>
          <w:i/>
          <w:noProof/>
        </w:rPr>
        <w:t>première mise à jour</w:t>
      </w:r>
      <w:r>
        <w:rPr>
          <w:rFonts w:ascii="Times New Roman" w:hAnsi="Times New Roman"/>
          <w:noProof/>
        </w:rPr>
        <w:t xml:space="preserve"> de la correction pour 2019 à inscrire dans le présent PBR.</w:t>
      </w:r>
    </w:p>
    <w:tbl>
      <w:tblPr>
        <w:tblW w:w="9135" w:type="dxa"/>
        <w:jc w:val="center"/>
        <w:tblLayout w:type="fixed"/>
        <w:tblLook w:val="0000" w:firstRow="0" w:lastRow="0" w:firstColumn="0" w:lastColumn="0" w:noHBand="0" w:noVBand="0"/>
      </w:tblPr>
      <w:tblGrid>
        <w:gridCol w:w="550"/>
        <w:gridCol w:w="3185"/>
        <w:gridCol w:w="1800"/>
        <w:gridCol w:w="1800"/>
        <w:gridCol w:w="1800"/>
      </w:tblGrid>
      <w:tr>
        <w:trPr>
          <w:trHeight w:val="727"/>
          <w:tblHeader/>
          <w:jc w:val="center"/>
        </w:trPr>
        <w:tc>
          <w:tcPr>
            <w:tcW w:w="550" w:type="dxa"/>
            <w:vMerge w:val="restart"/>
            <w:tcBorders>
              <w:top w:val="nil"/>
              <w:left w:val="nil"/>
              <w:bottom w:val="double" w:sz="6" w:space="0" w:color="auto"/>
              <w:right w:val="nil"/>
            </w:tcBorders>
            <w:shd w:val="clear" w:color="auto" w:fill="auto"/>
            <w:noWrap/>
            <w:vAlign w:val="bottom"/>
          </w:tcPr>
          <w:p>
            <w:pPr>
              <w:spacing w:after="120"/>
              <w:jc w:val="center"/>
              <w:rPr>
                <w:rFonts w:ascii="Times New Roman" w:hAnsi="Times New Roman" w:cs="Times New Roman"/>
                <w:noProof/>
                <w:sz w:val="20"/>
              </w:rPr>
            </w:pPr>
          </w:p>
        </w:tc>
        <w:tc>
          <w:tcPr>
            <w:tcW w:w="3185" w:type="dxa"/>
            <w:vMerge w:val="restart"/>
            <w:tcBorders>
              <w:top w:val="nil"/>
              <w:left w:val="nil"/>
              <w:bottom w:val="double" w:sz="6" w:space="0" w:color="auto"/>
              <w:right w:val="nil"/>
            </w:tcBorders>
            <w:shd w:val="clear" w:color="auto" w:fill="auto"/>
            <w:noWrap/>
            <w:vAlign w:val="center"/>
          </w:tcPr>
          <w:p>
            <w:pPr>
              <w:autoSpaceDE w:val="0"/>
              <w:autoSpaceDN w:val="0"/>
              <w:adjustRightInd w:val="0"/>
              <w:spacing w:after="120"/>
              <w:jc w:val="center"/>
              <w:rPr>
                <w:rFonts w:ascii="Times New Roman" w:hAnsi="Times New Roman" w:cs="Times New Roman"/>
                <w:b/>
                <w:noProof/>
                <w:color w:val="000000"/>
              </w:rPr>
            </w:pPr>
            <w:r>
              <w:rPr>
                <w:rFonts w:ascii="Times New Roman" w:hAnsi="Times New Roman"/>
                <w:b/>
                <w:noProof/>
                <w:color w:val="000000"/>
              </w:rPr>
              <w:t>Correction britannique 2019</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b/>
                <w:noProof/>
                <w:color w:val="000000"/>
                <w:sz w:val="20"/>
              </w:rPr>
              <w:t>Correction britannique 2019</w:t>
            </w:r>
          </w:p>
          <w:p>
            <w:pPr>
              <w:autoSpaceDE w:val="0"/>
              <w:autoSpaceDN w:val="0"/>
              <w:adjustRightInd w:val="0"/>
              <w:spacing w:after="120"/>
              <w:jc w:val="center"/>
              <w:rPr>
                <w:rFonts w:ascii="Times New Roman" w:hAnsi="Times New Roman" w:cs="Times New Roman"/>
                <w:noProof/>
                <w:color w:val="000000"/>
                <w:sz w:val="20"/>
              </w:rPr>
            </w:pPr>
            <w:r>
              <w:rPr>
                <w:rFonts w:ascii="Times New Roman" w:hAnsi="Times New Roman"/>
                <w:b/>
                <w:noProof/>
                <w:color w:val="000000"/>
                <w:sz w:val="20"/>
              </w:rPr>
              <w:t>MONTANT PROVISOIRE</w:t>
            </w:r>
          </w:p>
          <w:p>
            <w:pPr>
              <w:autoSpaceDE w:val="0"/>
              <w:autoSpaceDN w:val="0"/>
              <w:adjustRightInd w:val="0"/>
              <w:spacing w:after="120"/>
              <w:jc w:val="center"/>
              <w:rPr>
                <w:rFonts w:ascii="Times New Roman" w:hAnsi="Times New Roman" w:cs="Times New Roman"/>
                <w:b/>
                <w:noProof/>
                <w:color w:val="000000"/>
                <w:sz w:val="20"/>
              </w:rPr>
            </w:pPr>
            <w:r>
              <w:rPr>
                <w:rFonts w:ascii="Times New Roman" w:hAnsi="Times New Roman"/>
                <w:b/>
                <w:noProof/>
                <w:color w:val="000000"/>
                <w:sz w:val="20"/>
              </w:rPr>
              <w:t>Budget 2020</w:t>
            </w:r>
          </w:p>
        </w:tc>
        <w:tc>
          <w:tcPr>
            <w:tcW w:w="180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b/>
                <w:noProof/>
                <w:color w:val="000000"/>
                <w:sz w:val="20"/>
              </w:rPr>
              <w:t>Correction britannique 2019</w:t>
            </w:r>
          </w:p>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b/>
                <w:noProof/>
                <w:color w:val="000000"/>
                <w:sz w:val="20"/>
              </w:rPr>
              <w:t>1</w:t>
            </w:r>
            <w:r>
              <w:rPr>
                <w:rFonts w:ascii="Times New Roman" w:hAnsi="Times New Roman"/>
                <w:b/>
                <w:noProof/>
                <w:color w:val="000000"/>
                <w:sz w:val="20"/>
                <w:vertAlign w:val="superscript"/>
              </w:rPr>
              <w:t>re</w:t>
            </w:r>
            <w:r>
              <w:rPr>
                <w:rFonts w:ascii="Times New Roman" w:hAnsi="Times New Roman"/>
                <w:b/>
                <w:noProof/>
                <w:color w:val="000000"/>
                <w:sz w:val="20"/>
              </w:rPr>
              <w:t xml:space="preserve"> MISE À JOUR</w:t>
            </w:r>
          </w:p>
          <w:p>
            <w:pPr>
              <w:autoSpaceDE w:val="0"/>
              <w:autoSpaceDN w:val="0"/>
              <w:adjustRightInd w:val="0"/>
              <w:spacing w:after="120"/>
              <w:jc w:val="center"/>
              <w:rPr>
                <w:rFonts w:ascii="Times New Roman" w:hAnsi="Times New Roman" w:cs="Times New Roman"/>
                <w:b/>
                <w:noProof/>
                <w:color w:val="000000"/>
                <w:sz w:val="20"/>
              </w:rPr>
            </w:pPr>
            <w:r>
              <w:rPr>
                <w:rFonts w:ascii="Times New Roman" w:hAnsi="Times New Roman"/>
                <w:b/>
                <w:noProof/>
                <w:color w:val="000000"/>
                <w:sz w:val="20"/>
              </w:rPr>
              <w:t>PBR 7/2020</w:t>
            </w:r>
          </w:p>
        </w:tc>
        <w:tc>
          <w:tcPr>
            <w:tcW w:w="180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spacing w:after="120"/>
              <w:jc w:val="center"/>
              <w:rPr>
                <w:rFonts w:ascii="Times New Roman" w:hAnsi="Times New Roman" w:cs="Times New Roman"/>
                <w:b/>
                <w:i/>
                <w:noProof/>
                <w:color w:val="000000"/>
                <w:sz w:val="20"/>
              </w:rPr>
            </w:pPr>
            <w:r>
              <w:rPr>
                <w:rFonts w:ascii="Times New Roman" w:hAnsi="Times New Roman"/>
                <w:b/>
                <w:i/>
                <w:noProof/>
                <w:color w:val="000000"/>
                <w:sz w:val="20"/>
              </w:rPr>
              <w:t>Différence</w:t>
            </w:r>
          </w:p>
        </w:tc>
      </w:tr>
      <w:tr>
        <w:trPr>
          <w:jc w:val="center"/>
        </w:trPr>
        <w:tc>
          <w:tcPr>
            <w:tcW w:w="550" w:type="dxa"/>
            <w:vMerge/>
            <w:tcBorders>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p>
        </w:tc>
        <w:tc>
          <w:tcPr>
            <w:tcW w:w="3185" w:type="dxa"/>
            <w:vMerge/>
            <w:tcBorders>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w:t>
            </w:r>
          </w:p>
        </w:tc>
        <w:tc>
          <w:tcPr>
            <w:tcW w:w="180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w:t>
            </w:r>
          </w:p>
        </w:tc>
        <w:tc>
          <w:tcPr>
            <w:tcW w:w="180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Part du Royaume-Uni dans l’assiette TVA non écrêtée</w:t>
            </w:r>
          </w:p>
        </w:tc>
        <w:tc>
          <w:tcPr>
            <w:tcW w:w="1800" w:type="dxa"/>
            <w:tcBorders>
              <w:top w:val="double" w:sz="6" w:space="0" w:color="auto"/>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16,3037 %</w:t>
            </w:r>
          </w:p>
        </w:tc>
        <w:tc>
          <w:tcPr>
            <w:tcW w:w="180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16,0617 %</w:t>
            </w:r>
          </w:p>
        </w:tc>
        <w:tc>
          <w:tcPr>
            <w:tcW w:w="180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- 0,2420 %</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Part du Royaume-Uni dans le total des dépenses réparties, ajusté des dépenses liées à l'élargissement</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7,3015 %</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7,6186 %</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+ 0,3171 %</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18"/>
                <w:szCs w:val="18"/>
              </w:rPr>
            </w:pPr>
            <w:r>
              <w:rPr>
                <w:rFonts w:ascii="Times New Roman" w:hAnsi="Times New Roman"/>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9,0022 %</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8,4431 %</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- 0,5591 %</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Total des dépenses réparties</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130 008 765 143</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133 761 974 693</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+ 3 753 209 550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Dépenses liées à l'élargissement</w:t>
            </w:r>
            <w:r>
              <w:rPr>
                <w:noProof/>
              </w:rPr>
              <w:t xml:space="preserve"> </w:t>
            </w:r>
            <w:r>
              <w:rPr>
                <w:noProof/>
              </w:rPr>
              <w:br/>
            </w:r>
            <w:r>
              <w:rPr>
                <w:rFonts w:ascii="Times New Roman" w:hAnsi="Times New Roman"/>
                <w:noProof/>
                <w:sz w:val="20"/>
              </w:rPr>
              <w:t>= (5a) + (5b)</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30 694 725 929</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33 495 190 550</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+ 2 800 464 621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Dépenses de préadhésion</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0</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0</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Dépenses liées à l’article 4, paragraphe 1, point g)</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30 694 725 929</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33 495 190 550</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+ 2 800 464 621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Total des dépenses réparties, ajusté des dépenses liées à l’élargissement = (4) - (5)</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99 314 039 214</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100 266 784 143</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+ 952 744 929</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Montant initial de la correction britannique = (3) x (6) x 0,66</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5 900 699 546</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5 587 332 443</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- 313 367 103</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Avantage du Royaume-Uni</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xml:space="preserve"> 690 825 371</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xml:space="preserve"> 459 372 003</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- 231 453 368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Correction de base en faveur du Royaume-Uni = (7) - (8)</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5 209 874 175</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5 127 960 440</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- 81 913 735</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Gains exceptionnels provenant des RPT</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- 44 494 806</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- 42 372 235</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+ 2 122 571</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Correction britannique = (9) - (10)</w:t>
            </w:r>
          </w:p>
        </w:tc>
        <w:tc>
          <w:tcPr>
            <w:tcW w:w="1800" w:type="dxa"/>
            <w:tcBorders>
              <w:top w:val="nil"/>
              <w:left w:val="nil"/>
              <w:bottom w:val="double" w:sz="6" w:space="0" w:color="auto"/>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5 254 368 981</w:t>
            </w:r>
          </w:p>
        </w:tc>
        <w:tc>
          <w:tcPr>
            <w:tcW w:w="180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5 170 332 675</w:t>
            </w:r>
          </w:p>
        </w:tc>
        <w:tc>
          <w:tcPr>
            <w:tcW w:w="180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xml:space="preserve"> - 84 036 306</w:t>
            </w:r>
          </w:p>
        </w:tc>
      </w:tr>
    </w:tbl>
    <w:p>
      <w:pPr>
        <w:tabs>
          <w:tab w:val="num" w:pos="851"/>
        </w:tabs>
        <w:spacing w:before="120" w:after="120"/>
        <w:jc w:val="both"/>
        <w:rPr>
          <w:rFonts w:ascii="Times New Roman" w:hAnsi="Times New Roman" w:cs="Times New Roman"/>
          <w:noProof/>
        </w:rPr>
      </w:pPr>
      <w:r>
        <w:rPr>
          <w:rFonts w:ascii="Times New Roman" w:hAnsi="Times New Roman"/>
          <w:noProof/>
        </w:rPr>
        <w:t xml:space="preserve">La </w:t>
      </w:r>
      <w:r>
        <w:rPr>
          <w:rFonts w:ascii="Times New Roman" w:hAnsi="Times New Roman"/>
          <w:i/>
          <w:noProof/>
        </w:rPr>
        <w:t>première mise à jour</w:t>
      </w:r>
      <w:r>
        <w:rPr>
          <w:rFonts w:ascii="Times New Roman" w:hAnsi="Times New Roman"/>
          <w:noProof/>
        </w:rPr>
        <w:t xml:space="preserve"> de la correction britannique pour 2019 est inférieure d’environ 84 millions d’EUR au </w:t>
      </w:r>
      <w:r>
        <w:rPr>
          <w:rFonts w:ascii="Times New Roman" w:hAnsi="Times New Roman"/>
          <w:i/>
          <w:iCs/>
          <w:noProof/>
        </w:rPr>
        <w:t>montant provisoire</w:t>
      </w:r>
      <w:r>
        <w:rPr>
          <w:rFonts w:ascii="Times New Roman" w:hAnsi="Times New Roman"/>
          <w:noProof/>
        </w:rPr>
        <w:t xml:space="preserve"> de la correction britannique pour 2019 inscrite dans le budget 2020 en raison des mises à jour des assiettes TVA et RNB telles que convenues par les États membres lors de la procédure écrite de prévision du CCRP (mai 2020) et de la mise à jour des dépenses réparties pour 2019 (le montant provisoire comprenait l’estimation des dépenses réparties).</w:t>
      </w:r>
      <w:bookmarkEnd w:id="48"/>
    </w:p>
    <w:p>
      <w:pPr>
        <w:tabs>
          <w:tab w:val="num" w:pos="851"/>
        </w:tabs>
        <w:spacing w:before="120" w:after="120"/>
        <w:jc w:val="both"/>
        <w:rPr>
          <w:rFonts w:ascii="Times New Roman" w:hAnsi="Times New Roman" w:cs="Times New Roman"/>
          <w:noProof/>
        </w:rPr>
      </w:pPr>
    </w:p>
    <w:p>
      <w:pPr>
        <w:tabs>
          <w:tab w:val="left" w:pos="851"/>
        </w:tabs>
        <w:spacing w:before="120" w:after="120"/>
        <w:rPr>
          <w:rFonts w:ascii="Times New Roman" w:hAnsi="Times New Roman" w:cs="Times New Roman"/>
          <w:bCs/>
          <w:noProof/>
          <w:szCs w:val="28"/>
          <w:u w:val="single"/>
        </w:rPr>
      </w:pPr>
      <w:r>
        <w:rPr>
          <w:rFonts w:ascii="Times New Roman" w:hAnsi="Times New Roman"/>
          <w:bCs/>
          <w:noProof/>
          <w:szCs w:val="28"/>
          <w:u w:val="single"/>
        </w:rPr>
        <w:t>2.3.2.2</w:t>
      </w:r>
      <w:r>
        <w:rPr>
          <w:noProof/>
          <w:u w:val="single"/>
        </w:rPr>
        <w:tab/>
      </w:r>
      <w:r>
        <w:rPr>
          <w:rFonts w:ascii="Times New Roman" w:hAnsi="Times New Roman"/>
          <w:bCs/>
          <w:noProof/>
          <w:szCs w:val="28"/>
          <w:u w:val="single"/>
        </w:rPr>
        <w:t>Correction britannique 2018</w:t>
      </w:r>
    </w:p>
    <w:p>
      <w:pPr>
        <w:spacing w:before="120" w:after="360"/>
        <w:jc w:val="both"/>
        <w:rPr>
          <w:rFonts w:ascii="Times New Roman" w:hAnsi="Times New Roman" w:cs="Times New Roman"/>
          <w:noProof/>
        </w:rPr>
      </w:pPr>
      <w:r>
        <w:rPr>
          <w:rFonts w:ascii="Times New Roman" w:hAnsi="Times New Roman"/>
          <w:noProof/>
        </w:rPr>
        <w:t xml:space="preserve">Le tableau ci-après résume les différences entre le </w:t>
      </w:r>
      <w:r>
        <w:rPr>
          <w:rFonts w:ascii="Times New Roman" w:hAnsi="Times New Roman"/>
          <w:i/>
          <w:noProof/>
        </w:rPr>
        <w:t>montant provisoire</w:t>
      </w:r>
      <w:r>
        <w:rPr>
          <w:rFonts w:ascii="Times New Roman" w:hAnsi="Times New Roman"/>
          <w:noProof/>
        </w:rPr>
        <w:t xml:space="preserve"> de la correction britannique pour 2018 figurant dans le budget 2019 et la </w:t>
      </w:r>
      <w:r>
        <w:rPr>
          <w:rFonts w:ascii="Times New Roman" w:hAnsi="Times New Roman"/>
          <w:i/>
          <w:noProof/>
        </w:rPr>
        <w:t>deuxième mise à jour</w:t>
      </w:r>
      <w:r>
        <w:rPr>
          <w:rFonts w:ascii="Times New Roman" w:hAnsi="Times New Roman"/>
          <w:noProof/>
        </w:rPr>
        <w:t xml:space="preserve"> de la correction pour 2018 à inscrire dans le présent PBR.</w:t>
      </w:r>
    </w:p>
    <w:tbl>
      <w:tblPr>
        <w:tblW w:w="9135" w:type="dxa"/>
        <w:jc w:val="center"/>
        <w:tblLayout w:type="fixed"/>
        <w:tblLook w:val="0000" w:firstRow="0" w:lastRow="0" w:firstColumn="0" w:lastColumn="0" w:noHBand="0" w:noVBand="0"/>
      </w:tblPr>
      <w:tblGrid>
        <w:gridCol w:w="550"/>
        <w:gridCol w:w="3185"/>
        <w:gridCol w:w="1800"/>
        <w:gridCol w:w="1800"/>
        <w:gridCol w:w="1800"/>
      </w:tblGrid>
      <w:tr>
        <w:trPr>
          <w:trHeight w:val="727"/>
          <w:tblHeader/>
          <w:jc w:val="center"/>
        </w:trPr>
        <w:tc>
          <w:tcPr>
            <w:tcW w:w="550" w:type="dxa"/>
            <w:vMerge w:val="restart"/>
            <w:tcBorders>
              <w:top w:val="nil"/>
              <w:left w:val="nil"/>
              <w:bottom w:val="double" w:sz="6" w:space="0" w:color="auto"/>
              <w:right w:val="nil"/>
            </w:tcBorders>
            <w:shd w:val="clear" w:color="auto" w:fill="auto"/>
            <w:noWrap/>
            <w:vAlign w:val="bottom"/>
          </w:tcPr>
          <w:p>
            <w:pPr>
              <w:spacing w:after="120"/>
              <w:jc w:val="center"/>
              <w:rPr>
                <w:rFonts w:ascii="Times New Roman" w:hAnsi="Times New Roman" w:cs="Times New Roman"/>
                <w:noProof/>
                <w:sz w:val="20"/>
              </w:rPr>
            </w:pPr>
          </w:p>
        </w:tc>
        <w:tc>
          <w:tcPr>
            <w:tcW w:w="3185" w:type="dxa"/>
            <w:vMerge w:val="restart"/>
            <w:tcBorders>
              <w:top w:val="nil"/>
              <w:left w:val="nil"/>
              <w:bottom w:val="double" w:sz="6" w:space="0" w:color="auto"/>
              <w:right w:val="nil"/>
            </w:tcBorders>
            <w:shd w:val="clear" w:color="auto" w:fill="auto"/>
            <w:noWrap/>
            <w:vAlign w:val="center"/>
          </w:tcPr>
          <w:p>
            <w:pPr>
              <w:autoSpaceDE w:val="0"/>
              <w:autoSpaceDN w:val="0"/>
              <w:adjustRightInd w:val="0"/>
              <w:spacing w:after="120"/>
              <w:jc w:val="center"/>
              <w:rPr>
                <w:rFonts w:ascii="Times New Roman" w:hAnsi="Times New Roman" w:cs="Times New Roman"/>
                <w:b/>
                <w:noProof/>
                <w:color w:val="000000"/>
              </w:rPr>
            </w:pPr>
            <w:r>
              <w:rPr>
                <w:rFonts w:ascii="Times New Roman" w:hAnsi="Times New Roman"/>
                <w:b/>
                <w:noProof/>
                <w:color w:val="000000"/>
              </w:rPr>
              <w:t>Correction britannique 2018</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b/>
                <w:noProof/>
                <w:color w:val="000000"/>
                <w:sz w:val="20"/>
              </w:rPr>
              <w:t>Correction britannique 2018</w:t>
            </w:r>
          </w:p>
          <w:p>
            <w:pPr>
              <w:autoSpaceDE w:val="0"/>
              <w:autoSpaceDN w:val="0"/>
              <w:adjustRightInd w:val="0"/>
              <w:spacing w:after="120"/>
              <w:jc w:val="center"/>
              <w:rPr>
                <w:rFonts w:ascii="Times New Roman" w:hAnsi="Times New Roman" w:cs="Times New Roman"/>
                <w:noProof/>
                <w:color w:val="000000"/>
                <w:sz w:val="20"/>
              </w:rPr>
            </w:pPr>
            <w:r>
              <w:rPr>
                <w:rFonts w:ascii="Times New Roman" w:hAnsi="Times New Roman"/>
                <w:b/>
                <w:noProof/>
                <w:color w:val="000000"/>
                <w:sz w:val="20"/>
              </w:rPr>
              <w:t>MONTANT PROVISOIRE</w:t>
            </w:r>
          </w:p>
          <w:p>
            <w:pPr>
              <w:autoSpaceDE w:val="0"/>
              <w:autoSpaceDN w:val="0"/>
              <w:adjustRightInd w:val="0"/>
              <w:spacing w:after="120"/>
              <w:jc w:val="center"/>
              <w:rPr>
                <w:rFonts w:ascii="Times New Roman" w:hAnsi="Times New Roman" w:cs="Times New Roman"/>
                <w:b/>
                <w:noProof/>
                <w:color w:val="000000"/>
                <w:sz w:val="20"/>
              </w:rPr>
            </w:pPr>
            <w:r>
              <w:rPr>
                <w:rFonts w:ascii="Times New Roman" w:hAnsi="Times New Roman"/>
                <w:b/>
                <w:noProof/>
                <w:color w:val="000000"/>
                <w:sz w:val="20"/>
              </w:rPr>
              <w:t>Budget 2019</w:t>
            </w:r>
          </w:p>
        </w:tc>
        <w:tc>
          <w:tcPr>
            <w:tcW w:w="180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b/>
                <w:noProof/>
                <w:color w:val="000000"/>
                <w:sz w:val="20"/>
              </w:rPr>
              <w:t>Correction britannique 2018</w:t>
            </w:r>
          </w:p>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b/>
                <w:noProof/>
                <w:color w:val="000000"/>
                <w:sz w:val="20"/>
              </w:rPr>
              <w:t>2</w:t>
            </w:r>
            <w:r>
              <w:rPr>
                <w:rFonts w:ascii="Times New Roman" w:hAnsi="Times New Roman"/>
                <w:b/>
                <w:noProof/>
                <w:color w:val="000000"/>
                <w:sz w:val="20"/>
                <w:vertAlign w:val="superscript"/>
              </w:rPr>
              <w:t>e</w:t>
            </w:r>
            <w:r>
              <w:rPr>
                <w:rFonts w:ascii="Times New Roman" w:hAnsi="Times New Roman"/>
                <w:b/>
                <w:noProof/>
                <w:color w:val="000000"/>
                <w:sz w:val="20"/>
              </w:rPr>
              <w:t xml:space="preserve"> MISE À JOUR</w:t>
            </w:r>
          </w:p>
          <w:p>
            <w:pPr>
              <w:autoSpaceDE w:val="0"/>
              <w:autoSpaceDN w:val="0"/>
              <w:adjustRightInd w:val="0"/>
              <w:spacing w:after="120"/>
              <w:jc w:val="center"/>
              <w:rPr>
                <w:rFonts w:ascii="Times New Roman" w:hAnsi="Times New Roman" w:cs="Times New Roman"/>
                <w:b/>
                <w:noProof/>
                <w:color w:val="000000"/>
                <w:sz w:val="20"/>
              </w:rPr>
            </w:pPr>
            <w:r>
              <w:rPr>
                <w:rFonts w:ascii="Times New Roman" w:hAnsi="Times New Roman"/>
                <w:b/>
                <w:noProof/>
                <w:color w:val="000000"/>
                <w:sz w:val="20"/>
              </w:rPr>
              <w:t>PBR 7/2020</w:t>
            </w:r>
          </w:p>
        </w:tc>
        <w:tc>
          <w:tcPr>
            <w:tcW w:w="180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spacing w:after="120"/>
              <w:jc w:val="center"/>
              <w:rPr>
                <w:rFonts w:ascii="Times New Roman" w:hAnsi="Times New Roman" w:cs="Times New Roman"/>
                <w:b/>
                <w:i/>
                <w:noProof/>
                <w:color w:val="000000"/>
                <w:sz w:val="20"/>
              </w:rPr>
            </w:pPr>
            <w:r>
              <w:rPr>
                <w:rFonts w:ascii="Times New Roman" w:hAnsi="Times New Roman"/>
                <w:b/>
                <w:i/>
                <w:noProof/>
                <w:color w:val="000000"/>
                <w:sz w:val="20"/>
              </w:rPr>
              <w:t>Différence</w:t>
            </w:r>
          </w:p>
        </w:tc>
      </w:tr>
      <w:tr>
        <w:trPr>
          <w:jc w:val="center"/>
        </w:trPr>
        <w:tc>
          <w:tcPr>
            <w:tcW w:w="550" w:type="dxa"/>
            <w:vMerge/>
            <w:tcBorders>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p>
        </w:tc>
        <w:tc>
          <w:tcPr>
            <w:tcW w:w="3185" w:type="dxa"/>
            <w:vMerge/>
            <w:tcBorders>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w:t>
            </w:r>
          </w:p>
        </w:tc>
        <w:tc>
          <w:tcPr>
            <w:tcW w:w="180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w:t>
            </w:r>
          </w:p>
        </w:tc>
        <w:tc>
          <w:tcPr>
            <w:tcW w:w="180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Part du Royaume-Uni dans l’assiette TVA non écrêtée</w:t>
            </w:r>
          </w:p>
        </w:tc>
        <w:tc>
          <w:tcPr>
            <w:tcW w:w="1800" w:type="dxa"/>
            <w:tcBorders>
              <w:top w:val="double" w:sz="6" w:space="0" w:color="auto"/>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16,1945 %</w:t>
            </w:r>
          </w:p>
        </w:tc>
        <w:tc>
          <w:tcPr>
            <w:tcW w:w="180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16,0805 %</w:t>
            </w:r>
          </w:p>
        </w:tc>
        <w:tc>
          <w:tcPr>
            <w:tcW w:w="180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- 0,1141 %</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Part du Royaume-Uni dans le total des dépenses réparties, ajusté des dépenses liées à l'élargissement</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7,3577 %</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6,7158 %</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- 0,6419 %</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18"/>
                <w:szCs w:val="18"/>
              </w:rPr>
            </w:pPr>
            <w:r>
              <w:rPr>
                <w:rFonts w:ascii="Times New Roman" w:hAnsi="Times New Roman"/>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8,8368 %</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9,3646 %</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+ 0,5278 %</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Total des dépenses réparties</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127 599 039 596</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129 720 353 887</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+ 2 121 314 291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Dépenses liées à l'élargissement</w:t>
            </w:r>
            <w:r>
              <w:rPr>
                <w:noProof/>
              </w:rPr>
              <w:t xml:space="preserve"> </w:t>
            </w:r>
            <w:r>
              <w:rPr>
                <w:noProof/>
              </w:rPr>
              <w:br/>
            </w:r>
            <w:r>
              <w:rPr>
                <w:rFonts w:ascii="Times New Roman" w:hAnsi="Times New Roman"/>
                <w:noProof/>
                <w:sz w:val="20"/>
              </w:rPr>
              <w:t>= (5a) + (5b)</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27 076 886 462</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31 051 543 542</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+ 3 974 657 080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Dépenses de préadhésion</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0</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0</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Dépenses liées à l’article 4, paragraphe 1, point g)</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27 076 886 462</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31 051 543 542</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+ 3 974 657 080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Total des dépenses réparties, ajusté des dépenses liées à l’élargissement = (4) - (5)</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100 522 153 134</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98 668 810 345</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- 1 853 342 788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Montant initial de la correction britannique = (3) x (6) x 0,66</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5 862 761 188</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6 098 379 860</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+ 235 618 672</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Avantage du Royaume-Uni</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854 326 562</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620 706 683</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- 233 619 879</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Correction de base en faveur du Royaume-Uni = (7) - (8)</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5 008 434 626</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5 477 673 177</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+ 469 238 550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Gains exceptionnels provenant des RPT</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- 15 094 049</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- 38 961 662</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- 23 867 613</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Correction britannique = (9) - (10)</w:t>
            </w:r>
          </w:p>
        </w:tc>
        <w:tc>
          <w:tcPr>
            <w:tcW w:w="1800" w:type="dxa"/>
            <w:tcBorders>
              <w:top w:val="nil"/>
              <w:left w:val="nil"/>
              <w:bottom w:val="double" w:sz="6" w:space="0" w:color="auto"/>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5 023 528 676</w:t>
            </w:r>
          </w:p>
        </w:tc>
        <w:tc>
          <w:tcPr>
            <w:tcW w:w="180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5 516 634 839</w:t>
            </w:r>
          </w:p>
        </w:tc>
        <w:tc>
          <w:tcPr>
            <w:tcW w:w="180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+ 493 106 163</w:t>
            </w:r>
          </w:p>
        </w:tc>
      </w:tr>
    </w:tbl>
    <w:p>
      <w:pPr>
        <w:spacing w:before="360" w:after="120"/>
        <w:jc w:val="both"/>
        <w:rPr>
          <w:rFonts w:ascii="Times New Roman" w:hAnsi="Times New Roman" w:cs="Times New Roman"/>
          <w:noProof/>
        </w:rPr>
      </w:pPr>
      <w:r>
        <w:rPr>
          <w:rFonts w:ascii="Times New Roman" w:hAnsi="Times New Roman"/>
          <w:noProof/>
        </w:rPr>
        <w:t xml:space="preserve">La </w:t>
      </w:r>
      <w:r>
        <w:rPr>
          <w:rFonts w:ascii="Times New Roman" w:hAnsi="Times New Roman"/>
          <w:i/>
          <w:noProof/>
        </w:rPr>
        <w:t>deuxième mise à jour</w:t>
      </w:r>
      <w:r>
        <w:rPr>
          <w:rFonts w:ascii="Times New Roman" w:hAnsi="Times New Roman"/>
          <w:noProof/>
        </w:rPr>
        <w:t xml:space="preserve"> de la correction britannique pour 2018 est supérieure de 493 millions d’EUR au </w:t>
      </w:r>
      <w:r>
        <w:rPr>
          <w:rFonts w:ascii="Times New Roman" w:hAnsi="Times New Roman"/>
          <w:i/>
          <w:iCs/>
          <w:noProof/>
        </w:rPr>
        <w:t>montant provisoire</w:t>
      </w:r>
      <w:r>
        <w:rPr>
          <w:rFonts w:ascii="Times New Roman" w:hAnsi="Times New Roman"/>
          <w:noProof/>
        </w:rPr>
        <w:t xml:space="preserve"> de la correction britannique pour 2018 inscrite dans le budget 2019 en raison des mises à jour des assiettes TVA et RNB communiquées par les États membres à l’automne 2019 et de la mise à jour des dépenses réparties pour 2018 (le montant provisoire comprenait l’estimation des dépenses réparties).</w:t>
      </w:r>
    </w:p>
    <w:p>
      <w:pPr>
        <w:rPr>
          <w:rFonts w:ascii="Times New Roman" w:hAnsi="Times New Roman" w:cs="Times New Roman"/>
          <w:bCs/>
          <w:noProof/>
          <w:szCs w:val="28"/>
          <w:u w:val="single"/>
        </w:rPr>
      </w:pPr>
      <w:r>
        <w:rPr>
          <w:noProof/>
        </w:rPr>
        <w:br w:type="page"/>
      </w:r>
    </w:p>
    <w:p>
      <w:pPr>
        <w:tabs>
          <w:tab w:val="left" w:pos="851"/>
        </w:tabs>
        <w:spacing w:before="120" w:after="120"/>
        <w:rPr>
          <w:rFonts w:ascii="Times New Roman" w:hAnsi="Times New Roman" w:cs="Times New Roman"/>
          <w:bCs/>
          <w:noProof/>
          <w:szCs w:val="28"/>
          <w:u w:val="single"/>
        </w:rPr>
      </w:pPr>
      <w:r>
        <w:rPr>
          <w:rFonts w:ascii="Times New Roman" w:hAnsi="Times New Roman"/>
          <w:bCs/>
          <w:noProof/>
          <w:szCs w:val="28"/>
          <w:u w:val="single"/>
        </w:rPr>
        <w:t>3.3.2.3</w:t>
      </w:r>
      <w:r>
        <w:rPr>
          <w:noProof/>
          <w:u w:val="single"/>
        </w:rPr>
        <w:tab/>
      </w:r>
      <w:r>
        <w:rPr>
          <w:rFonts w:ascii="Times New Roman" w:hAnsi="Times New Roman"/>
          <w:bCs/>
          <w:noProof/>
          <w:szCs w:val="28"/>
          <w:u w:val="single"/>
        </w:rPr>
        <w:t>Correction britannique 2017</w:t>
      </w:r>
    </w:p>
    <w:p>
      <w:pPr>
        <w:spacing w:before="120" w:after="120"/>
        <w:jc w:val="both"/>
        <w:rPr>
          <w:rFonts w:ascii="Times New Roman" w:hAnsi="Times New Roman" w:cs="Times New Roman"/>
          <w:noProof/>
        </w:rPr>
      </w:pPr>
      <w:r>
        <w:rPr>
          <w:rFonts w:ascii="Times New Roman" w:hAnsi="Times New Roman"/>
          <w:noProof/>
        </w:rPr>
        <w:t xml:space="preserve">Le tableau ci-après résume les différences entre la </w:t>
      </w:r>
      <w:r>
        <w:rPr>
          <w:rFonts w:ascii="Times New Roman" w:hAnsi="Times New Roman"/>
          <w:i/>
          <w:noProof/>
        </w:rPr>
        <w:t>première mise à jour</w:t>
      </w:r>
      <w:r>
        <w:rPr>
          <w:rFonts w:ascii="Times New Roman" w:hAnsi="Times New Roman"/>
          <w:noProof/>
        </w:rPr>
        <w:t xml:space="preserve"> de la correction britannique pour 2017 figurant dans le BR nº 6/2018 et la </w:t>
      </w:r>
      <w:r>
        <w:rPr>
          <w:rFonts w:ascii="Times New Roman" w:hAnsi="Times New Roman"/>
          <w:i/>
          <w:iCs/>
          <w:noProof/>
        </w:rPr>
        <w:t>troisième mise à jour</w:t>
      </w:r>
      <w:r>
        <w:rPr>
          <w:rFonts w:ascii="Times New Roman" w:hAnsi="Times New Roman"/>
          <w:noProof/>
        </w:rPr>
        <w:t xml:space="preserve"> de la correction pour 2017 à inscrire dans le présent PBR.</w:t>
      </w:r>
    </w:p>
    <w:tbl>
      <w:tblPr>
        <w:tblW w:w="9135" w:type="dxa"/>
        <w:jc w:val="center"/>
        <w:tblLayout w:type="fixed"/>
        <w:tblLook w:val="0000" w:firstRow="0" w:lastRow="0" w:firstColumn="0" w:lastColumn="0" w:noHBand="0" w:noVBand="0"/>
      </w:tblPr>
      <w:tblGrid>
        <w:gridCol w:w="550"/>
        <w:gridCol w:w="3185"/>
        <w:gridCol w:w="1800"/>
        <w:gridCol w:w="1755"/>
        <w:gridCol w:w="1845"/>
      </w:tblGrid>
      <w:tr>
        <w:trPr>
          <w:trHeight w:val="831"/>
          <w:tblHeader/>
          <w:jc w:val="center"/>
        </w:trPr>
        <w:tc>
          <w:tcPr>
            <w:tcW w:w="550" w:type="dxa"/>
            <w:tcBorders>
              <w:top w:val="nil"/>
              <w:left w:val="nil"/>
              <w:bottom w:val="nil"/>
              <w:right w:val="nil"/>
            </w:tcBorders>
            <w:shd w:val="clear" w:color="auto" w:fill="auto"/>
            <w:noWrap/>
            <w:vAlign w:val="bottom"/>
          </w:tcPr>
          <w:p>
            <w:pPr>
              <w:spacing w:after="120"/>
              <w:rPr>
                <w:rFonts w:ascii="Times New Roman" w:hAnsi="Times New Roman" w:cs="Times New Roman"/>
                <w:noProof/>
                <w:sz w:val="20"/>
                <w:szCs w:val="20"/>
              </w:rPr>
            </w:pPr>
          </w:p>
        </w:tc>
        <w:tc>
          <w:tcPr>
            <w:tcW w:w="3185" w:type="dxa"/>
            <w:tcBorders>
              <w:top w:val="nil"/>
              <w:left w:val="nil"/>
              <w:bottom w:val="nil"/>
              <w:right w:val="nil"/>
            </w:tcBorders>
            <w:shd w:val="clear" w:color="auto" w:fill="auto"/>
            <w:noWrap/>
            <w:vAlign w:val="center"/>
          </w:tcPr>
          <w:p>
            <w:pPr>
              <w:autoSpaceDE w:val="0"/>
              <w:autoSpaceDN w:val="0"/>
              <w:adjustRightInd w:val="0"/>
              <w:spacing w:after="120"/>
              <w:jc w:val="center"/>
              <w:rPr>
                <w:rFonts w:ascii="Times New Roman" w:hAnsi="Times New Roman" w:cs="Times New Roman"/>
                <w:b/>
                <w:noProof/>
                <w:color w:val="000000"/>
              </w:rPr>
            </w:pPr>
            <w:r>
              <w:rPr>
                <w:rFonts w:ascii="Times New Roman" w:hAnsi="Times New Roman"/>
                <w:b/>
                <w:noProof/>
                <w:color w:val="000000"/>
              </w:rPr>
              <w:t>Correction britannique 2017</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spacing w:after="120"/>
              <w:jc w:val="center"/>
              <w:rPr>
                <w:rFonts w:ascii="Times New Roman" w:hAnsi="Times New Roman" w:cs="Times New Roman"/>
                <w:b/>
                <w:bCs/>
                <w:noProof/>
                <w:sz w:val="20"/>
                <w:szCs w:val="20"/>
              </w:rPr>
            </w:pPr>
            <w:r>
              <w:rPr>
                <w:rFonts w:ascii="Times New Roman" w:hAnsi="Times New Roman"/>
                <w:b/>
                <w:bCs/>
                <w:noProof/>
                <w:sz w:val="20"/>
                <w:szCs w:val="20"/>
              </w:rPr>
              <w:t>Correction britannique 2017</w:t>
            </w:r>
            <w:r>
              <w:rPr>
                <w:noProof/>
              </w:rPr>
              <w:t xml:space="preserve"> </w:t>
            </w:r>
            <w:r>
              <w:rPr>
                <w:noProof/>
              </w:rPr>
              <w:br/>
            </w:r>
            <w:r>
              <w:rPr>
                <w:rFonts w:ascii="Times New Roman" w:hAnsi="Times New Roman"/>
                <w:b/>
                <w:bCs/>
                <w:noProof/>
                <w:sz w:val="20"/>
                <w:szCs w:val="20"/>
              </w:rPr>
              <w:t>1</w:t>
            </w:r>
            <w:r>
              <w:rPr>
                <w:rFonts w:ascii="Times New Roman" w:hAnsi="Times New Roman"/>
                <w:b/>
                <w:bCs/>
                <w:noProof/>
                <w:sz w:val="20"/>
                <w:szCs w:val="20"/>
                <w:vertAlign w:val="superscript"/>
              </w:rPr>
              <w:t>re</w:t>
            </w:r>
            <w:r>
              <w:rPr>
                <w:rFonts w:ascii="Times New Roman" w:hAnsi="Times New Roman"/>
                <w:b/>
                <w:bCs/>
                <w:noProof/>
                <w:sz w:val="20"/>
                <w:szCs w:val="20"/>
              </w:rPr>
              <w:t xml:space="preserve"> MISE À JOUR </w:t>
            </w:r>
            <w:r>
              <w:rPr>
                <w:noProof/>
              </w:rPr>
              <w:br/>
            </w:r>
            <w:r>
              <w:rPr>
                <w:rFonts w:ascii="Times New Roman" w:hAnsi="Times New Roman"/>
                <w:b/>
                <w:bCs/>
                <w:noProof/>
                <w:sz w:val="20"/>
                <w:szCs w:val="20"/>
              </w:rPr>
              <w:t>BR 6/2018</w:t>
            </w:r>
          </w:p>
        </w:tc>
        <w:tc>
          <w:tcPr>
            <w:tcW w:w="1755" w:type="dxa"/>
            <w:tcBorders>
              <w:top w:val="double" w:sz="6" w:space="0" w:color="auto"/>
              <w:left w:val="nil"/>
              <w:bottom w:val="double" w:sz="6" w:space="0" w:color="auto"/>
              <w:right w:val="double" w:sz="6" w:space="0" w:color="auto"/>
            </w:tcBorders>
            <w:shd w:val="clear" w:color="auto" w:fill="E0E0E0"/>
            <w:vAlign w:val="center"/>
          </w:tcPr>
          <w:p>
            <w:pPr>
              <w:spacing w:after="120"/>
              <w:jc w:val="center"/>
              <w:rPr>
                <w:rFonts w:ascii="Times New Roman" w:hAnsi="Times New Roman" w:cs="Times New Roman"/>
                <w:b/>
                <w:bCs/>
                <w:noProof/>
                <w:sz w:val="20"/>
                <w:szCs w:val="20"/>
              </w:rPr>
            </w:pPr>
            <w:r>
              <w:rPr>
                <w:rFonts w:ascii="Times New Roman" w:hAnsi="Times New Roman"/>
                <w:b/>
                <w:bCs/>
                <w:noProof/>
                <w:sz w:val="20"/>
                <w:szCs w:val="20"/>
              </w:rPr>
              <w:t>Correction britannique 2017</w:t>
            </w:r>
            <w:r>
              <w:rPr>
                <w:noProof/>
              </w:rPr>
              <w:br/>
            </w:r>
            <w:r>
              <w:rPr>
                <w:rFonts w:ascii="Times New Roman" w:hAnsi="Times New Roman"/>
                <w:b/>
                <w:bCs/>
                <w:noProof/>
                <w:sz w:val="20"/>
                <w:szCs w:val="20"/>
              </w:rPr>
              <w:t>3</w:t>
            </w:r>
            <w:r>
              <w:rPr>
                <w:rFonts w:ascii="Times New Roman" w:hAnsi="Times New Roman"/>
                <w:b/>
                <w:bCs/>
                <w:noProof/>
                <w:sz w:val="20"/>
                <w:szCs w:val="20"/>
                <w:vertAlign w:val="superscript"/>
              </w:rPr>
              <w:t>e</w:t>
            </w:r>
            <w:r>
              <w:rPr>
                <w:rFonts w:ascii="Times New Roman" w:hAnsi="Times New Roman"/>
                <w:b/>
                <w:bCs/>
                <w:noProof/>
                <w:sz w:val="20"/>
                <w:szCs w:val="20"/>
              </w:rPr>
              <w:t xml:space="preserve"> MISE À JOUR</w:t>
            </w:r>
            <w:r>
              <w:rPr>
                <w:noProof/>
              </w:rPr>
              <w:br/>
            </w:r>
            <w:r>
              <w:rPr>
                <w:rFonts w:ascii="Times New Roman" w:hAnsi="Times New Roman"/>
                <w:b/>
                <w:bCs/>
                <w:noProof/>
                <w:sz w:val="20"/>
                <w:szCs w:val="20"/>
              </w:rPr>
              <w:t>PBR 7/2020</w:t>
            </w:r>
          </w:p>
        </w:tc>
        <w:tc>
          <w:tcPr>
            <w:tcW w:w="1845" w:type="dxa"/>
            <w:tcBorders>
              <w:top w:val="double" w:sz="6" w:space="0" w:color="auto"/>
              <w:left w:val="nil"/>
              <w:bottom w:val="double" w:sz="6" w:space="0" w:color="auto"/>
              <w:right w:val="double" w:sz="6" w:space="0" w:color="auto"/>
            </w:tcBorders>
            <w:shd w:val="clear" w:color="auto" w:fill="E0E0E0"/>
            <w:noWrap/>
            <w:vAlign w:val="center"/>
          </w:tcPr>
          <w:p>
            <w:pPr>
              <w:spacing w:after="120"/>
              <w:jc w:val="center"/>
              <w:rPr>
                <w:rFonts w:ascii="Times New Roman" w:hAnsi="Times New Roman" w:cs="Times New Roman"/>
                <w:b/>
                <w:bCs/>
                <w:i/>
                <w:iCs/>
                <w:noProof/>
                <w:sz w:val="20"/>
                <w:szCs w:val="20"/>
              </w:rPr>
            </w:pPr>
            <w:r>
              <w:rPr>
                <w:rFonts w:ascii="Times New Roman" w:hAnsi="Times New Roman"/>
                <w:b/>
                <w:bCs/>
                <w:i/>
                <w:iCs/>
                <w:noProof/>
                <w:sz w:val="20"/>
                <w:szCs w:val="20"/>
              </w:rPr>
              <w:t>Différence</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Part du Royaume-Uni dans l’assiette TVA non écrêtée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16,2266 %</w:t>
            </w:r>
          </w:p>
        </w:tc>
        <w:tc>
          <w:tcPr>
            <w:tcW w:w="175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15,9063 %</w:t>
            </w:r>
          </w:p>
        </w:tc>
        <w:tc>
          <w:tcPr>
            <w:tcW w:w="184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- 0,3203 %</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(2)</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Part du Royaume-Uni dans le total des dépenses réparties, ajusté des dépenses liées à l'élargissement</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7,0114 %</w:t>
            </w:r>
          </w:p>
        </w:tc>
        <w:tc>
          <w:tcPr>
            <w:tcW w:w="175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6,9862 %</w:t>
            </w:r>
          </w:p>
        </w:tc>
        <w:tc>
          <w:tcPr>
            <w:tcW w:w="184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- 0,0252 %</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(3)</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18"/>
                <w:szCs w:val="18"/>
              </w:rPr>
            </w:pPr>
            <w:r>
              <w:rPr>
                <w:rFonts w:ascii="Times New Roman" w:hAnsi="Times New Roman"/>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9,2152 %</w:t>
            </w:r>
          </w:p>
        </w:tc>
        <w:tc>
          <w:tcPr>
            <w:tcW w:w="175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8,9201 %</w:t>
            </w:r>
          </w:p>
        </w:tc>
        <w:tc>
          <w:tcPr>
            <w:tcW w:w="184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- 0,2951 %</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(4)</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Total des dépenses réparties</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110 827 970 366</w:t>
            </w:r>
          </w:p>
        </w:tc>
        <w:tc>
          <w:tcPr>
            <w:tcW w:w="175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110 891 011 881</w:t>
            </w:r>
          </w:p>
        </w:tc>
        <w:tc>
          <w:tcPr>
            <w:tcW w:w="184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+ 63 041 515</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(5)</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Dépenses liées à l'élargissement</w:t>
            </w:r>
            <w:r>
              <w:rPr>
                <w:noProof/>
              </w:rPr>
              <w:t xml:space="preserve"> </w:t>
            </w:r>
            <w:r>
              <w:rPr>
                <w:noProof/>
              </w:rPr>
              <w:br/>
            </w:r>
            <w:r>
              <w:rPr>
                <w:rFonts w:ascii="Times New Roman" w:hAnsi="Times New Roman"/>
                <w:noProof/>
                <w:sz w:val="20"/>
                <w:szCs w:val="20"/>
              </w:rPr>
              <w:t>= (5a) + (5b)</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20 962 713 989</w:t>
            </w:r>
          </w:p>
        </w:tc>
        <w:tc>
          <w:tcPr>
            <w:tcW w:w="175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20 917 337 083</w:t>
            </w:r>
          </w:p>
        </w:tc>
        <w:tc>
          <w:tcPr>
            <w:tcW w:w="184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- 45 376 906</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(5a)</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Dépenses de préadhésion</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0</w:t>
            </w:r>
          </w:p>
        </w:tc>
        <w:tc>
          <w:tcPr>
            <w:tcW w:w="175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0</w:t>
            </w:r>
          </w:p>
        </w:tc>
        <w:tc>
          <w:tcPr>
            <w:tcW w:w="184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(5b)</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Dépenses liées à l’article 4, paragraphe 1, point g)</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20 962 713 989</w:t>
            </w:r>
          </w:p>
        </w:tc>
        <w:tc>
          <w:tcPr>
            <w:tcW w:w="175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20 917 337 083</w:t>
            </w:r>
          </w:p>
        </w:tc>
        <w:tc>
          <w:tcPr>
            <w:tcW w:w="184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- 45 376 906</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(6)</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Total des dépenses réparties, ajusté des dépenses liées à l’élargissement = (4) - (5)</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89 865 256 377</w:t>
            </w:r>
          </w:p>
        </w:tc>
        <w:tc>
          <w:tcPr>
            <w:tcW w:w="175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89 973 674 798</w:t>
            </w:r>
          </w:p>
        </w:tc>
        <w:tc>
          <w:tcPr>
            <w:tcW w:w="184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+ 108 418 421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(7)</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Montant initial de la correction britannique = (3) x (6) x 0,66</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5 465 655 078</w:t>
            </w:r>
          </w:p>
        </w:tc>
        <w:tc>
          <w:tcPr>
            <w:tcW w:w="175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5 297 002 140</w:t>
            </w:r>
          </w:p>
        </w:tc>
        <w:tc>
          <w:tcPr>
            <w:tcW w:w="184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- 168 652 938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(8)</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Avantage du Royaume-Uni</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 xml:space="preserve"> 548 929 008</w:t>
            </w:r>
          </w:p>
        </w:tc>
        <w:tc>
          <w:tcPr>
            <w:tcW w:w="175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 xml:space="preserve"> 147 663 777</w:t>
            </w:r>
          </w:p>
        </w:tc>
        <w:tc>
          <w:tcPr>
            <w:tcW w:w="184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- 401 265 231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(9)</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Correction de base en faveur du Royaume-Uni = (7) - (8)</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4 916 726 069</w:t>
            </w:r>
          </w:p>
        </w:tc>
        <w:tc>
          <w:tcPr>
            <w:tcW w:w="175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5 149 338 362</w:t>
            </w:r>
          </w:p>
        </w:tc>
        <w:tc>
          <w:tcPr>
            <w:tcW w:w="184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+ 232 612 293</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(10)</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Gains exceptionnels provenant des RPT</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- 17 211 574</w:t>
            </w:r>
          </w:p>
        </w:tc>
        <w:tc>
          <w:tcPr>
            <w:tcW w:w="175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- 9 019 736</w:t>
            </w:r>
          </w:p>
        </w:tc>
        <w:tc>
          <w:tcPr>
            <w:tcW w:w="1845"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+ 8 191 838</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noProof/>
                <w:sz w:val="20"/>
                <w:szCs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noProof/>
                <w:color w:val="000000"/>
                <w:sz w:val="20"/>
                <w:szCs w:val="20"/>
              </w:rPr>
              <w:t>Correction britannique = (9) - (10)</w:t>
            </w:r>
          </w:p>
        </w:tc>
        <w:tc>
          <w:tcPr>
            <w:tcW w:w="1800" w:type="dxa"/>
            <w:tcBorders>
              <w:top w:val="nil"/>
              <w:left w:val="nil"/>
              <w:bottom w:val="double" w:sz="6" w:space="0" w:color="auto"/>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4 933 937 643</w:t>
            </w:r>
          </w:p>
        </w:tc>
        <w:tc>
          <w:tcPr>
            <w:tcW w:w="1755"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5 158 358 098</w:t>
            </w:r>
          </w:p>
        </w:tc>
        <w:tc>
          <w:tcPr>
            <w:tcW w:w="1845"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i/>
                <w:noProof/>
                <w:sz w:val="20"/>
                <w:szCs w:val="20"/>
              </w:rPr>
              <w:t>+ 224 420 455</w:t>
            </w:r>
          </w:p>
        </w:tc>
      </w:tr>
    </w:tbl>
    <w:p>
      <w:pPr>
        <w:spacing w:before="120" w:after="120"/>
        <w:jc w:val="both"/>
        <w:rPr>
          <w:rFonts w:ascii="Times New Roman" w:hAnsi="Times New Roman" w:cs="Times New Roman"/>
          <w:noProof/>
        </w:rPr>
      </w:pPr>
      <w:r>
        <w:rPr>
          <w:rFonts w:ascii="Times New Roman" w:hAnsi="Times New Roman"/>
          <w:noProof/>
        </w:rPr>
        <w:t xml:space="preserve">La </w:t>
      </w:r>
      <w:r>
        <w:rPr>
          <w:rFonts w:ascii="Times New Roman" w:hAnsi="Times New Roman"/>
          <w:i/>
          <w:iCs/>
          <w:noProof/>
        </w:rPr>
        <w:t>troisième mise à jour</w:t>
      </w:r>
      <w:r>
        <w:rPr>
          <w:rFonts w:ascii="Times New Roman" w:hAnsi="Times New Roman"/>
          <w:noProof/>
        </w:rPr>
        <w:t xml:space="preserve"> de la correction britannique pour 2017 est supérieure de quelque 224 millions d’EUR à la </w:t>
      </w:r>
      <w:r>
        <w:rPr>
          <w:rFonts w:ascii="Times New Roman" w:hAnsi="Times New Roman"/>
          <w:i/>
          <w:iCs/>
          <w:noProof/>
        </w:rPr>
        <w:t>première mise à jour</w:t>
      </w:r>
      <w:r>
        <w:rPr>
          <w:rFonts w:ascii="Times New Roman" w:hAnsi="Times New Roman"/>
          <w:noProof/>
        </w:rPr>
        <w:t xml:space="preserve"> de la correction britannique pour 2017 figurant dans le BR nº 6/2018, en raison des mises à jour des assiettes TVA et RNB communiquées par les États membres à l’automne 2019. </w:t>
      </w:r>
    </w:p>
    <w:p>
      <w:pPr>
        <w:tabs>
          <w:tab w:val="left" w:pos="851"/>
        </w:tabs>
        <w:rPr>
          <w:rFonts w:ascii="Times New Roman" w:hAnsi="Times New Roman" w:cs="Times New Roman"/>
          <w:bCs/>
          <w:noProof/>
          <w:szCs w:val="28"/>
          <w:u w:val="single"/>
        </w:rPr>
      </w:pPr>
      <w:r>
        <w:rPr>
          <w:rFonts w:ascii="Times New Roman" w:hAnsi="Times New Roman"/>
          <w:bCs/>
          <w:noProof/>
          <w:szCs w:val="28"/>
          <w:u w:val="single"/>
        </w:rPr>
        <w:t>2.3.2.4</w:t>
      </w:r>
      <w:r>
        <w:rPr>
          <w:noProof/>
          <w:u w:val="single"/>
        </w:rPr>
        <w:tab/>
      </w:r>
      <w:r>
        <w:rPr>
          <w:rFonts w:ascii="Times New Roman" w:hAnsi="Times New Roman"/>
          <w:bCs/>
          <w:noProof/>
          <w:szCs w:val="28"/>
          <w:u w:val="single"/>
        </w:rPr>
        <w:t>Correction britannique 2016</w:t>
      </w:r>
    </w:p>
    <w:p>
      <w:pPr>
        <w:spacing w:before="120" w:after="120"/>
        <w:jc w:val="both"/>
        <w:rPr>
          <w:rFonts w:ascii="Times New Roman" w:hAnsi="Times New Roman" w:cs="Times New Roman"/>
          <w:noProof/>
        </w:rPr>
      </w:pPr>
      <w:r>
        <w:rPr>
          <w:rFonts w:ascii="Times New Roman" w:hAnsi="Times New Roman"/>
          <w:noProof/>
        </w:rPr>
        <w:t xml:space="preserve">Le tableau ci-après résume les différences entre la </w:t>
      </w:r>
      <w:r>
        <w:rPr>
          <w:rFonts w:ascii="Times New Roman" w:hAnsi="Times New Roman"/>
          <w:i/>
          <w:noProof/>
        </w:rPr>
        <w:t>première mise à jour</w:t>
      </w:r>
      <w:r>
        <w:rPr>
          <w:rFonts w:ascii="Times New Roman" w:hAnsi="Times New Roman"/>
          <w:noProof/>
        </w:rPr>
        <w:t xml:space="preserve"> de la correction britannique pour 2016 figurant dans le budget rectificatif nº 6/2017 et le </w:t>
      </w:r>
      <w:r>
        <w:rPr>
          <w:rFonts w:ascii="Times New Roman" w:hAnsi="Times New Roman"/>
          <w:i/>
          <w:noProof/>
        </w:rPr>
        <w:t>montant définitif</w:t>
      </w:r>
      <w:r>
        <w:rPr>
          <w:rFonts w:ascii="Times New Roman" w:hAnsi="Times New Roman"/>
          <w:noProof/>
        </w:rPr>
        <w:t xml:space="preserve"> de la correction pour 2016 à inscrire dans le présent PBR.</w:t>
      </w:r>
    </w:p>
    <w:tbl>
      <w:tblPr>
        <w:tblW w:w="9135" w:type="dxa"/>
        <w:jc w:val="center"/>
        <w:tblLayout w:type="fixed"/>
        <w:tblLook w:val="0000" w:firstRow="0" w:lastRow="0" w:firstColumn="0" w:lastColumn="0" w:noHBand="0" w:noVBand="0"/>
      </w:tblPr>
      <w:tblGrid>
        <w:gridCol w:w="550"/>
        <w:gridCol w:w="3185"/>
        <w:gridCol w:w="1800"/>
        <w:gridCol w:w="1680"/>
        <w:gridCol w:w="1920"/>
      </w:tblGrid>
      <w:tr>
        <w:trPr>
          <w:trHeight w:val="831"/>
          <w:tblHeader/>
          <w:jc w:val="center"/>
        </w:trPr>
        <w:tc>
          <w:tcPr>
            <w:tcW w:w="550" w:type="dxa"/>
            <w:tcBorders>
              <w:top w:val="nil"/>
              <w:left w:val="nil"/>
              <w:right w:val="nil"/>
            </w:tcBorders>
            <w:shd w:val="clear" w:color="auto" w:fill="auto"/>
            <w:noWrap/>
            <w:vAlign w:val="bottom"/>
          </w:tcPr>
          <w:p>
            <w:pPr>
              <w:spacing w:after="120"/>
              <w:rPr>
                <w:rFonts w:ascii="Times New Roman" w:hAnsi="Times New Roman" w:cs="Times New Roman"/>
                <w:noProof/>
                <w:sz w:val="20"/>
                <w:highlight w:val="yellow"/>
              </w:rPr>
            </w:pPr>
          </w:p>
        </w:tc>
        <w:tc>
          <w:tcPr>
            <w:tcW w:w="3185" w:type="dxa"/>
            <w:tcBorders>
              <w:top w:val="nil"/>
              <w:left w:val="nil"/>
              <w:right w:val="nil"/>
            </w:tcBorders>
            <w:shd w:val="clear" w:color="auto" w:fill="auto"/>
            <w:noWrap/>
            <w:vAlign w:val="center"/>
          </w:tcPr>
          <w:p>
            <w:pPr>
              <w:autoSpaceDE w:val="0"/>
              <w:autoSpaceDN w:val="0"/>
              <w:adjustRightInd w:val="0"/>
              <w:spacing w:after="120"/>
              <w:jc w:val="center"/>
              <w:rPr>
                <w:rFonts w:ascii="Times New Roman" w:hAnsi="Times New Roman" w:cs="Times New Roman"/>
                <w:b/>
                <w:noProof/>
                <w:color w:val="000000"/>
              </w:rPr>
            </w:pPr>
            <w:r>
              <w:rPr>
                <w:rFonts w:ascii="Times New Roman" w:hAnsi="Times New Roman"/>
                <w:b/>
                <w:noProof/>
                <w:color w:val="000000"/>
              </w:rPr>
              <w:t>Correction britannique 2016</w:t>
            </w:r>
          </w:p>
          <w:p>
            <w:pPr>
              <w:spacing w:after="120"/>
              <w:rPr>
                <w:rFonts w:ascii="Times New Roman" w:hAnsi="Times New Roman" w:cs="Times New Roman"/>
                <w:noProof/>
              </w:rPr>
            </w:pP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spacing w:after="120"/>
              <w:jc w:val="center"/>
              <w:rPr>
                <w:rFonts w:ascii="Times New Roman" w:hAnsi="Times New Roman" w:cs="Times New Roman"/>
                <w:b/>
                <w:bCs/>
                <w:noProof/>
                <w:sz w:val="20"/>
              </w:rPr>
            </w:pPr>
            <w:r>
              <w:rPr>
                <w:rFonts w:ascii="Times New Roman" w:hAnsi="Times New Roman"/>
                <w:b/>
                <w:bCs/>
                <w:noProof/>
                <w:sz w:val="20"/>
              </w:rPr>
              <w:t>Correction britannique 2016</w:t>
            </w:r>
            <w:r>
              <w:rPr>
                <w:noProof/>
              </w:rPr>
              <w:t xml:space="preserve"> </w:t>
            </w:r>
            <w:r>
              <w:rPr>
                <w:noProof/>
              </w:rPr>
              <w:br/>
            </w:r>
            <w:r>
              <w:rPr>
                <w:rFonts w:ascii="Times New Roman" w:hAnsi="Times New Roman"/>
                <w:b/>
                <w:bCs/>
                <w:noProof/>
                <w:sz w:val="20"/>
              </w:rPr>
              <w:t>1</w:t>
            </w:r>
            <w:r>
              <w:rPr>
                <w:rFonts w:ascii="Times New Roman" w:hAnsi="Times New Roman"/>
                <w:b/>
                <w:bCs/>
                <w:noProof/>
                <w:sz w:val="20"/>
                <w:vertAlign w:val="superscript"/>
              </w:rPr>
              <w:t>re</w:t>
            </w:r>
            <w:r>
              <w:rPr>
                <w:rFonts w:ascii="Times New Roman" w:hAnsi="Times New Roman"/>
                <w:b/>
                <w:bCs/>
                <w:noProof/>
                <w:sz w:val="20"/>
              </w:rPr>
              <w:t xml:space="preserve"> MISE À JOUR </w:t>
            </w:r>
            <w:r>
              <w:rPr>
                <w:noProof/>
              </w:rPr>
              <w:br/>
            </w:r>
            <w:r>
              <w:rPr>
                <w:rFonts w:ascii="Times New Roman" w:hAnsi="Times New Roman"/>
                <w:b/>
                <w:bCs/>
                <w:noProof/>
                <w:sz w:val="20"/>
              </w:rPr>
              <w:t>BR 6/2017</w:t>
            </w:r>
          </w:p>
        </w:tc>
        <w:tc>
          <w:tcPr>
            <w:tcW w:w="1680" w:type="dxa"/>
            <w:tcBorders>
              <w:top w:val="double" w:sz="6" w:space="0" w:color="auto"/>
              <w:left w:val="nil"/>
              <w:bottom w:val="double" w:sz="6" w:space="0" w:color="auto"/>
              <w:right w:val="double" w:sz="6" w:space="0" w:color="auto"/>
            </w:tcBorders>
            <w:shd w:val="clear" w:color="auto" w:fill="E0E0E0"/>
            <w:vAlign w:val="center"/>
          </w:tcPr>
          <w:p>
            <w:pPr>
              <w:spacing w:after="120"/>
              <w:jc w:val="center"/>
              <w:rPr>
                <w:rFonts w:ascii="Times New Roman" w:hAnsi="Times New Roman" w:cs="Times New Roman"/>
                <w:b/>
                <w:bCs/>
                <w:noProof/>
                <w:sz w:val="20"/>
              </w:rPr>
            </w:pPr>
            <w:r>
              <w:rPr>
                <w:rFonts w:ascii="Times New Roman" w:hAnsi="Times New Roman"/>
                <w:b/>
                <w:bCs/>
                <w:noProof/>
                <w:sz w:val="20"/>
              </w:rPr>
              <w:t>Correction britannique 2016</w:t>
            </w:r>
            <w:r>
              <w:rPr>
                <w:noProof/>
              </w:rPr>
              <w:t xml:space="preserve"> </w:t>
            </w:r>
            <w:r>
              <w:rPr>
                <w:noProof/>
              </w:rPr>
              <w:br/>
            </w:r>
            <w:r>
              <w:rPr>
                <w:rFonts w:ascii="Times New Roman" w:hAnsi="Times New Roman"/>
                <w:b/>
                <w:bCs/>
                <w:noProof/>
                <w:sz w:val="20"/>
              </w:rPr>
              <w:t>MONTANT DÉFINITIF</w:t>
            </w:r>
            <w:r>
              <w:rPr>
                <w:noProof/>
              </w:rPr>
              <w:t xml:space="preserve"> </w:t>
            </w:r>
            <w:r>
              <w:rPr>
                <w:noProof/>
              </w:rPr>
              <w:br/>
            </w:r>
            <w:r>
              <w:rPr>
                <w:rFonts w:ascii="Times New Roman" w:hAnsi="Times New Roman"/>
                <w:b/>
                <w:bCs/>
                <w:noProof/>
                <w:sz w:val="20"/>
              </w:rPr>
              <w:t>PBR 7/2020</w:t>
            </w:r>
          </w:p>
        </w:tc>
        <w:tc>
          <w:tcPr>
            <w:tcW w:w="1920" w:type="dxa"/>
            <w:tcBorders>
              <w:top w:val="double" w:sz="6" w:space="0" w:color="auto"/>
              <w:left w:val="nil"/>
              <w:bottom w:val="double" w:sz="6" w:space="0" w:color="auto"/>
              <w:right w:val="double" w:sz="6" w:space="0" w:color="auto"/>
            </w:tcBorders>
            <w:shd w:val="clear" w:color="auto" w:fill="E0E0E0"/>
            <w:noWrap/>
            <w:vAlign w:val="center"/>
          </w:tcPr>
          <w:p>
            <w:pPr>
              <w:spacing w:after="120"/>
              <w:jc w:val="center"/>
              <w:rPr>
                <w:rFonts w:ascii="Times New Roman" w:hAnsi="Times New Roman" w:cs="Times New Roman"/>
                <w:b/>
                <w:bCs/>
                <w:i/>
                <w:iCs/>
                <w:noProof/>
                <w:sz w:val="20"/>
              </w:rPr>
            </w:pPr>
            <w:r>
              <w:rPr>
                <w:rFonts w:ascii="Times New Roman" w:hAnsi="Times New Roman"/>
                <w:b/>
                <w:bCs/>
                <w:i/>
                <w:iCs/>
                <w:noProof/>
                <w:sz w:val="20"/>
              </w:rPr>
              <w:t>Différence</w:t>
            </w:r>
          </w:p>
        </w:tc>
      </w:tr>
      <w:tr>
        <w:trPr>
          <w:jc w:val="center"/>
        </w:trPr>
        <w:tc>
          <w:tcPr>
            <w:tcW w:w="550" w:type="dxa"/>
            <w:tcBorders>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p>
        </w:tc>
        <w:tc>
          <w:tcPr>
            <w:tcW w:w="3185" w:type="dxa"/>
            <w:tcBorders>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w:t>
            </w:r>
          </w:p>
        </w:tc>
        <w:tc>
          <w:tcPr>
            <w:tcW w:w="168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w:t>
            </w:r>
          </w:p>
        </w:tc>
        <w:tc>
          <w:tcPr>
            <w:tcW w:w="192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Part du Royaume-Uni dans l’assiette TVA non écrêtée</w:t>
            </w:r>
          </w:p>
        </w:tc>
        <w:tc>
          <w:tcPr>
            <w:tcW w:w="1800" w:type="dxa"/>
            <w:tcBorders>
              <w:top w:val="double" w:sz="6" w:space="0" w:color="auto"/>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17,5900 %</w:t>
            </w:r>
          </w:p>
        </w:tc>
        <w:tc>
          <w:tcPr>
            <w:tcW w:w="168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17,3576 %</w:t>
            </w:r>
          </w:p>
        </w:tc>
        <w:tc>
          <w:tcPr>
            <w:tcW w:w="192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- 0,2324 %</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Part du Royaume-Uni dans le total des dépenses réparties, ajusté des dépenses liées à l'élargissement</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7,6814 %</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7,6922 %</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+ 0,0108 %</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18"/>
                <w:szCs w:val="18"/>
              </w:rPr>
            </w:pPr>
            <w:r>
              <w:rPr>
                <w:rFonts w:ascii="Times New Roman" w:hAnsi="Times New Roman"/>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9,9086 %</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9,6654 %</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- 0,2431 %</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Total des dépenses réparties</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117 477 286 403</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117 460 512 555</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- 16 773 848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Dépenses liées à l'élargissement</w:t>
            </w:r>
            <w:r>
              <w:rPr>
                <w:noProof/>
              </w:rPr>
              <w:t xml:space="preserve"> </w:t>
            </w:r>
            <w:r>
              <w:rPr>
                <w:noProof/>
              </w:rPr>
              <w:br/>
            </w:r>
            <w:r>
              <w:rPr>
                <w:rFonts w:ascii="Times New Roman" w:hAnsi="Times New Roman"/>
                <w:noProof/>
                <w:sz w:val="20"/>
              </w:rPr>
              <w:t>= (5a) + (5b)</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25 506 896 869</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25 403 051 464</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- 103 845 405</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Dépenses de préadhésion</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0</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0</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Dépenses liées à l’article 4, paragraphe 1, point g)</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25 506 896 869</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25 403 051 464</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- 103 845 405</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Total des dépenses réparties, ajusté des dépenses liées à l’élargissement = (4) - (5)</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91 970 389 534</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92 057 461 091</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+ 87 071 558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Montant initial de la correction britannique = (3) x (6) x 0,66</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6 014 542 348</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5 872 505 812</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- 142 036 536</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Avantage du Royaume-Uni</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1 128 635 343</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xml:space="preserve"> 851 694 541</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- 276 940 802</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Correction de base en faveur du Royaume-Uni = (7) - (8)</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4 885 907 005</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5 020 811 271</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+ 134 904 266</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Gains exceptionnels provenant des RPT</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- 46 683 873</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- 40 846 944</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+ 5 836 929</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Correction britannique = (9) - (10)</w:t>
            </w:r>
          </w:p>
        </w:tc>
        <w:tc>
          <w:tcPr>
            <w:tcW w:w="1800" w:type="dxa"/>
            <w:tcBorders>
              <w:top w:val="nil"/>
              <w:left w:val="nil"/>
              <w:bottom w:val="double" w:sz="6" w:space="0" w:color="auto"/>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4 932 590 878</w:t>
            </w:r>
          </w:p>
        </w:tc>
        <w:tc>
          <w:tcPr>
            <w:tcW w:w="168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5 061 658 216</w:t>
            </w:r>
          </w:p>
        </w:tc>
        <w:tc>
          <w:tcPr>
            <w:tcW w:w="192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szCs w:val="20"/>
              </w:rPr>
              <w:t>+ 129 067 338</w:t>
            </w:r>
          </w:p>
        </w:tc>
      </w:tr>
    </w:tbl>
    <w:p>
      <w:pPr>
        <w:spacing w:before="120" w:after="120"/>
        <w:jc w:val="both"/>
        <w:rPr>
          <w:rFonts w:ascii="Times New Roman" w:hAnsi="Times New Roman" w:cs="Times New Roman"/>
          <w:noProof/>
        </w:rPr>
      </w:pPr>
      <w:r>
        <w:rPr>
          <w:rFonts w:ascii="Times New Roman" w:hAnsi="Times New Roman"/>
          <w:noProof/>
        </w:rPr>
        <w:t xml:space="preserve">Le </w:t>
      </w:r>
      <w:r>
        <w:rPr>
          <w:rFonts w:ascii="Times New Roman" w:hAnsi="Times New Roman"/>
          <w:i/>
          <w:noProof/>
        </w:rPr>
        <w:t>montant définitif</w:t>
      </w:r>
      <w:r>
        <w:rPr>
          <w:rFonts w:ascii="Times New Roman" w:hAnsi="Times New Roman"/>
          <w:noProof/>
        </w:rPr>
        <w:t xml:space="preserve"> de la correction britannique pour 2016 est supérieur de quelque 129 millions d’EUR à la </w:t>
      </w:r>
      <w:r>
        <w:rPr>
          <w:rFonts w:ascii="Times New Roman" w:hAnsi="Times New Roman"/>
          <w:i/>
          <w:noProof/>
        </w:rPr>
        <w:t>première mise à jour</w:t>
      </w:r>
      <w:r>
        <w:rPr>
          <w:rFonts w:ascii="Times New Roman" w:hAnsi="Times New Roman"/>
          <w:noProof/>
        </w:rPr>
        <w:t xml:space="preserve"> de la correction britannique pour 2016 figurant dans le BR nº 6/2017, essentiellement en raison des mises à jour des assiettes TVA et RNB communiquées par les États membres à l’automne 2019.</w:t>
      </w:r>
    </w:p>
    <w:p>
      <w:pPr>
        <w:tabs>
          <w:tab w:val="left" w:pos="851"/>
        </w:tabs>
        <w:rPr>
          <w:rFonts w:ascii="Times New Roman" w:hAnsi="Times New Roman" w:cs="Times New Roman"/>
          <w:bCs/>
          <w:noProof/>
          <w:szCs w:val="28"/>
          <w:u w:val="single"/>
        </w:rPr>
      </w:pPr>
      <w:r>
        <w:rPr>
          <w:rFonts w:ascii="Times New Roman" w:hAnsi="Times New Roman"/>
          <w:bCs/>
          <w:noProof/>
          <w:szCs w:val="28"/>
          <w:u w:val="single"/>
        </w:rPr>
        <w:t>2.3.2.5</w:t>
      </w:r>
      <w:r>
        <w:rPr>
          <w:noProof/>
          <w:u w:val="single"/>
        </w:rPr>
        <w:tab/>
      </w:r>
      <w:r>
        <w:rPr>
          <w:rFonts w:ascii="Times New Roman" w:hAnsi="Times New Roman"/>
          <w:bCs/>
          <w:noProof/>
          <w:szCs w:val="28"/>
          <w:u w:val="single"/>
        </w:rPr>
        <w:t>Correction britannique 2015</w:t>
      </w:r>
    </w:p>
    <w:p>
      <w:pPr>
        <w:spacing w:before="120" w:after="120"/>
        <w:jc w:val="both"/>
        <w:rPr>
          <w:rFonts w:ascii="Times New Roman" w:hAnsi="Times New Roman" w:cs="Times New Roman"/>
          <w:noProof/>
        </w:rPr>
      </w:pPr>
      <w:r>
        <w:rPr>
          <w:rFonts w:ascii="Times New Roman" w:hAnsi="Times New Roman"/>
          <w:noProof/>
        </w:rPr>
        <w:t xml:space="preserve">Le tableau ci-après résume les différences entre la </w:t>
      </w:r>
      <w:r>
        <w:rPr>
          <w:rFonts w:ascii="Times New Roman" w:hAnsi="Times New Roman"/>
          <w:i/>
          <w:noProof/>
        </w:rPr>
        <w:t>première mise à jour</w:t>
      </w:r>
      <w:r>
        <w:rPr>
          <w:rFonts w:ascii="Times New Roman" w:hAnsi="Times New Roman"/>
          <w:noProof/>
        </w:rPr>
        <w:t xml:space="preserve"> de la correction britannique pour 2015 figurant dans le budget rectificatif nº 5/2016 et le </w:t>
      </w:r>
      <w:r>
        <w:rPr>
          <w:rFonts w:ascii="Times New Roman" w:hAnsi="Times New Roman"/>
          <w:i/>
          <w:noProof/>
        </w:rPr>
        <w:t>montant définitif</w:t>
      </w:r>
      <w:r>
        <w:rPr>
          <w:rFonts w:ascii="Times New Roman" w:hAnsi="Times New Roman"/>
          <w:noProof/>
        </w:rPr>
        <w:t xml:space="preserve"> de la correction pour 2015 à inscrire dans le présent PBR.</w:t>
      </w:r>
    </w:p>
    <w:tbl>
      <w:tblPr>
        <w:tblW w:w="9135" w:type="dxa"/>
        <w:jc w:val="center"/>
        <w:tblLayout w:type="fixed"/>
        <w:tblLook w:val="0000" w:firstRow="0" w:lastRow="0" w:firstColumn="0" w:lastColumn="0" w:noHBand="0" w:noVBand="0"/>
      </w:tblPr>
      <w:tblGrid>
        <w:gridCol w:w="550"/>
        <w:gridCol w:w="3185"/>
        <w:gridCol w:w="1800"/>
        <w:gridCol w:w="1680"/>
        <w:gridCol w:w="1920"/>
      </w:tblGrid>
      <w:tr>
        <w:trPr>
          <w:trHeight w:val="831"/>
          <w:tblHeader/>
          <w:jc w:val="center"/>
        </w:trPr>
        <w:tc>
          <w:tcPr>
            <w:tcW w:w="550" w:type="dxa"/>
            <w:tcBorders>
              <w:top w:val="nil"/>
              <w:left w:val="nil"/>
              <w:right w:val="nil"/>
            </w:tcBorders>
            <w:shd w:val="clear" w:color="auto" w:fill="auto"/>
            <w:noWrap/>
            <w:vAlign w:val="bottom"/>
          </w:tcPr>
          <w:p>
            <w:pPr>
              <w:spacing w:after="120"/>
              <w:rPr>
                <w:rFonts w:ascii="Times New Roman" w:hAnsi="Times New Roman" w:cs="Times New Roman"/>
                <w:noProof/>
                <w:sz w:val="20"/>
                <w:highlight w:val="yellow"/>
              </w:rPr>
            </w:pPr>
          </w:p>
        </w:tc>
        <w:tc>
          <w:tcPr>
            <w:tcW w:w="3185" w:type="dxa"/>
            <w:tcBorders>
              <w:top w:val="nil"/>
              <w:left w:val="nil"/>
              <w:right w:val="nil"/>
            </w:tcBorders>
            <w:shd w:val="clear" w:color="auto" w:fill="auto"/>
            <w:noWrap/>
            <w:vAlign w:val="center"/>
          </w:tcPr>
          <w:p>
            <w:pPr>
              <w:autoSpaceDE w:val="0"/>
              <w:autoSpaceDN w:val="0"/>
              <w:adjustRightInd w:val="0"/>
              <w:spacing w:after="120"/>
              <w:jc w:val="center"/>
              <w:rPr>
                <w:rFonts w:ascii="Times New Roman" w:hAnsi="Times New Roman" w:cs="Times New Roman"/>
                <w:b/>
                <w:noProof/>
                <w:color w:val="000000"/>
              </w:rPr>
            </w:pPr>
            <w:r>
              <w:rPr>
                <w:rFonts w:ascii="Times New Roman" w:hAnsi="Times New Roman"/>
                <w:b/>
                <w:noProof/>
                <w:color w:val="000000"/>
              </w:rPr>
              <w:t>Correction britannique 2015</w:t>
            </w:r>
          </w:p>
          <w:p>
            <w:pPr>
              <w:spacing w:after="120"/>
              <w:rPr>
                <w:rFonts w:ascii="Times New Roman" w:hAnsi="Times New Roman" w:cs="Times New Roman"/>
                <w:noProof/>
              </w:rPr>
            </w:pP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spacing w:after="120"/>
              <w:jc w:val="center"/>
              <w:rPr>
                <w:rFonts w:ascii="Times New Roman" w:hAnsi="Times New Roman" w:cs="Times New Roman"/>
                <w:b/>
                <w:bCs/>
                <w:noProof/>
                <w:sz w:val="20"/>
              </w:rPr>
            </w:pPr>
            <w:r>
              <w:rPr>
                <w:rFonts w:ascii="Times New Roman" w:hAnsi="Times New Roman"/>
                <w:b/>
                <w:bCs/>
                <w:noProof/>
                <w:sz w:val="20"/>
              </w:rPr>
              <w:t>Correction britannique 2015</w:t>
            </w:r>
            <w:r>
              <w:rPr>
                <w:noProof/>
              </w:rPr>
              <w:t xml:space="preserve"> </w:t>
            </w:r>
            <w:r>
              <w:rPr>
                <w:noProof/>
              </w:rPr>
              <w:br/>
            </w:r>
            <w:r>
              <w:rPr>
                <w:rFonts w:ascii="Times New Roman" w:hAnsi="Times New Roman"/>
                <w:b/>
                <w:bCs/>
                <w:noProof/>
                <w:sz w:val="20"/>
              </w:rPr>
              <w:t>1</w:t>
            </w:r>
            <w:r>
              <w:rPr>
                <w:rFonts w:ascii="Times New Roman" w:hAnsi="Times New Roman"/>
                <w:b/>
                <w:bCs/>
                <w:noProof/>
                <w:sz w:val="20"/>
                <w:vertAlign w:val="superscript"/>
              </w:rPr>
              <w:t>re</w:t>
            </w:r>
            <w:r>
              <w:rPr>
                <w:rFonts w:ascii="Times New Roman" w:hAnsi="Times New Roman"/>
                <w:b/>
                <w:bCs/>
                <w:noProof/>
                <w:sz w:val="20"/>
              </w:rPr>
              <w:t xml:space="preserve"> MISE À JOUR </w:t>
            </w:r>
            <w:r>
              <w:rPr>
                <w:noProof/>
              </w:rPr>
              <w:br/>
            </w:r>
            <w:r>
              <w:rPr>
                <w:rFonts w:ascii="Times New Roman" w:hAnsi="Times New Roman"/>
                <w:b/>
                <w:bCs/>
                <w:noProof/>
                <w:sz w:val="20"/>
              </w:rPr>
              <w:t>BR 5/2016</w:t>
            </w:r>
          </w:p>
        </w:tc>
        <w:tc>
          <w:tcPr>
            <w:tcW w:w="1680" w:type="dxa"/>
            <w:tcBorders>
              <w:top w:val="double" w:sz="6" w:space="0" w:color="auto"/>
              <w:left w:val="nil"/>
              <w:bottom w:val="double" w:sz="6" w:space="0" w:color="auto"/>
              <w:right w:val="double" w:sz="6" w:space="0" w:color="auto"/>
            </w:tcBorders>
            <w:shd w:val="clear" w:color="auto" w:fill="E0E0E0"/>
            <w:vAlign w:val="center"/>
          </w:tcPr>
          <w:p>
            <w:pPr>
              <w:spacing w:after="120"/>
              <w:jc w:val="center"/>
              <w:rPr>
                <w:rFonts w:ascii="Times New Roman" w:hAnsi="Times New Roman" w:cs="Times New Roman"/>
                <w:b/>
                <w:bCs/>
                <w:noProof/>
                <w:sz w:val="20"/>
              </w:rPr>
            </w:pPr>
            <w:r>
              <w:rPr>
                <w:rFonts w:ascii="Times New Roman" w:hAnsi="Times New Roman"/>
                <w:b/>
                <w:bCs/>
                <w:noProof/>
                <w:sz w:val="20"/>
              </w:rPr>
              <w:t>Correction britannique 2015</w:t>
            </w:r>
            <w:r>
              <w:rPr>
                <w:noProof/>
              </w:rPr>
              <w:t xml:space="preserve"> </w:t>
            </w:r>
            <w:r>
              <w:rPr>
                <w:noProof/>
              </w:rPr>
              <w:br/>
            </w:r>
            <w:r>
              <w:rPr>
                <w:rFonts w:ascii="Times New Roman" w:hAnsi="Times New Roman"/>
                <w:b/>
                <w:bCs/>
                <w:noProof/>
                <w:sz w:val="20"/>
              </w:rPr>
              <w:t>MONTANT DÉFINITIF</w:t>
            </w:r>
            <w:r>
              <w:rPr>
                <w:noProof/>
              </w:rPr>
              <w:t xml:space="preserve"> </w:t>
            </w:r>
            <w:r>
              <w:rPr>
                <w:noProof/>
              </w:rPr>
              <w:br/>
            </w:r>
            <w:r>
              <w:rPr>
                <w:rFonts w:ascii="Times New Roman" w:hAnsi="Times New Roman"/>
                <w:b/>
                <w:bCs/>
                <w:noProof/>
                <w:sz w:val="20"/>
              </w:rPr>
              <w:t>PBR 7/2020</w:t>
            </w:r>
          </w:p>
        </w:tc>
        <w:tc>
          <w:tcPr>
            <w:tcW w:w="1920" w:type="dxa"/>
            <w:tcBorders>
              <w:top w:val="double" w:sz="6" w:space="0" w:color="auto"/>
              <w:left w:val="nil"/>
              <w:bottom w:val="double" w:sz="6" w:space="0" w:color="auto"/>
              <w:right w:val="double" w:sz="6" w:space="0" w:color="auto"/>
            </w:tcBorders>
            <w:shd w:val="clear" w:color="auto" w:fill="E0E0E0"/>
            <w:noWrap/>
            <w:vAlign w:val="center"/>
          </w:tcPr>
          <w:p>
            <w:pPr>
              <w:spacing w:after="120"/>
              <w:jc w:val="center"/>
              <w:rPr>
                <w:rFonts w:ascii="Times New Roman" w:hAnsi="Times New Roman" w:cs="Times New Roman"/>
                <w:b/>
                <w:bCs/>
                <w:i/>
                <w:iCs/>
                <w:noProof/>
                <w:sz w:val="20"/>
              </w:rPr>
            </w:pPr>
            <w:r>
              <w:rPr>
                <w:rFonts w:ascii="Times New Roman" w:hAnsi="Times New Roman"/>
                <w:b/>
                <w:bCs/>
                <w:i/>
                <w:iCs/>
                <w:noProof/>
                <w:sz w:val="20"/>
              </w:rPr>
              <w:t>Différence</w:t>
            </w:r>
          </w:p>
        </w:tc>
      </w:tr>
      <w:tr>
        <w:trPr>
          <w:jc w:val="center"/>
        </w:trPr>
        <w:tc>
          <w:tcPr>
            <w:tcW w:w="550" w:type="dxa"/>
            <w:tcBorders>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p>
        </w:tc>
        <w:tc>
          <w:tcPr>
            <w:tcW w:w="3185" w:type="dxa"/>
            <w:tcBorders>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w:t>
            </w:r>
          </w:p>
        </w:tc>
        <w:tc>
          <w:tcPr>
            <w:tcW w:w="168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w:t>
            </w:r>
          </w:p>
        </w:tc>
        <w:tc>
          <w:tcPr>
            <w:tcW w:w="192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Part du Royaume-Uni dans l’assiette TVA non écrêtée</w:t>
            </w:r>
          </w:p>
        </w:tc>
        <w:tc>
          <w:tcPr>
            <w:tcW w:w="1800" w:type="dxa"/>
            <w:tcBorders>
              <w:top w:val="double" w:sz="6" w:space="0" w:color="auto"/>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19,2145 %</w:t>
            </w:r>
          </w:p>
        </w:tc>
        <w:tc>
          <w:tcPr>
            <w:tcW w:w="168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19,1419 %</w:t>
            </w:r>
          </w:p>
        </w:tc>
        <w:tc>
          <w:tcPr>
            <w:tcW w:w="192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-0,0726 %</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Part du Royaume-Uni dans le total des dépenses réparties, ajusté des dépenses liées à l'élargissement</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7,5910 %</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7,5894 %</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-0,0016 %</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18"/>
                <w:szCs w:val="18"/>
              </w:rPr>
            </w:pPr>
            <w:r>
              <w:rPr>
                <w:rFonts w:ascii="Times New Roman" w:hAnsi="Times New Roman"/>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11,6235 %</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11,5525 %</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-0,0710 %</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Total des dépenses réparties</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129 194 773 448</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129 135 893 336</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- 58 880 112</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Dépenses liées à l'élargissement</w:t>
            </w:r>
            <w:r>
              <w:rPr>
                <w:noProof/>
              </w:rPr>
              <w:t xml:space="preserve"> </w:t>
            </w:r>
            <w:r>
              <w:rPr>
                <w:noProof/>
              </w:rPr>
              <w:br/>
            </w:r>
            <w:r>
              <w:rPr>
                <w:rFonts w:ascii="Times New Roman" w:hAnsi="Times New Roman"/>
                <w:noProof/>
                <w:sz w:val="20"/>
              </w:rPr>
              <w:t>= (5a) + (5b)</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31 733 179 803</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31 639 878 296</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- 93 301 507</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Dépenses de préadhésion</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0</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0</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Dépenses liées à l’article 4, paragraphe 1, point g)</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31 733 179 803</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31 639 878 296</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- 93 301 507</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Total des dépenses réparties, ajusté des dépenses liées à l’élargissement = (4) - (5)</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97 461 593 645</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97 496 015 040</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+ 34 421 395</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Montant initial de la correction britannique = (3) x (6) x 0,66</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7 476 753 663</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7 433 724 758</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- 43 028 905</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Avantage du Royaume-Uni</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1 496 521 393</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1 381 345 015</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- 115 176 378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Correction de base en faveur du Royaume-Uni = (7) - (8)</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5 980 232 270</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6 052 379 743</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+ 72 147 473</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Gains exceptionnels provenant des RPT</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-76 109 576</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-74 320 246</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+ 1 789 330</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noProof/>
                <w:color w:val="000000"/>
                <w:sz w:val="20"/>
              </w:rPr>
              <w:t>Correction britannique = (9) - (10)</w:t>
            </w:r>
          </w:p>
        </w:tc>
        <w:tc>
          <w:tcPr>
            <w:tcW w:w="1800" w:type="dxa"/>
            <w:tcBorders>
              <w:top w:val="nil"/>
              <w:left w:val="nil"/>
              <w:bottom w:val="double" w:sz="6" w:space="0" w:color="auto"/>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6 056 341 847</w:t>
            </w:r>
          </w:p>
        </w:tc>
        <w:tc>
          <w:tcPr>
            <w:tcW w:w="168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6 126 699 989</w:t>
            </w:r>
          </w:p>
        </w:tc>
        <w:tc>
          <w:tcPr>
            <w:tcW w:w="192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i/>
                <w:noProof/>
                <w:sz w:val="20"/>
              </w:rPr>
              <w:t>+70 358 142</w:t>
            </w:r>
          </w:p>
        </w:tc>
      </w:tr>
    </w:tbl>
    <w:p>
      <w:pPr>
        <w:spacing w:before="120" w:after="120"/>
        <w:jc w:val="both"/>
        <w:rPr>
          <w:rFonts w:ascii="Times New Roman" w:hAnsi="Times New Roman" w:cs="Times New Roman"/>
          <w:noProof/>
        </w:rPr>
      </w:pPr>
    </w:p>
    <w:p>
      <w:pPr>
        <w:spacing w:before="120" w:after="120"/>
        <w:jc w:val="both"/>
        <w:rPr>
          <w:rFonts w:ascii="Times New Roman" w:hAnsi="Times New Roman" w:cs="Times New Roman"/>
          <w:noProof/>
        </w:rPr>
      </w:pPr>
      <w:r>
        <w:rPr>
          <w:rFonts w:ascii="Times New Roman" w:hAnsi="Times New Roman"/>
          <w:noProof/>
        </w:rPr>
        <w:t xml:space="preserve">Le </w:t>
      </w:r>
      <w:r>
        <w:rPr>
          <w:rFonts w:ascii="Times New Roman" w:hAnsi="Times New Roman"/>
          <w:i/>
          <w:noProof/>
        </w:rPr>
        <w:t>montant définitif</w:t>
      </w:r>
      <w:r>
        <w:rPr>
          <w:rFonts w:ascii="Times New Roman" w:hAnsi="Times New Roman"/>
          <w:noProof/>
        </w:rPr>
        <w:t xml:space="preserve"> de la correction britannique pour 2015 est supérieur de quelque 70 millions d’EUR à la </w:t>
      </w:r>
      <w:r>
        <w:rPr>
          <w:rFonts w:ascii="Times New Roman" w:hAnsi="Times New Roman"/>
          <w:i/>
          <w:noProof/>
        </w:rPr>
        <w:t>première mise à jour</w:t>
      </w:r>
      <w:r>
        <w:rPr>
          <w:rFonts w:ascii="Times New Roman" w:hAnsi="Times New Roman"/>
          <w:noProof/>
        </w:rPr>
        <w:t xml:space="preserve"> de la correction britannique pour 2015 figurant dans le BR nº 5/2016, essentiellement en raison des mises à jour des assiettes TVA et RNB communiquées par les États membres à l’automne 2018.</w:t>
      </w:r>
    </w:p>
    <w:p>
      <w:pPr>
        <w:keepNext/>
        <w:tabs>
          <w:tab w:val="left" w:pos="850"/>
        </w:tabs>
        <w:spacing w:before="240" w:after="120"/>
        <w:ind w:left="850" w:hanging="850"/>
        <w:jc w:val="both"/>
        <w:outlineLvl w:val="1"/>
        <w:rPr>
          <w:rFonts w:ascii="Times New Roman" w:eastAsia="Calibri" w:hAnsi="Times New Roman" w:cs="Times New Roman"/>
          <w:i/>
          <w:noProof/>
        </w:rPr>
      </w:pPr>
      <w:bookmarkStart w:id="49" w:name="_Toc293417237"/>
      <w:bookmarkStart w:id="50" w:name="_Toc294673196"/>
      <w:bookmarkStart w:id="51" w:name="_Toc357005416"/>
      <w:bookmarkStart w:id="52" w:name="_Toc390436799"/>
      <w:bookmarkStart w:id="53" w:name="_Toc420941904"/>
      <w:bookmarkStart w:id="54" w:name="_Toc461544624"/>
      <w:bookmarkStart w:id="55" w:name="_Toc45028187"/>
      <w:r>
        <w:rPr>
          <w:rFonts w:ascii="Times New Roman" w:hAnsi="Times New Roman"/>
          <w:i/>
          <w:noProof/>
        </w:rPr>
        <w:t>2.3.3</w:t>
      </w:r>
      <w:r>
        <w:rPr>
          <w:noProof/>
        </w:rPr>
        <w:tab/>
      </w:r>
      <w:bookmarkStart w:id="56" w:name="_Toc231879708"/>
      <w:r>
        <w:rPr>
          <w:rFonts w:ascii="Times New Roman" w:hAnsi="Times New Roman"/>
          <w:i/>
          <w:noProof/>
        </w:rPr>
        <w:t>Inscription dans le PBR nº 7/2020 de la première mise à jour de la correction britannique pour 2019, de la deuxième mise à jour de la correction britannique pour 2018, de la troisième mise à jour de la correction britannique pour 2017 et des montants définitifs des corrections britanniques pour 2016 et 201</w:t>
      </w:r>
      <w:bookmarkEnd w:id="56"/>
      <w:bookmarkEnd w:id="49"/>
      <w:bookmarkEnd w:id="50"/>
      <w:bookmarkEnd w:id="51"/>
      <w:bookmarkEnd w:id="52"/>
      <w:bookmarkEnd w:id="53"/>
      <w:bookmarkEnd w:id="54"/>
      <w:r>
        <w:rPr>
          <w:rFonts w:ascii="Times New Roman" w:hAnsi="Times New Roman"/>
          <w:i/>
          <w:noProof/>
        </w:rPr>
        <w:t>5</w:t>
      </w:r>
      <w:bookmarkEnd w:id="55"/>
      <w:r>
        <w:rPr>
          <w:rFonts w:ascii="Times New Roman" w:hAnsi="Times New Roman"/>
          <w:i/>
          <w:noProof/>
        </w:rPr>
        <w:t xml:space="preserve"> </w:t>
      </w:r>
    </w:p>
    <w:p>
      <w:pPr>
        <w:tabs>
          <w:tab w:val="left" w:pos="851"/>
        </w:tabs>
        <w:spacing w:before="120" w:after="120"/>
        <w:rPr>
          <w:rFonts w:ascii="Times New Roman" w:hAnsi="Times New Roman" w:cs="Times New Roman"/>
          <w:bCs/>
          <w:noProof/>
          <w:szCs w:val="28"/>
          <w:u w:val="single"/>
        </w:rPr>
      </w:pPr>
      <w:bookmarkStart w:id="57" w:name="_Toc231879709"/>
      <w:r>
        <w:rPr>
          <w:rFonts w:ascii="Times New Roman" w:hAnsi="Times New Roman"/>
          <w:bCs/>
          <w:noProof/>
          <w:szCs w:val="28"/>
          <w:u w:val="single"/>
        </w:rPr>
        <w:t>2.3.3.1</w:t>
      </w:r>
      <w:r>
        <w:rPr>
          <w:noProof/>
          <w:u w:val="single"/>
        </w:rPr>
        <w:tab/>
      </w:r>
      <w:r>
        <w:rPr>
          <w:rFonts w:ascii="Times New Roman" w:hAnsi="Times New Roman"/>
          <w:bCs/>
          <w:noProof/>
          <w:szCs w:val="28"/>
          <w:u w:val="single"/>
        </w:rPr>
        <w:t>Correction britannique pour 2015 (chapitre 35)</w:t>
      </w:r>
    </w:p>
    <w:p>
      <w:pPr>
        <w:spacing w:before="120" w:after="120"/>
        <w:jc w:val="both"/>
        <w:rPr>
          <w:rFonts w:ascii="Times New Roman" w:hAnsi="Times New Roman" w:cs="Times New Roman"/>
          <w:noProof/>
        </w:rPr>
      </w:pPr>
      <w:r>
        <w:rPr>
          <w:rFonts w:ascii="Times New Roman" w:hAnsi="Times New Roman"/>
          <w:noProof/>
        </w:rPr>
        <w:t xml:space="preserve">Le montant de la correction britannique à budgétiser au chapitre 35 du présent PBR est constitué par la différence entre le </w:t>
      </w:r>
      <w:r>
        <w:rPr>
          <w:rFonts w:ascii="Times New Roman" w:hAnsi="Times New Roman"/>
          <w:i/>
          <w:noProof/>
        </w:rPr>
        <w:t>montant définitif</w:t>
      </w:r>
      <w:r>
        <w:rPr>
          <w:rFonts w:ascii="Times New Roman" w:hAnsi="Times New Roman"/>
          <w:noProof/>
        </w:rPr>
        <w:t xml:space="preserve"> de la correction britannique pour 2015 (soit 6 126 699 989 EUR) et la </w:t>
      </w:r>
      <w:r>
        <w:rPr>
          <w:rFonts w:ascii="Times New Roman" w:hAnsi="Times New Roman"/>
          <w:i/>
          <w:noProof/>
        </w:rPr>
        <w:t>première mise à jour</w:t>
      </w:r>
      <w:r>
        <w:rPr>
          <w:rFonts w:ascii="Times New Roman" w:hAnsi="Times New Roman"/>
          <w:noProof/>
        </w:rPr>
        <w:t xml:space="preserve"> de la correction britannique pour 2015 (soit un montant de 6 056 341 847 EUR inscrit dans le BR nº 5/2016), qui s’élève à 70 358 142 EUR.</w:t>
      </w:r>
    </w:p>
    <w:p>
      <w:pPr>
        <w:spacing w:before="120" w:after="240"/>
        <w:jc w:val="both"/>
        <w:rPr>
          <w:rFonts w:ascii="Times New Roman" w:hAnsi="Times New Roman" w:cs="Times New Roman"/>
          <w:noProof/>
        </w:rPr>
      </w:pPr>
      <w:r>
        <w:rPr>
          <w:rFonts w:ascii="Times New Roman" w:hAnsi="Times New Roman"/>
          <w:noProof/>
        </w:rPr>
        <w:t>Ce montant doit être financé en fonction des assiettes RNB 2015 révisées telles qu’elles étaient connues à la fin de 2018. La budgétisation de ce montant au chapitre 35 est récapitulée ci-dessous:</w:t>
      </w:r>
    </w:p>
    <w:tbl>
      <w:tblPr>
        <w:tblW w:w="4220" w:type="dxa"/>
        <w:jc w:val="center"/>
        <w:tblLook w:val="0000" w:firstRow="0" w:lastRow="0" w:firstColumn="0" w:lastColumn="0" w:noHBand="0" w:noVBand="0"/>
      </w:tblPr>
      <w:tblGrid>
        <w:gridCol w:w="549"/>
        <w:gridCol w:w="1383"/>
        <w:gridCol w:w="809"/>
        <w:gridCol w:w="1479"/>
      </w:tblGrid>
      <w:tr>
        <w:trPr>
          <w:tblHeade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spacing w:after="120"/>
              <w:jc w:val="center"/>
              <w:rPr>
                <w:rFonts w:ascii="Times New Roman" w:hAnsi="Times New Roman" w:cs="Times New Roman"/>
                <w:b/>
                <w:bCs/>
                <w:noProof/>
                <w:sz w:val="20"/>
              </w:rPr>
            </w:pPr>
            <w:r>
              <w:rPr>
                <w:rFonts w:ascii="Times New Roman" w:hAnsi="Times New Roman"/>
                <w:b/>
                <w:bCs/>
                <w:noProof/>
                <w:sz w:val="20"/>
              </w:rPr>
              <w:t>Correction britannique pour 2015 — chapitre 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rPr>
            </w:pPr>
            <w:r>
              <w:rPr>
                <w:rFonts w:ascii="Times New Roman" w:hAnsi="Times New Roman"/>
                <w:b/>
                <w:noProof/>
                <w:sz w:val="20"/>
              </w:rPr>
              <w:t>BE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1 267 154</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LU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866 089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rPr>
            </w:pPr>
            <w:r>
              <w:rPr>
                <w:rFonts w:ascii="Times New Roman" w:hAnsi="Times New Roman"/>
                <w:b/>
                <w:noProof/>
                <w:sz w:val="20"/>
              </w:rPr>
              <w:t>BG</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3 148 896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HU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2 764 651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CZ</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4 903 895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MT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310 080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DK</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6 556 672</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NL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-260 138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DE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4 385 985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AT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1 362 429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EE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303 635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PL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-9 542 201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IE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20 284 145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PT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476 355</w:t>
            </w:r>
          </w:p>
        </w:tc>
      </w:tr>
      <w:tr>
        <w:trPr>
          <w:trHeight w:val="255"/>
          <w:jc w:val="center"/>
        </w:trPr>
        <w:tc>
          <w:tcPr>
            <w:tcW w:w="549" w:type="dxa"/>
            <w:tcBorders>
              <w:top w:val="nil"/>
              <w:left w:val="single" w:sz="8" w:space="0" w:color="auto"/>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EL</w:t>
            </w:r>
          </w:p>
        </w:tc>
        <w:tc>
          <w:tcPr>
            <w:tcW w:w="1383" w:type="dxa"/>
            <w:tcBorders>
              <w:top w:val="nil"/>
              <w:left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504 408</w:t>
            </w:r>
          </w:p>
        </w:tc>
        <w:tc>
          <w:tcPr>
            <w:tcW w:w="809" w:type="dxa"/>
            <w:tcBorders>
              <w:top w:val="nil"/>
              <w:left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RO</w:t>
            </w:r>
          </w:p>
        </w:tc>
        <w:tc>
          <w:tcPr>
            <w:tcW w:w="1479" w:type="dxa"/>
            <w:tcBorders>
              <w:top w:val="nil"/>
              <w:left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1 609 226</w:t>
            </w:r>
          </w:p>
        </w:tc>
      </w:tr>
      <w:tr>
        <w:trPr>
          <w:trHeight w:val="255"/>
          <w:jc w:val="center"/>
        </w:trPr>
        <w:tc>
          <w:tcPr>
            <w:tcW w:w="549" w:type="dxa"/>
            <w:tcBorders>
              <w:top w:val="nil"/>
              <w:left w:val="single" w:sz="8" w:space="0" w:color="auto"/>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ES</w:t>
            </w:r>
          </w:p>
        </w:tc>
        <w:tc>
          <w:tcPr>
            <w:tcW w:w="1383" w:type="dxa"/>
            <w:tcBorders>
              <w:top w:val="nil"/>
              <w:left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1 272 857</w:t>
            </w:r>
          </w:p>
        </w:tc>
        <w:tc>
          <w:tcPr>
            <w:tcW w:w="809" w:type="dxa"/>
            <w:tcBorders>
              <w:top w:val="nil"/>
              <w:left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SI</w:t>
            </w:r>
          </w:p>
        </w:tc>
        <w:tc>
          <w:tcPr>
            <w:tcW w:w="1479" w:type="dxa"/>
            <w:tcBorders>
              <w:top w:val="nil"/>
              <w:left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123 083</w:t>
            </w:r>
          </w:p>
        </w:tc>
      </w:tr>
      <w:tr>
        <w:trPr>
          <w:trHeight w:val="255"/>
          <w:jc w:val="center"/>
        </w:trPr>
        <w:tc>
          <w:tcPr>
            <w:tcW w:w="549" w:type="dxa"/>
            <w:tcBorders>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FR</w:t>
            </w:r>
          </w:p>
        </w:tc>
        <w:tc>
          <w:tcPr>
            <w:tcW w:w="1383" w:type="dxa"/>
            <w:tcBorders>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5 838 257</w:t>
            </w:r>
          </w:p>
        </w:tc>
        <w:tc>
          <w:tcPr>
            <w:tcW w:w="809" w:type="dxa"/>
            <w:tcBorders>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SK</w:t>
            </w:r>
          </w:p>
        </w:tc>
        <w:tc>
          <w:tcPr>
            <w:tcW w:w="1479" w:type="dxa"/>
            <w:tcBorders>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1 555 233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HR</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1 207 446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FI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4 733 265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IT</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19 287 491</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SE</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-2 400 255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CY</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627 536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LV</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-619 579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UK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- 70 358 142</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LT</w:t>
            </w:r>
          </w:p>
        </w:tc>
        <w:tc>
          <w:tcPr>
            <w:tcW w:w="1383" w:type="dxa"/>
            <w:tcBorders>
              <w:top w:val="nil"/>
              <w:left w:val="nil"/>
              <w:bottom w:val="single" w:sz="8" w:space="0" w:color="auto"/>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rPr>
              <w:t>-208 473</w:t>
            </w:r>
          </w:p>
        </w:tc>
        <w:tc>
          <w:tcPr>
            <w:tcW w:w="809" w:type="dxa"/>
            <w:tcBorders>
              <w:top w:val="single" w:sz="8" w:space="0" w:color="auto"/>
              <w:left w:val="single" w:sz="8" w:space="0" w:color="auto"/>
              <w:bottom w:val="single" w:sz="8" w:space="0" w:color="auto"/>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Total</w:t>
            </w:r>
          </w:p>
        </w:tc>
        <w:tc>
          <w:tcPr>
            <w:tcW w:w="1479" w:type="dxa"/>
            <w:tcBorders>
              <w:top w:val="single" w:sz="8" w:space="0" w:color="auto"/>
              <w:left w:val="nil"/>
              <w:bottom w:val="single" w:sz="8" w:space="0" w:color="auto"/>
              <w:right w:val="single" w:sz="8" w:space="0" w:color="auto"/>
            </w:tcBorders>
            <w:shd w:val="clear" w:color="auto" w:fill="auto"/>
            <w:noWrap/>
          </w:tcPr>
          <w:p>
            <w:pPr>
              <w:spacing w:after="120"/>
              <w:jc w:val="right"/>
              <w:rPr>
                <w:rFonts w:ascii="Times New Roman" w:hAnsi="Times New Roman" w:cs="Times New Roman"/>
                <w:b/>
                <w:noProof/>
                <w:sz w:val="20"/>
              </w:rPr>
            </w:pPr>
            <w:r>
              <w:rPr>
                <w:rFonts w:ascii="Times New Roman" w:hAnsi="Times New Roman"/>
                <w:b/>
                <w:noProof/>
                <w:sz w:val="20"/>
              </w:rPr>
              <w:t>0</w:t>
            </w:r>
          </w:p>
        </w:tc>
      </w:tr>
    </w:tbl>
    <w:p>
      <w:pPr>
        <w:tabs>
          <w:tab w:val="left" w:pos="851"/>
        </w:tabs>
        <w:spacing w:before="120" w:after="120"/>
        <w:rPr>
          <w:rFonts w:ascii="Times New Roman" w:hAnsi="Times New Roman" w:cs="Times New Roman"/>
          <w:bCs/>
          <w:noProof/>
          <w:szCs w:val="28"/>
          <w:u w:val="single"/>
          <w:lang w:eastAsia="de-DE"/>
        </w:rPr>
      </w:pPr>
    </w:p>
    <w:p>
      <w:pPr>
        <w:tabs>
          <w:tab w:val="left" w:pos="851"/>
        </w:tabs>
        <w:spacing w:before="120" w:after="120"/>
        <w:rPr>
          <w:rFonts w:ascii="Times New Roman" w:hAnsi="Times New Roman" w:cs="Times New Roman"/>
          <w:bCs/>
          <w:noProof/>
          <w:szCs w:val="28"/>
          <w:u w:val="single"/>
        </w:rPr>
      </w:pPr>
      <w:r>
        <w:rPr>
          <w:rFonts w:ascii="Times New Roman" w:hAnsi="Times New Roman"/>
          <w:bCs/>
          <w:noProof/>
          <w:szCs w:val="28"/>
          <w:u w:val="single"/>
        </w:rPr>
        <w:t>2.3.3.2</w:t>
      </w:r>
      <w:r>
        <w:rPr>
          <w:noProof/>
          <w:u w:val="single"/>
        </w:rPr>
        <w:tab/>
      </w:r>
      <w:r>
        <w:rPr>
          <w:rFonts w:ascii="Times New Roman" w:hAnsi="Times New Roman"/>
          <w:bCs/>
          <w:noProof/>
          <w:szCs w:val="28"/>
          <w:u w:val="single"/>
        </w:rPr>
        <w:t>Correction britannique pour 2016 (chapitre 35)</w:t>
      </w:r>
    </w:p>
    <w:p>
      <w:pPr>
        <w:spacing w:before="120" w:after="120"/>
        <w:jc w:val="both"/>
        <w:rPr>
          <w:rFonts w:ascii="Times New Roman" w:hAnsi="Times New Roman" w:cs="Times New Roman"/>
          <w:noProof/>
        </w:rPr>
      </w:pPr>
      <w:r>
        <w:rPr>
          <w:rFonts w:ascii="Times New Roman" w:hAnsi="Times New Roman"/>
          <w:noProof/>
        </w:rPr>
        <w:t xml:space="preserve">Le montant de la correction britannique à budgétiser au chapitre 35 du présent PBR est constitué par la différence entre le </w:t>
      </w:r>
      <w:r>
        <w:rPr>
          <w:rFonts w:ascii="Times New Roman" w:hAnsi="Times New Roman"/>
          <w:i/>
          <w:noProof/>
        </w:rPr>
        <w:t>montant définitif</w:t>
      </w:r>
      <w:r>
        <w:rPr>
          <w:rFonts w:ascii="Times New Roman" w:hAnsi="Times New Roman"/>
          <w:noProof/>
        </w:rPr>
        <w:t xml:space="preserve"> de la correction britannique pour 2016 (soit 5 061 658 216 EUR) et la </w:t>
      </w:r>
      <w:r>
        <w:rPr>
          <w:rFonts w:ascii="Times New Roman" w:hAnsi="Times New Roman"/>
          <w:i/>
          <w:noProof/>
        </w:rPr>
        <w:t>première mise à jour</w:t>
      </w:r>
      <w:r>
        <w:rPr>
          <w:rFonts w:ascii="Times New Roman" w:hAnsi="Times New Roman"/>
          <w:noProof/>
        </w:rPr>
        <w:t xml:space="preserve"> de la correction britannique pour 2016 (soit un montant de 4 932 590 878 EUR inscrit dans le BR nº 6/2017), qui s’élève à 129 067 338 EUR.</w:t>
      </w:r>
    </w:p>
    <w:p>
      <w:pPr>
        <w:spacing w:before="120" w:after="240"/>
        <w:jc w:val="both"/>
        <w:rPr>
          <w:rFonts w:ascii="Times New Roman" w:hAnsi="Times New Roman" w:cs="Times New Roman"/>
          <w:noProof/>
        </w:rPr>
      </w:pPr>
      <w:r>
        <w:rPr>
          <w:rFonts w:ascii="Times New Roman" w:hAnsi="Times New Roman"/>
          <w:noProof/>
        </w:rPr>
        <w:t>Ce montant doit être financé en fonction des assiettes RNB 2016 révisées telles qu’elles étaient connues à la fin de 2019. La budgétisation de ce montant au chapitre 35 est récapitulée ci-dessous:</w:t>
      </w:r>
    </w:p>
    <w:p>
      <w:pPr>
        <w:spacing w:before="120" w:after="240"/>
        <w:jc w:val="both"/>
        <w:rPr>
          <w:rFonts w:ascii="Times New Roman" w:hAnsi="Times New Roman" w:cs="Times New Roman"/>
          <w:noProof/>
        </w:rPr>
      </w:pPr>
    </w:p>
    <w:tbl>
      <w:tblPr>
        <w:tblW w:w="4220" w:type="dxa"/>
        <w:jc w:val="center"/>
        <w:tblLook w:val="0000" w:firstRow="0" w:lastRow="0" w:firstColumn="0" w:lastColumn="0" w:noHBand="0" w:noVBand="0"/>
      </w:tblPr>
      <w:tblGrid>
        <w:gridCol w:w="549"/>
        <w:gridCol w:w="1383"/>
        <w:gridCol w:w="809"/>
        <w:gridCol w:w="1479"/>
      </w:tblGrid>
      <w:tr>
        <w:trPr>
          <w:tblHeade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spacing w:after="120"/>
              <w:jc w:val="center"/>
              <w:rPr>
                <w:rFonts w:ascii="Times New Roman" w:hAnsi="Times New Roman" w:cs="Times New Roman"/>
                <w:b/>
                <w:bCs/>
                <w:noProof/>
                <w:sz w:val="20"/>
              </w:rPr>
            </w:pPr>
            <w:r>
              <w:rPr>
                <w:rFonts w:ascii="Times New Roman" w:hAnsi="Times New Roman"/>
                <w:b/>
                <w:bCs/>
                <w:noProof/>
                <w:sz w:val="20"/>
              </w:rPr>
              <w:t>Correction britannique pour 2016 — chapitre 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rPr>
            </w:pPr>
            <w:r>
              <w:rPr>
                <w:rFonts w:ascii="Times New Roman" w:hAnsi="Times New Roman"/>
                <w:b/>
                <w:noProof/>
                <w:sz w:val="20"/>
              </w:rPr>
              <w:t>BE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12 381 389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LU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-272 563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rPr>
            </w:pPr>
            <w:r>
              <w:rPr>
                <w:rFonts w:ascii="Times New Roman" w:hAnsi="Times New Roman"/>
                <w:b/>
                <w:noProof/>
                <w:sz w:val="20"/>
              </w:rPr>
              <w:t>BG</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1 683 717</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HU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2 362 157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CZ</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6 602 363</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MT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310 901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DK</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3 769 035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NL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3 455 636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DE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5 007 499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AT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855 227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EE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892 527</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PL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15 053 623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IE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3 060 816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PT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2 825 093</w:t>
            </w:r>
          </w:p>
        </w:tc>
      </w:tr>
      <w:tr>
        <w:trPr>
          <w:trHeight w:val="255"/>
          <w:jc w:val="center"/>
        </w:trPr>
        <w:tc>
          <w:tcPr>
            <w:tcW w:w="549" w:type="dxa"/>
            <w:tcBorders>
              <w:top w:val="nil"/>
              <w:left w:val="single" w:sz="8" w:space="0" w:color="auto"/>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EL</w:t>
            </w:r>
          </w:p>
        </w:tc>
        <w:tc>
          <w:tcPr>
            <w:tcW w:w="1383" w:type="dxa"/>
            <w:tcBorders>
              <w:top w:val="nil"/>
              <w:left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-239 791</w:t>
            </w:r>
          </w:p>
        </w:tc>
        <w:tc>
          <w:tcPr>
            <w:tcW w:w="809" w:type="dxa"/>
            <w:tcBorders>
              <w:top w:val="nil"/>
              <w:left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RO</w:t>
            </w:r>
          </w:p>
        </w:tc>
        <w:tc>
          <w:tcPr>
            <w:tcW w:w="1479" w:type="dxa"/>
            <w:tcBorders>
              <w:top w:val="nil"/>
              <w:left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5 438 400</w:t>
            </w:r>
          </w:p>
        </w:tc>
      </w:tr>
      <w:tr>
        <w:trPr>
          <w:trHeight w:val="255"/>
          <w:jc w:val="center"/>
        </w:trPr>
        <w:tc>
          <w:tcPr>
            <w:tcW w:w="549" w:type="dxa"/>
            <w:tcBorders>
              <w:top w:val="nil"/>
              <w:left w:val="single" w:sz="8" w:space="0" w:color="auto"/>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ES</w:t>
            </w:r>
          </w:p>
        </w:tc>
        <w:tc>
          <w:tcPr>
            <w:tcW w:w="1383" w:type="dxa"/>
            <w:tcBorders>
              <w:top w:val="nil"/>
              <w:left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4 704 411</w:t>
            </w:r>
          </w:p>
        </w:tc>
        <w:tc>
          <w:tcPr>
            <w:tcW w:w="809" w:type="dxa"/>
            <w:tcBorders>
              <w:top w:val="nil"/>
              <w:left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SI</w:t>
            </w:r>
          </w:p>
        </w:tc>
        <w:tc>
          <w:tcPr>
            <w:tcW w:w="1479" w:type="dxa"/>
            <w:tcBorders>
              <w:top w:val="nil"/>
              <w:left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821 604</w:t>
            </w:r>
          </w:p>
        </w:tc>
      </w:tr>
      <w:tr>
        <w:trPr>
          <w:trHeight w:val="255"/>
          <w:jc w:val="center"/>
        </w:trPr>
        <w:tc>
          <w:tcPr>
            <w:tcW w:w="549" w:type="dxa"/>
            <w:tcBorders>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FR</w:t>
            </w:r>
          </w:p>
        </w:tc>
        <w:tc>
          <w:tcPr>
            <w:tcW w:w="1383" w:type="dxa"/>
            <w:tcBorders>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26 115 146</w:t>
            </w:r>
          </w:p>
        </w:tc>
        <w:tc>
          <w:tcPr>
            <w:tcW w:w="809" w:type="dxa"/>
            <w:tcBorders>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SK</w:t>
            </w:r>
          </w:p>
        </w:tc>
        <w:tc>
          <w:tcPr>
            <w:tcW w:w="1479" w:type="dxa"/>
            <w:tcBorders>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454 399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b/>
                <w:noProof/>
                <w:color w:val="000000"/>
                <w:sz w:val="20"/>
              </w:rPr>
              <w:t>HR</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1 550 836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FI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3 348 353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IT</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26 775 334</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SE</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128 390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CY</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893 340</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LV</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185 011</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UK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- 129 067 338</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LT</w:t>
            </w:r>
          </w:p>
        </w:tc>
        <w:tc>
          <w:tcPr>
            <w:tcW w:w="1383" w:type="dxa"/>
            <w:tcBorders>
              <w:top w:val="nil"/>
              <w:left w:val="nil"/>
              <w:bottom w:val="single" w:sz="8" w:space="0" w:color="auto"/>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904 487</w:t>
            </w:r>
          </w:p>
        </w:tc>
        <w:tc>
          <w:tcPr>
            <w:tcW w:w="809" w:type="dxa"/>
            <w:tcBorders>
              <w:top w:val="single" w:sz="8" w:space="0" w:color="auto"/>
              <w:left w:val="single" w:sz="8" w:space="0" w:color="auto"/>
              <w:bottom w:val="single" w:sz="8" w:space="0" w:color="auto"/>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b/>
                <w:noProof/>
                <w:sz w:val="20"/>
              </w:rPr>
              <w:t>Total</w:t>
            </w:r>
          </w:p>
        </w:tc>
        <w:tc>
          <w:tcPr>
            <w:tcW w:w="1479" w:type="dxa"/>
            <w:tcBorders>
              <w:top w:val="single" w:sz="8" w:space="0" w:color="auto"/>
              <w:left w:val="nil"/>
              <w:bottom w:val="single" w:sz="8" w:space="0" w:color="auto"/>
              <w:right w:val="single" w:sz="8" w:space="0" w:color="auto"/>
            </w:tcBorders>
            <w:shd w:val="clear" w:color="auto" w:fill="auto"/>
            <w:noWrap/>
          </w:tcPr>
          <w:p>
            <w:pPr>
              <w:spacing w:after="120"/>
              <w:jc w:val="right"/>
              <w:rPr>
                <w:rFonts w:ascii="Times New Roman" w:hAnsi="Times New Roman" w:cs="Times New Roman"/>
                <w:b/>
                <w:noProof/>
                <w:sz w:val="20"/>
              </w:rPr>
            </w:pPr>
            <w:r>
              <w:rPr>
                <w:rFonts w:ascii="Times New Roman" w:hAnsi="Times New Roman"/>
                <w:b/>
                <w:noProof/>
                <w:sz w:val="20"/>
              </w:rPr>
              <w:t>0</w:t>
            </w:r>
          </w:p>
        </w:tc>
      </w:tr>
    </w:tbl>
    <w:p>
      <w:pPr>
        <w:tabs>
          <w:tab w:val="left" w:pos="851"/>
        </w:tabs>
        <w:spacing w:before="120" w:after="120"/>
        <w:rPr>
          <w:rFonts w:ascii="Times New Roman" w:hAnsi="Times New Roman" w:cs="Times New Roman"/>
          <w:bCs/>
          <w:noProof/>
          <w:szCs w:val="28"/>
          <w:u w:val="single"/>
          <w:lang w:eastAsia="de-DE"/>
        </w:rPr>
      </w:pPr>
    </w:p>
    <w:p>
      <w:pPr>
        <w:tabs>
          <w:tab w:val="left" w:pos="851"/>
        </w:tabs>
        <w:spacing w:before="120" w:after="120"/>
        <w:rPr>
          <w:rFonts w:ascii="Times New Roman" w:hAnsi="Times New Roman" w:cs="Times New Roman"/>
          <w:bCs/>
          <w:noProof/>
          <w:szCs w:val="28"/>
          <w:u w:val="single"/>
        </w:rPr>
      </w:pPr>
      <w:r>
        <w:rPr>
          <w:rFonts w:ascii="Times New Roman" w:hAnsi="Times New Roman"/>
          <w:bCs/>
          <w:noProof/>
          <w:szCs w:val="28"/>
          <w:u w:val="single"/>
        </w:rPr>
        <w:t>2.3.3.3</w:t>
      </w:r>
      <w:r>
        <w:rPr>
          <w:noProof/>
          <w:u w:val="single"/>
        </w:rPr>
        <w:tab/>
      </w:r>
      <w:r>
        <w:rPr>
          <w:rFonts w:ascii="Times New Roman" w:hAnsi="Times New Roman"/>
          <w:bCs/>
          <w:noProof/>
          <w:szCs w:val="28"/>
          <w:u w:val="single"/>
        </w:rPr>
        <w:t>Correction britannique pour 2017 (chapitre 36)</w:t>
      </w:r>
    </w:p>
    <w:p>
      <w:pPr>
        <w:spacing w:before="120" w:after="120"/>
        <w:jc w:val="both"/>
        <w:rPr>
          <w:rFonts w:ascii="Times New Roman" w:hAnsi="Times New Roman" w:cs="Times New Roman"/>
          <w:noProof/>
        </w:rPr>
      </w:pPr>
      <w:r>
        <w:rPr>
          <w:rFonts w:ascii="Times New Roman" w:hAnsi="Times New Roman"/>
          <w:noProof/>
        </w:rPr>
        <w:t xml:space="preserve">Le montant de la correction britannique à budgétiser au chapitre 36 du présent PBR est constitué par la différence entre la </w:t>
      </w:r>
      <w:r>
        <w:rPr>
          <w:rFonts w:ascii="Times New Roman" w:hAnsi="Times New Roman"/>
          <w:i/>
          <w:iCs/>
          <w:noProof/>
        </w:rPr>
        <w:t>troisième mise à jour</w:t>
      </w:r>
      <w:r>
        <w:rPr>
          <w:rFonts w:ascii="Times New Roman" w:hAnsi="Times New Roman"/>
          <w:noProof/>
        </w:rPr>
        <w:t xml:space="preserve"> de la correction britannique pour 2017 (soit 5 158 358 098 EUR) et la </w:t>
      </w:r>
      <w:r>
        <w:rPr>
          <w:rFonts w:ascii="Times New Roman" w:hAnsi="Times New Roman"/>
          <w:i/>
          <w:iCs/>
          <w:noProof/>
        </w:rPr>
        <w:t>première mise à jour</w:t>
      </w:r>
      <w:r>
        <w:rPr>
          <w:rFonts w:ascii="Times New Roman" w:hAnsi="Times New Roman"/>
          <w:noProof/>
        </w:rPr>
        <w:t xml:space="preserve"> de la correction britannique pour 2017 (soit un montant de 4 933 937 643 EUR inscrit dans le BR nº 6/2018), qui s’élève à 224 420 455 EUR.</w:t>
      </w:r>
    </w:p>
    <w:p>
      <w:pPr>
        <w:spacing w:before="120" w:after="240"/>
        <w:jc w:val="both"/>
        <w:rPr>
          <w:rFonts w:ascii="Times New Roman" w:hAnsi="Times New Roman" w:cs="Times New Roman"/>
          <w:noProof/>
        </w:rPr>
      </w:pPr>
      <w:r>
        <w:rPr>
          <w:rFonts w:ascii="Times New Roman" w:hAnsi="Times New Roman"/>
          <w:noProof/>
        </w:rPr>
        <w:t>Ce montant doit être financé en fonction des assiettes RNB 2017 révisées telles qu’elles étaient connues à la fin de 2019. La budgétisation de ce montant au chapitre 36 est récapitulée ci-dessous:</w:t>
      </w:r>
    </w:p>
    <w:tbl>
      <w:tblPr>
        <w:tblW w:w="4220" w:type="dxa"/>
        <w:jc w:val="center"/>
        <w:tblLook w:val="0000" w:firstRow="0" w:lastRow="0" w:firstColumn="0" w:lastColumn="0" w:noHBand="0" w:noVBand="0"/>
      </w:tblPr>
      <w:tblGrid>
        <w:gridCol w:w="549"/>
        <w:gridCol w:w="1383"/>
        <w:gridCol w:w="809"/>
        <w:gridCol w:w="1479"/>
      </w:tblGrid>
      <w:tr>
        <w:trP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spacing w:after="120"/>
              <w:jc w:val="center"/>
              <w:rPr>
                <w:rFonts w:ascii="Times New Roman" w:hAnsi="Times New Roman" w:cs="Times New Roman"/>
                <w:b/>
                <w:bCs/>
                <w:noProof/>
                <w:sz w:val="20"/>
                <w:szCs w:val="20"/>
              </w:rPr>
            </w:pPr>
            <w:r>
              <w:rPr>
                <w:rFonts w:ascii="Times New Roman" w:hAnsi="Times New Roman"/>
                <w:b/>
                <w:bCs/>
                <w:noProof/>
                <w:sz w:val="20"/>
                <w:szCs w:val="20"/>
              </w:rPr>
              <w:t>Correction britannique pour 2017 — chapitre 36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szCs w:val="20"/>
              </w:rPr>
            </w:pPr>
            <w:r>
              <w:rPr>
                <w:rFonts w:ascii="Times New Roman" w:hAnsi="Times New Roman"/>
                <w:b/>
                <w:noProof/>
                <w:sz w:val="20"/>
                <w:szCs w:val="20"/>
              </w:rPr>
              <w:t>BE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15 856 715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LU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374 066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szCs w:val="20"/>
              </w:rPr>
            </w:pPr>
            <w:r>
              <w:rPr>
                <w:rFonts w:ascii="Times New Roman" w:hAnsi="Times New Roman"/>
                <w:b/>
                <w:noProof/>
                <w:sz w:val="20"/>
                <w:szCs w:val="20"/>
              </w:rPr>
              <w:t>BG</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3 231 445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HU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 xml:space="preserve"> 3 692 230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CZ</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3 814 138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MT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265 690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DK</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10 232 027</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NL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4 759 697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DE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12 286 393</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AT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1 361 203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EE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1 271 298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PL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5 297 081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IE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5 263 528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PT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6 203 836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EL</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4 209 140</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RO</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5 382 461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ES</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23 937 729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SI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765 633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FR</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58 977 709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SK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1 500 046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HR</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1 777 843</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FI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5 572 775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IT</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45 010 069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SE</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257 162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CY</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752 318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 xml:space="preserve"> </w:t>
            </w:r>
          </w:p>
        </w:tc>
      </w:tr>
      <w:tr>
        <w:trPr>
          <w:trHeight w:val="270"/>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LV</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741 095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UK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- 224 420 455</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LT</w:t>
            </w:r>
          </w:p>
        </w:tc>
        <w:tc>
          <w:tcPr>
            <w:tcW w:w="1383" w:type="dxa"/>
            <w:tcBorders>
              <w:top w:val="nil"/>
              <w:left w:val="nil"/>
              <w:bottom w:val="single" w:sz="8" w:space="0" w:color="auto"/>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1 627 128</w:t>
            </w:r>
          </w:p>
        </w:tc>
        <w:tc>
          <w:tcPr>
            <w:tcW w:w="809" w:type="dxa"/>
            <w:tcBorders>
              <w:top w:val="single" w:sz="8" w:space="0" w:color="auto"/>
              <w:left w:val="single" w:sz="8" w:space="0" w:color="auto"/>
              <w:bottom w:val="single" w:sz="8" w:space="0" w:color="auto"/>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Total</w:t>
            </w:r>
          </w:p>
        </w:tc>
        <w:tc>
          <w:tcPr>
            <w:tcW w:w="1479" w:type="dxa"/>
            <w:tcBorders>
              <w:top w:val="single" w:sz="8" w:space="0" w:color="auto"/>
              <w:left w:val="nil"/>
              <w:bottom w:val="single" w:sz="8" w:space="0" w:color="auto"/>
              <w:right w:val="single" w:sz="8" w:space="0" w:color="auto"/>
            </w:tcBorders>
            <w:shd w:val="clear" w:color="auto" w:fill="auto"/>
            <w:noWrap/>
          </w:tcPr>
          <w:p>
            <w:pPr>
              <w:spacing w:after="120"/>
              <w:jc w:val="right"/>
              <w:rPr>
                <w:rFonts w:ascii="Times New Roman" w:hAnsi="Times New Roman" w:cs="Times New Roman"/>
                <w:b/>
                <w:noProof/>
                <w:sz w:val="20"/>
                <w:szCs w:val="20"/>
              </w:rPr>
            </w:pPr>
            <w:r>
              <w:rPr>
                <w:rFonts w:ascii="Times New Roman" w:hAnsi="Times New Roman"/>
                <w:b/>
                <w:noProof/>
                <w:sz w:val="20"/>
                <w:szCs w:val="20"/>
              </w:rPr>
              <w:t>0</w:t>
            </w:r>
          </w:p>
        </w:tc>
      </w:tr>
    </w:tbl>
    <w:p>
      <w:pPr>
        <w:keepNext/>
        <w:numPr>
          <w:ilvl w:val="3"/>
          <w:numId w:val="0"/>
        </w:numPr>
        <w:tabs>
          <w:tab w:val="num" w:pos="851"/>
        </w:tabs>
        <w:spacing w:before="120" w:after="120"/>
        <w:jc w:val="both"/>
        <w:outlineLvl w:val="3"/>
        <w:rPr>
          <w:rFonts w:ascii="Times New Roman" w:hAnsi="Times New Roman" w:cs="Times New Roman"/>
          <w:b/>
          <w:bCs/>
          <w:noProof/>
          <w:szCs w:val="28"/>
          <w:lang w:eastAsia="de-DE"/>
        </w:rPr>
      </w:pPr>
    </w:p>
    <w:p>
      <w:pPr>
        <w:tabs>
          <w:tab w:val="left" w:pos="851"/>
        </w:tabs>
        <w:spacing w:before="120" w:after="120"/>
        <w:rPr>
          <w:rFonts w:ascii="Times New Roman" w:hAnsi="Times New Roman" w:cs="Times New Roman"/>
          <w:bCs/>
          <w:noProof/>
          <w:szCs w:val="28"/>
          <w:u w:val="single"/>
        </w:rPr>
      </w:pPr>
      <w:r>
        <w:rPr>
          <w:rFonts w:ascii="Times New Roman" w:hAnsi="Times New Roman"/>
          <w:bCs/>
          <w:noProof/>
          <w:szCs w:val="28"/>
          <w:u w:val="single"/>
        </w:rPr>
        <w:t>2.3.3.4</w:t>
      </w:r>
      <w:r>
        <w:rPr>
          <w:noProof/>
          <w:u w:val="single"/>
        </w:rPr>
        <w:tab/>
      </w:r>
      <w:r>
        <w:rPr>
          <w:rFonts w:ascii="Times New Roman" w:hAnsi="Times New Roman"/>
          <w:bCs/>
          <w:noProof/>
          <w:szCs w:val="28"/>
          <w:u w:val="single"/>
        </w:rPr>
        <w:t>Correction britannique pour 2018 (chapitre 36)</w:t>
      </w:r>
    </w:p>
    <w:p>
      <w:pPr>
        <w:spacing w:before="120" w:after="120"/>
        <w:jc w:val="both"/>
        <w:rPr>
          <w:rFonts w:ascii="Times New Roman" w:hAnsi="Times New Roman" w:cs="Times New Roman"/>
          <w:noProof/>
        </w:rPr>
      </w:pPr>
      <w:r>
        <w:rPr>
          <w:rFonts w:ascii="Times New Roman" w:hAnsi="Times New Roman"/>
          <w:noProof/>
        </w:rPr>
        <w:t xml:space="preserve">Le montant de la correction britannique à budgétiser au chapitre 36 du présent PBR est constitué par la différence entre la </w:t>
      </w:r>
      <w:r>
        <w:rPr>
          <w:rFonts w:ascii="Times New Roman" w:hAnsi="Times New Roman"/>
          <w:i/>
          <w:iCs/>
          <w:noProof/>
        </w:rPr>
        <w:t>deuxième mise à jour</w:t>
      </w:r>
      <w:r>
        <w:rPr>
          <w:rFonts w:ascii="Times New Roman" w:hAnsi="Times New Roman"/>
          <w:noProof/>
        </w:rPr>
        <w:t xml:space="preserve"> de la correction britannique pour 2018 (soit 5 516 634 839 EUR) et le </w:t>
      </w:r>
      <w:r>
        <w:rPr>
          <w:rFonts w:ascii="Times New Roman" w:hAnsi="Times New Roman"/>
          <w:i/>
          <w:iCs/>
          <w:noProof/>
        </w:rPr>
        <w:t>montant provisoire</w:t>
      </w:r>
      <w:r>
        <w:rPr>
          <w:rFonts w:ascii="Times New Roman" w:hAnsi="Times New Roman"/>
          <w:noProof/>
        </w:rPr>
        <w:t xml:space="preserve"> de la correction britannique pour 2018 (soit un montant de 5 023 528 676 EUR inscrit dans le budget 2019), qui s’élève à 493 106 163 EUR.</w:t>
      </w:r>
    </w:p>
    <w:p>
      <w:pPr>
        <w:spacing w:before="120" w:after="240"/>
        <w:jc w:val="both"/>
        <w:rPr>
          <w:rFonts w:ascii="Times New Roman" w:hAnsi="Times New Roman" w:cs="Times New Roman"/>
          <w:noProof/>
        </w:rPr>
      </w:pPr>
      <w:r>
        <w:rPr>
          <w:rFonts w:ascii="Times New Roman" w:hAnsi="Times New Roman"/>
          <w:noProof/>
        </w:rPr>
        <w:t>Ce montant doit être financé en fonction des assiettes RNB 2018 révisées telles qu’elles étaient connues à la fin de 2019. La budgétisation de ce montant au chapitre 36 est récapitulée ci-dessous:</w:t>
      </w:r>
    </w:p>
    <w:tbl>
      <w:tblPr>
        <w:tblW w:w="4253" w:type="dxa"/>
        <w:jc w:val="center"/>
        <w:tblLook w:val="0000" w:firstRow="0" w:lastRow="0" w:firstColumn="0" w:lastColumn="0" w:noHBand="0" w:noVBand="0"/>
      </w:tblPr>
      <w:tblGrid>
        <w:gridCol w:w="549"/>
        <w:gridCol w:w="1416"/>
        <w:gridCol w:w="809"/>
        <w:gridCol w:w="1479"/>
      </w:tblGrid>
      <w:tr>
        <w:trPr>
          <w:jc w:val="center"/>
        </w:trPr>
        <w:tc>
          <w:tcPr>
            <w:tcW w:w="4253"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spacing w:after="120"/>
              <w:jc w:val="center"/>
              <w:rPr>
                <w:rFonts w:ascii="Times New Roman" w:hAnsi="Times New Roman" w:cs="Times New Roman"/>
                <w:b/>
                <w:bCs/>
                <w:noProof/>
                <w:sz w:val="20"/>
                <w:szCs w:val="20"/>
              </w:rPr>
            </w:pPr>
            <w:r>
              <w:rPr>
                <w:rFonts w:ascii="Times New Roman" w:hAnsi="Times New Roman"/>
                <w:b/>
                <w:bCs/>
                <w:noProof/>
                <w:sz w:val="20"/>
                <w:szCs w:val="20"/>
              </w:rPr>
              <w:t>Correction britannique pour 2018 — chapitre 36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szCs w:val="20"/>
              </w:rPr>
            </w:pPr>
            <w:r>
              <w:rPr>
                <w:rFonts w:ascii="Times New Roman" w:hAnsi="Times New Roman"/>
                <w:b/>
                <w:noProof/>
                <w:sz w:val="20"/>
                <w:szCs w:val="20"/>
              </w:rPr>
              <w:t>BE</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27 909 738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LU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3 459 527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szCs w:val="20"/>
              </w:rPr>
            </w:pPr>
            <w:r>
              <w:rPr>
                <w:rFonts w:ascii="Times New Roman" w:hAnsi="Times New Roman"/>
                <w:b/>
                <w:noProof/>
                <w:sz w:val="20"/>
                <w:szCs w:val="20"/>
              </w:rPr>
              <w:t>BG</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5 747 148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HU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9 060 360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CZ</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12 780 811</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MT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599 078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DK</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17 414 841</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NL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7 666 480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DE</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26 899 549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AT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3 225 174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EE</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2 324 061</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PL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25 585 020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IE</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13 878 796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PT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12 696 708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EL</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7 355 826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RO</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15 373 126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ES</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58 628 464</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SI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1 888 602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FR</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132 102 159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SK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3 559 433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b/>
                <w:noProof/>
                <w:color w:val="000000"/>
                <w:sz w:val="20"/>
                <w:szCs w:val="20"/>
              </w:rPr>
              <w:t>HR</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3 326 099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FI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9 899 420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IT</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80 506 049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SE</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4 981 835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CY</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1 290 517</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LV</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1 428 955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UK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noProof/>
                <w:sz w:val="20"/>
                <w:szCs w:val="20"/>
              </w:rPr>
              <w:t>-493 106 163</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b/>
                <w:noProof/>
                <w:sz w:val="20"/>
                <w:szCs w:val="20"/>
              </w:rPr>
              <w:t>LT</w:t>
            </w:r>
          </w:p>
        </w:tc>
        <w:tc>
          <w:tcPr>
            <w:tcW w:w="1416" w:type="dxa"/>
            <w:tcBorders>
              <w:top w:val="nil"/>
              <w:left w:val="nil"/>
              <w:bottom w:val="single" w:sz="8" w:space="0" w:color="auto"/>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noProof/>
                <w:sz w:val="20"/>
                <w:szCs w:val="20"/>
              </w:rPr>
              <w:t>3 518 387</w:t>
            </w:r>
          </w:p>
        </w:tc>
        <w:tc>
          <w:tcPr>
            <w:tcW w:w="809" w:type="dxa"/>
            <w:tcBorders>
              <w:top w:val="single" w:sz="8" w:space="0" w:color="auto"/>
              <w:left w:val="single" w:sz="8" w:space="0" w:color="auto"/>
              <w:bottom w:val="single" w:sz="8" w:space="0" w:color="auto"/>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b/>
                <w:noProof/>
                <w:sz w:val="20"/>
                <w:szCs w:val="20"/>
              </w:rPr>
              <w:t>Total</w:t>
            </w:r>
          </w:p>
        </w:tc>
        <w:tc>
          <w:tcPr>
            <w:tcW w:w="1479" w:type="dxa"/>
            <w:tcBorders>
              <w:top w:val="single" w:sz="8" w:space="0" w:color="auto"/>
              <w:left w:val="nil"/>
              <w:bottom w:val="single" w:sz="8" w:space="0" w:color="auto"/>
              <w:right w:val="single" w:sz="8" w:space="0" w:color="auto"/>
            </w:tcBorders>
            <w:shd w:val="clear" w:color="auto" w:fill="auto"/>
            <w:noWrap/>
          </w:tcPr>
          <w:p>
            <w:pPr>
              <w:spacing w:after="120"/>
              <w:jc w:val="right"/>
              <w:rPr>
                <w:rFonts w:ascii="Times New Roman" w:hAnsi="Times New Roman" w:cs="Times New Roman"/>
                <w:b/>
                <w:noProof/>
                <w:sz w:val="20"/>
                <w:szCs w:val="20"/>
              </w:rPr>
            </w:pPr>
            <w:r>
              <w:rPr>
                <w:rFonts w:ascii="Times New Roman" w:hAnsi="Times New Roman"/>
                <w:b/>
                <w:noProof/>
                <w:sz w:val="20"/>
                <w:szCs w:val="20"/>
              </w:rPr>
              <w:t>0</w:t>
            </w:r>
          </w:p>
        </w:tc>
      </w:tr>
    </w:tbl>
    <w:p>
      <w:pPr>
        <w:tabs>
          <w:tab w:val="left" w:pos="851"/>
        </w:tabs>
        <w:spacing w:before="120" w:after="120"/>
        <w:rPr>
          <w:rFonts w:ascii="Times New Roman" w:hAnsi="Times New Roman" w:cs="Times New Roman"/>
          <w:bCs/>
          <w:noProof/>
          <w:szCs w:val="28"/>
          <w:u w:val="single"/>
          <w:lang w:eastAsia="de-DE"/>
        </w:rPr>
      </w:pPr>
    </w:p>
    <w:p>
      <w:pPr>
        <w:tabs>
          <w:tab w:val="left" w:pos="851"/>
        </w:tabs>
        <w:spacing w:before="120" w:after="120"/>
        <w:rPr>
          <w:rFonts w:ascii="Times New Roman" w:hAnsi="Times New Roman" w:cs="Times New Roman"/>
          <w:bCs/>
          <w:noProof/>
          <w:szCs w:val="28"/>
          <w:u w:val="single"/>
        </w:rPr>
      </w:pPr>
      <w:r>
        <w:rPr>
          <w:rFonts w:ascii="Times New Roman" w:hAnsi="Times New Roman"/>
          <w:bCs/>
          <w:noProof/>
          <w:szCs w:val="28"/>
          <w:u w:val="single"/>
        </w:rPr>
        <w:t>2.3.3.5</w:t>
      </w:r>
      <w:r>
        <w:rPr>
          <w:noProof/>
          <w:u w:val="single"/>
        </w:rPr>
        <w:tab/>
      </w:r>
      <w:r>
        <w:rPr>
          <w:rFonts w:ascii="Times New Roman" w:hAnsi="Times New Roman"/>
          <w:bCs/>
          <w:noProof/>
          <w:szCs w:val="28"/>
          <w:u w:val="single"/>
        </w:rPr>
        <w:t>Correction britannique pour 2019 (chapitre 15)</w:t>
      </w:r>
    </w:p>
    <w:bookmarkEnd w:id="57"/>
    <w:p>
      <w:pPr>
        <w:spacing w:before="120" w:after="120"/>
        <w:jc w:val="both"/>
        <w:rPr>
          <w:rFonts w:ascii="Times New Roman" w:hAnsi="Times New Roman" w:cs="Times New Roman"/>
          <w:noProof/>
        </w:rPr>
      </w:pPr>
      <w:r>
        <w:rPr>
          <w:rFonts w:ascii="Times New Roman" w:hAnsi="Times New Roman"/>
          <w:noProof/>
        </w:rPr>
        <w:t xml:space="preserve">La </w:t>
      </w:r>
      <w:r>
        <w:rPr>
          <w:rFonts w:ascii="Times New Roman" w:hAnsi="Times New Roman"/>
          <w:i/>
          <w:noProof/>
        </w:rPr>
        <w:t>première mise à jour</w:t>
      </w:r>
      <w:r>
        <w:rPr>
          <w:rFonts w:ascii="Times New Roman" w:hAnsi="Times New Roman"/>
          <w:noProof/>
        </w:rPr>
        <w:t xml:space="preserve"> de la correction britannique pour 2019, qui équivaut à 5 170 332 675 EUR, est inférieure de 84 036 306 EUR au montant inscrit dans le budget 2020 (5 254 368 981 EUR).</w:t>
      </w:r>
    </w:p>
    <w:p>
      <w:pPr>
        <w:spacing w:before="120" w:after="240"/>
        <w:jc w:val="both"/>
        <w:rPr>
          <w:rFonts w:ascii="Times New Roman" w:hAnsi="Times New Roman" w:cs="Times New Roman"/>
          <w:noProof/>
        </w:rPr>
      </w:pPr>
      <w:r>
        <w:rPr>
          <w:rFonts w:ascii="Times New Roman" w:hAnsi="Times New Roman"/>
          <w:noProof/>
        </w:rPr>
        <w:t>Ce montant doit être financé en fonction des assiettes RNB 2019 révisées du présent PBR. La budgétisation de ce montant au chapitre 15 est récapitulée ci-dessous:</w:t>
      </w:r>
    </w:p>
    <w:tbl>
      <w:tblPr>
        <w:tblW w:w="4383" w:type="dxa"/>
        <w:jc w:val="center"/>
        <w:tblLook w:val="0000" w:firstRow="0" w:lastRow="0" w:firstColumn="0" w:lastColumn="0" w:noHBand="0" w:noVBand="0"/>
      </w:tblPr>
      <w:tblGrid>
        <w:gridCol w:w="530"/>
        <w:gridCol w:w="1608"/>
        <w:gridCol w:w="765"/>
        <w:gridCol w:w="1480"/>
      </w:tblGrid>
      <w:tr>
        <w:trPr>
          <w:trHeight w:val="233"/>
          <w:jc w:val="center"/>
        </w:trPr>
        <w:tc>
          <w:tcPr>
            <w:tcW w:w="4383"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spacing w:after="120"/>
              <w:jc w:val="center"/>
              <w:rPr>
                <w:rFonts w:ascii="Times New Roman" w:hAnsi="Times New Roman" w:cs="Times New Roman"/>
                <w:b/>
                <w:bCs/>
                <w:noProof/>
                <w:sz w:val="20"/>
              </w:rPr>
            </w:pPr>
            <w:r>
              <w:rPr>
                <w:rFonts w:ascii="Times New Roman" w:hAnsi="Times New Roman"/>
                <w:b/>
                <w:bCs/>
                <w:noProof/>
                <w:sz w:val="20"/>
              </w:rPr>
              <w:t>Correction britannique pour 2019 – chapitre 15</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BE</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2 885 434</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LU</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1 141 987</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BG</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- 44 283</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HU</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724 119</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CZ</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1 799 173</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MT</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xml:space="preserve"> - 370 341</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DK</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555 892</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NL</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xml:space="preserve"> - 1 400 008</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DE</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- 4 066 249</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AT</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xml:space="preserve"> - 186 616</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EE</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108 141</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PL</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2 696 724</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color w:val="000000"/>
                <w:sz w:val="20"/>
              </w:rPr>
            </w:pPr>
            <w:r>
              <w:rPr>
                <w:rFonts w:ascii="Times New Roman" w:hAnsi="Times New Roman"/>
                <w:b/>
                <w:noProof/>
                <w:color w:val="000000"/>
                <w:sz w:val="20"/>
              </w:rPr>
              <w:t>IE</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- 6 718 497</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PT</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1 067 249</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color w:val="000000"/>
                <w:sz w:val="20"/>
              </w:rPr>
            </w:pPr>
            <w:r>
              <w:rPr>
                <w:rFonts w:ascii="Times New Roman" w:hAnsi="Times New Roman"/>
                <w:b/>
                <w:noProof/>
                <w:color w:val="000000"/>
                <w:sz w:val="20"/>
              </w:rPr>
              <w:t>EL</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- 6 475 934</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RO</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1 113 696</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color w:val="000000"/>
                <w:sz w:val="20"/>
              </w:rPr>
            </w:pPr>
            <w:r>
              <w:rPr>
                <w:rFonts w:ascii="Times New Roman" w:hAnsi="Times New Roman"/>
                <w:b/>
                <w:noProof/>
                <w:color w:val="000000"/>
                <w:sz w:val="20"/>
              </w:rPr>
              <w:t>ES</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- 31 341 060</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SI</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xml:space="preserve"> - 945 822</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color w:val="000000"/>
                <w:sz w:val="20"/>
              </w:rPr>
            </w:pPr>
            <w:r>
              <w:rPr>
                <w:rFonts w:ascii="Times New Roman" w:hAnsi="Times New Roman"/>
                <w:b/>
                <w:noProof/>
                <w:color w:val="000000"/>
                <w:sz w:val="20"/>
              </w:rPr>
              <w:t xml:space="preserve">FR </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- 14 103 043</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SK</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xml:space="preserve"> - 2 281 186</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color w:val="000000"/>
                <w:sz w:val="20"/>
              </w:rPr>
            </w:pPr>
            <w:r>
              <w:rPr>
                <w:rFonts w:ascii="Times New Roman" w:hAnsi="Times New Roman"/>
                <w:b/>
                <w:noProof/>
                <w:color w:val="000000"/>
                <w:sz w:val="20"/>
              </w:rPr>
              <w:t>HR</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- 965 383</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FI</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xml:space="preserve"> - 330 789</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IT</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- 26 667 365</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SE</w:t>
            </w:r>
          </w:p>
        </w:tc>
        <w:tc>
          <w:tcPr>
            <w:tcW w:w="1480" w:type="dxa"/>
            <w:tcBorders>
              <w:top w:val="nil"/>
              <w:left w:val="nil"/>
              <w:bottom w:val="nil"/>
              <w:right w:val="single" w:sz="8" w:space="0" w:color="auto"/>
            </w:tcBorders>
            <w:shd w:val="clear" w:color="auto" w:fill="auto"/>
            <w:noWrap/>
            <w:vAlign w:val="bottom"/>
          </w:tcPr>
          <w:p>
            <w:pPr>
              <w:spacing w:after="120"/>
              <w:jc w:val="right"/>
              <w:rPr>
                <w:rFonts w:ascii="Times New Roman" w:hAnsi="Times New Roman" w:cs="Times New Roman"/>
                <w:noProof/>
                <w:sz w:val="20"/>
              </w:rPr>
            </w:pPr>
            <w:r>
              <w:rPr>
                <w:rFonts w:ascii="Times New Roman" w:hAnsi="Times New Roman"/>
                <w:noProof/>
                <w:sz w:val="20"/>
                <w:szCs w:val="20"/>
              </w:rPr>
              <w:t>1 489 533</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CY</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- 305 489</w:t>
            </w:r>
          </w:p>
        </w:tc>
        <w:tc>
          <w:tcPr>
            <w:tcW w:w="765" w:type="dxa"/>
            <w:vMerge w:val="restart"/>
            <w:tcBorders>
              <w:top w:val="nil"/>
              <w:left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UK</w:t>
            </w:r>
          </w:p>
        </w:tc>
        <w:tc>
          <w:tcPr>
            <w:tcW w:w="1480" w:type="dxa"/>
            <w:vMerge w:val="restart"/>
            <w:tcBorders>
              <w:top w:val="nil"/>
              <w:left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84 036 306</w:t>
            </w:r>
          </w:p>
        </w:tc>
      </w:tr>
      <w:tr>
        <w:trPr>
          <w:trHeight w:val="277"/>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b/>
                <w:noProof/>
                <w:sz w:val="20"/>
              </w:rPr>
              <w:t>LV</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- 956 379</w:t>
            </w:r>
          </w:p>
        </w:tc>
        <w:tc>
          <w:tcPr>
            <w:tcW w:w="765" w:type="dxa"/>
            <w:vMerge/>
            <w:tcBorders>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p>
        </w:tc>
        <w:tc>
          <w:tcPr>
            <w:tcW w:w="1480" w:type="dxa"/>
            <w:vMerge/>
            <w:tcBorders>
              <w:left w:val="nil"/>
              <w:bottom w:val="nil"/>
              <w:right w:val="single" w:sz="8" w:space="0" w:color="auto"/>
            </w:tcBorders>
            <w:shd w:val="clear" w:color="auto" w:fill="auto"/>
            <w:noWrap/>
            <w:vAlign w:val="bottom"/>
          </w:tcPr>
          <w:p>
            <w:pPr>
              <w:spacing w:after="120"/>
              <w:jc w:val="right"/>
              <w:rPr>
                <w:rFonts w:ascii="Times New Roman" w:hAnsi="Times New Roman" w:cs="Times New Roman"/>
                <w:noProof/>
                <w:sz w:val="20"/>
              </w:rPr>
            </w:pPr>
          </w:p>
        </w:tc>
      </w:tr>
      <w:tr>
        <w:trPr>
          <w:trHeight w:val="198"/>
          <w:jc w:val="center"/>
        </w:trPr>
        <w:tc>
          <w:tcPr>
            <w:tcW w:w="530" w:type="dxa"/>
            <w:tcBorders>
              <w:top w:val="nil"/>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b/>
                <w:noProof/>
                <w:sz w:val="20"/>
              </w:rPr>
              <w:t>LT</w:t>
            </w:r>
          </w:p>
        </w:tc>
        <w:tc>
          <w:tcPr>
            <w:tcW w:w="1608" w:type="dxa"/>
            <w:tcBorders>
              <w:top w:val="nil"/>
              <w:left w:val="nil"/>
              <w:bottom w:val="single" w:sz="8" w:space="0" w:color="auto"/>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noProof/>
                <w:sz w:val="20"/>
                <w:szCs w:val="20"/>
              </w:rPr>
              <w:t>- 459 810</w:t>
            </w:r>
          </w:p>
        </w:tc>
        <w:tc>
          <w:tcPr>
            <w:tcW w:w="765" w:type="dxa"/>
            <w:tcBorders>
              <w:top w:val="single" w:sz="8" w:space="0" w:color="auto"/>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b/>
                <w:bCs/>
                <w:noProof/>
                <w:sz w:val="20"/>
              </w:rPr>
              <w:t xml:space="preserve">Total </w:t>
            </w:r>
          </w:p>
        </w:tc>
        <w:tc>
          <w:tcPr>
            <w:tcW w:w="1480" w:type="dxa"/>
            <w:tcBorders>
              <w:top w:val="single" w:sz="8" w:space="0" w:color="auto"/>
              <w:left w:val="nil"/>
              <w:bottom w:val="single" w:sz="8" w:space="0" w:color="auto"/>
              <w:right w:val="single" w:sz="8" w:space="0" w:color="auto"/>
            </w:tcBorders>
            <w:shd w:val="clear" w:color="auto" w:fill="auto"/>
            <w:noWrap/>
            <w:vAlign w:val="bottom"/>
          </w:tcPr>
          <w:p>
            <w:pPr>
              <w:spacing w:after="120"/>
              <w:jc w:val="right"/>
              <w:rPr>
                <w:rFonts w:ascii="Times New Roman" w:hAnsi="Times New Roman" w:cs="Times New Roman"/>
                <w:b/>
                <w:bCs/>
                <w:noProof/>
                <w:sz w:val="20"/>
              </w:rPr>
            </w:pPr>
            <w:r>
              <w:rPr>
                <w:rFonts w:ascii="Times New Roman" w:hAnsi="Times New Roman"/>
                <w:b/>
                <w:bCs/>
                <w:noProof/>
                <w:sz w:val="20"/>
              </w:rPr>
              <w:t>0</w:t>
            </w:r>
          </w:p>
        </w:tc>
      </w:tr>
    </w:tbl>
    <w:p>
      <w:pPr>
        <w:keepNext/>
        <w:tabs>
          <w:tab w:val="left" w:pos="850"/>
        </w:tabs>
        <w:spacing w:before="360" w:after="120"/>
        <w:ind w:left="850" w:hanging="850"/>
        <w:jc w:val="both"/>
        <w:outlineLvl w:val="1"/>
        <w:rPr>
          <w:rFonts w:ascii="Times New Roman" w:eastAsia="Calibri" w:hAnsi="Times New Roman" w:cs="Times New Roman"/>
          <w:b/>
          <w:noProof/>
        </w:rPr>
      </w:pPr>
      <w:bookmarkStart w:id="58" w:name="_Toc45028188"/>
      <w:bookmarkStart w:id="59" w:name="_Toc514181802"/>
      <w:bookmarkEnd w:id="14"/>
      <w:bookmarkEnd w:id="15"/>
      <w:bookmarkEnd w:id="16"/>
      <w:bookmarkEnd w:id="31"/>
      <w:bookmarkEnd w:id="32"/>
      <w:bookmarkEnd w:id="33"/>
      <w:r>
        <w:rPr>
          <w:rFonts w:ascii="Times New Roman" w:hAnsi="Times New Roman"/>
          <w:b/>
          <w:noProof/>
        </w:rPr>
        <w:t>2.4</w:t>
      </w:r>
      <w:r>
        <w:rPr>
          <w:noProof/>
        </w:rPr>
        <w:tab/>
      </w:r>
      <w:r>
        <w:rPr>
          <w:rFonts w:ascii="Times New Roman" w:hAnsi="Times New Roman"/>
          <w:b/>
          <w:noProof/>
        </w:rPr>
        <w:t>Différences de change dans les ressources propres</w:t>
      </w:r>
      <w:bookmarkEnd w:id="58"/>
    </w:p>
    <w:p>
      <w:pPr>
        <w:jc w:val="both"/>
        <w:rPr>
          <w:rFonts w:ascii="Times New Roman" w:eastAsia="Calibri" w:hAnsi="Times New Roman" w:cs="Times New Roman"/>
          <w:b/>
          <w:noProof/>
        </w:rPr>
      </w:pPr>
      <w:r>
        <w:rPr>
          <w:rFonts w:ascii="Times New Roman" w:hAnsi="Times New Roman"/>
          <w:noProof/>
        </w:rPr>
        <w:t>Le budget de l’UE est établi en euro, tandis que les contributions des États membres sont déterminées en monnaie nationale. Les contributions annuelles des États membres sont versées en 12 tranches mensuelles («douzièmes»). Chaque tranche versée dans une monnaie autre que l’euro est comptabilisée selon les taux de change mensuels du mois au cours duquel le paiement est effectué.</w:t>
      </w:r>
    </w:p>
    <w:p>
      <w:pPr>
        <w:spacing w:before="120" w:after="120"/>
        <w:jc w:val="both"/>
        <w:rPr>
          <w:rFonts w:ascii="Times New Roman" w:eastAsia="Calibri" w:hAnsi="Times New Roman" w:cs="Times New Roman"/>
          <w:noProof/>
        </w:rPr>
      </w:pPr>
      <w:r>
        <w:rPr>
          <w:rFonts w:ascii="Times New Roman" w:hAnsi="Times New Roman"/>
          <w:noProof/>
        </w:rPr>
        <w:t>Pour les États membres ne faisant pas partie de la zone euro, le budget de l’UE est converti en monnaies nationales au taux de change du dernier jour de cotation de l’année civile précédant l’exercice budgétaire</w:t>
      </w:r>
      <w:r>
        <w:rPr>
          <w:rStyle w:val="FootnoteReference"/>
          <w:rFonts w:ascii="Times New Roman" w:eastAsia="Calibri" w:hAnsi="Times New Roman" w:cs="Times New Roman"/>
          <w:noProof/>
          <w:lang w:eastAsia="de-DE"/>
        </w:rPr>
        <w:footnoteReference w:id="16"/>
      </w:r>
      <w:r>
        <w:rPr>
          <w:rFonts w:ascii="Times New Roman" w:hAnsi="Times New Roman"/>
          <w:noProof/>
        </w:rPr>
        <w:t>. Ainsi, pour 2020, c’est le taux de change du 31 décembre 2019 qui est utilisé pour convertir le budget de l’UE en monnaies autres que l’euro.</w:t>
      </w:r>
    </w:p>
    <w:p>
      <w:pPr>
        <w:spacing w:before="120" w:after="120"/>
        <w:jc w:val="both"/>
        <w:rPr>
          <w:rFonts w:ascii="Times New Roman" w:eastAsia="Calibri" w:hAnsi="Times New Roman" w:cs="Times New Roman"/>
          <w:noProof/>
        </w:rPr>
      </w:pPr>
      <w:r>
        <w:rPr>
          <w:rFonts w:ascii="Times New Roman" w:hAnsi="Times New Roman"/>
          <w:noProof/>
        </w:rPr>
        <w:t>Par conséquent, toute différence entre les taux de change utilisés pour le calcul du «douzième» mensuel en monnaies nationales et les taux comptables applicables au cours du mois du paiement du «douzième» entraîne inévitablement des écarts entre les montants des ressources propres en euro prévus dans le budget et le montant effectivement encaissé.</w:t>
      </w:r>
    </w:p>
    <w:p>
      <w:pPr>
        <w:spacing w:before="120" w:after="120"/>
        <w:jc w:val="both"/>
        <w:rPr>
          <w:rFonts w:ascii="Times New Roman" w:eastAsia="Calibri" w:hAnsi="Times New Roman" w:cs="Times New Roman"/>
          <w:noProof/>
        </w:rPr>
      </w:pPr>
      <w:r>
        <w:rPr>
          <w:rFonts w:ascii="Times New Roman" w:hAnsi="Times New Roman"/>
          <w:noProof/>
        </w:rPr>
        <w:t xml:space="preserve">Il se peut que les fluctuations mensuelles des taux de change s’annulent au cours d’un exercice budgétaire. Toutefois, en 2020, de janvier à juin, on a enregistré un total négatif de 400,6 millions d’EUR de différences de change pour les ressources propres. Cet écart, qui peut fort bien se creuser, suscite un risque de déficit budgétaire en fin d’exercice. En conséquence, afin de corriger ces différences et de compenser la baisse du montant des ressources propres encaissées qui en résulte, il est proposé de créer une nouvelle ligne budgétaire au titre 3, Article 390 — Ajustement lié aux différences de change pour les ressources propres, afin d’y inscrire les différences de change survenues jusqu’en juin. </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6866"/>
        <w:gridCol w:w="1704"/>
        <w:gridCol w:w="27"/>
      </w:tblGrid>
      <w:tr>
        <w:tc>
          <w:tcPr>
            <w:tcW w:w="10119" w:type="dxa"/>
            <w:gridSpan w:val="4"/>
            <w:tcBorders>
              <w:top w:val="nil"/>
              <w:left w:val="nil"/>
              <w:bottom w:val="single" w:sz="4" w:space="0" w:color="auto"/>
              <w:right w:val="nil"/>
            </w:tcBorders>
            <w:shd w:val="clear" w:color="auto" w:fill="auto"/>
            <w:vAlign w:val="center"/>
          </w:tcPr>
          <w:p>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noProof/>
                <w:sz w:val="20"/>
                <w:szCs w:val="20"/>
              </w:rPr>
              <w:t>EUR</w:t>
            </w:r>
          </w:p>
        </w:tc>
      </w:tr>
      <w:tr>
        <w:trPr>
          <w:gridAfter w:val="1"/>
          <w:wAfter w:w="27" w:type="dxa"/>
        </w:trPr>
        <w:tc>
          <w:tcPr>
            <w:tcW w:w="1522" w:type="dxa"/>
            <w:tcBorders>
              <w:top w:val="single" w:sz="4" w:space="0" w:color="auto"/>
            </w:tcBorders>
            <w:shd w:val="clear" w:color="auto" w:fill="D9D9D9"/>
            <w:vAlign w:val="center"/>
          </w:tcPr>
          <w:p>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Ligne de recettes</w:t>
            </w:r>
          </w:p>
        </w:tc>
        <w:tc>
          <w:tcPr>
            <w:tcW w:w="6866"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Intitulé</w:t>
            </w:r>
          </w:p>
        </w:tc>
        <w:tc>
          <w:tcPr>
            <w:tcW w:w="1704"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Montant</w:t>
            </w:r>
          </w:p>
        </w:tc>
      </w:tr>
      <w:tr>
        <w:trPr>
          <w:gridAfter w:val="1"/>
          <w:wAfter w:w="27" w:type="dxa"/>
        </w:trPr>
        <w:tc>
          <w:tcPr>
            <w:tcW w:w="1522"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3 9 0</w:t>
            </w:r>
          </w:p>
        </w:tc>
        <w:tc>
          <w:tcPr>
            <w:tcW w:w="6866"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Ajustement lié aux différences de change pour les ressources propres</w:t>
            </w:r>
          </w:p>
        </w:tc>
        <w:tc>
          <w:tcPr>
            <w:tcW w:w="1704" w:type="dxa"/>
          </w:tcPr>
          <w:p>
            <w:pPr>
              <w:widowControl w:val="0"/>
              <w:spacing w:before="15" w:after="15"/>
              <w:jc w:val="right"/>
              <w:rPr>
                <w:rFonts w:ascii="Times New Roman" w:hAnsi="Times New Roman" w:cs="Times New Roman"/>
                <w:noProof/>
              </w:rPr>
            </w:pPr>
            <w:r>
              <w:rPr>
                <w:rFonts w:ascii="Times New Roman" w:hAnsi="Times New Roman"/>
                <w:noProof/>
              </w:rPr>
              <w:t>-400 600 000</w:t>
            </w:r>
          </w:p>
        </w:tc>
      </w:tr>
      <w:tr>
        <w:trPr>
          <w:gridAfter w:val="1"/>
          <w:wAfter w:w="27" w:type="dxa"/>
        </w:trPr>
        <w:tc>
          <w:tcPr>
            <w:tcW w:w="8388" w:type="dxa"/>
            <w:gridSpan w:val="2"/>
            <w:shd w:val="clear" w:color="auto" w:fill="D9D9D9"/>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Total</w:t>
            </w:r>
            <w:r>
              <w:rPr>
                <w:noProof/>
              </w:rPr>
              <w:tab/>
            </w:r>
          </w:p>
        </w:tc>
        <w:tc>
          <w:tcPr>
            <w:tcW w:w="1704" w:type="dxa"/>
            <w:shd w:val="clear" w:color="auto" w:fill="D9D9D9"/>
          </w:tcPr>
          <w:p>
            <w:pPr>
              <w:widowControl w:val="0"/>
              <w:spacing w:before="15" w:after="15" w:line="240" w:lineRule="auto"/>
              <w:jc w:val="right"/>
              <w:rPr>
                <w:rFonts w:ascii="Times New Roman" w:eastAsia="Times New Roman" w:hAnsi="Times New Roman" w:cs="Times New Roman"/>
                <w:b/>
                <w:noProof/>
              </w:rPr>
            </w:pPr>
            <w:r>
              <w:rPr>
                <w:rFonts w:ascii="Times New Roman" w:hAnsi="Times New Roman"/>
                <w:b/>
                <w:noProof/>
              </w:rPr>
              <w:t>-400 600 000</w:t>
            </w:r>
          </w:p>
        </w:tc>
      </w:tr>
    </w:tbl>
    <w:p>
      <w:pPr>
        <w:spacing w:before="120" w:after="120"/>
        <w:jc w:val="both"/>
        <w:rPr>
          <w:rFonts w:ascii="Times New Roman" w:eastAsia="Calibri" w:hAnsi="Times New Roman" w:cs="Times New Roman"/>
          <w:noProof/>
        </w:rPr>
      </w:pPr>
      <w:r>
        <w:rPr>
          <w:rFonts w:ascii="Times New Roman" w:hAnsi="Times New Roman"/>
          <w:noProof/>
        </w:rPr>
        <w:t>La Commission continuera à suivre l’évolution de ces différences et proposera, le cas échéant, de nouvelles modifications budgétaires à l’autorité budgétaire pour mettre à jour ce chiffre dans un projet de budget rectificatif à l’automne.</w:t>
      </w:r>
    </w:p>
    <w:p>
      <w:pPr>
        <w:keepNext/>
        <w:tabs>
          <w:tab w:val="left" w:pos="850"/>
        </w:tabs>
        <w:spacing w:before="360" w:after="120"/>
        <w:ind w:left="850" w:hanging="850"/>
        <w:jc w:val="both"/>
        <w:outlineLvl w:val="1"/>
        <w:rPr>
          <w:rFonts w:ascii="Times New Roman" w:eastAsia="Calibri" w:hAnsi="Times New Roman" w:cs="Times New Roman"/>
          <w:b/>
          <w:noProof/>
        </w:rPr>
      </w:pPr>
      <w:bookmarkStart w:id="60" w:name="_Toc45028189"/>
      <w:r>
        <w:rPr>
          <w:rFonts w:ascii="Times New Roman" w:hAnsi="Times New Roman"/>
          <w:b/>
          <w:noProof/>
        </w:rPr>
        <w:t>2.5</w:t>
      </w:r>
      <w:r>
        <w:rPr>
          <w:noProof/>
        </w:rPr>
        <w:tab/>
      </w:r>
      <w:r>
        <w:rPr>
          <w:rFonts w:ascii="Times New Roman" w:hAnsi="Times New Roman"/>
          <w:b/>
          <w:noProof/>
        </w:rPr>
        <w:t>Amendes et astreintes</w:t>
      </w:r>
      <w:bookmarkEnd w:id="60"/>
    </w:p>
    <w:p>
      <w:pPr>
        <w:spacing w:before="120" w:after="120"/>
        <w:jc w:val="both"/>
        <w:rPr>
          <w:rFonts w:ascii="Times New Roman" w:hAnsi="Times New Roman" w:cs="Times New Roman"/>
          <w:noProof/>
        </w:rPr>
      </w:pPr>
      <w:r>
        <w:rPr>
          <w:rFonts w:ascii="Times New Roman" w:hAnsi="Times New Roman"/>
          <w:noProof/>
        </w:rPr>
        <w:t>Compte tenu des montants qui ont été encaissés, il est proposé d’augmenter de 118 millions d’EUR les prévisions initiales inscrites dans le budget 2020 (100 millions d’EUR), ce qui réduira d’autant les contributions des États membres versées au budget de l’UE au titre des ressources propres.</w:t>
      </w:r>
    </w:p>
    <w:p>
      <w:pPr>
        <w:spacing w:before="120" w:after="120"/>
        <w:jc w:val="both"/>
        <w:rPr>
          <w:rFonts w:ascii="Times New Roman" w:hAnsi="Times New Roman" w:cs="Times New Roman"/>
          <w:noProof/>
        </w:rPr>
      </w:pPr>
      <w:r>
        <w:rPr>
          <w:rFonts w:ascii="Times New Roman" w:hAnsi="Times New Roman"/>
          <w:noProof/>
        </w:rPr>
        <w:t>Le détail par ligne est présenté dans le tableau ci-dessous.</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6866"/>
        <w:gridCol w:w="1701"/>
        <w:gridCol w:w="6"/>
      </w:tblGrid>
      <w:tr>
        <w:tc>
          <w:tcPr>
            <w:tcW w:w="10095" w:type="dxa"/>
            <w:gridSpan w:val="4"/>
            <w:tcBorders>
              <w:top w:val="nil"/>
              <w:left w:val="nil"/>
              <w:bottom w:val="single" w:sz="4" w:space="0" w:color="auto"/>
              <w:right w:val="nil"/>
            </w:tcBorders>
            <w:shd w:val="clear" w:color="auto" w:fill="auto"/>
            <w:vAlign w:val="center"/>
          </w:tcPr>
          <w:p>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noProof/>
                <w:sz w:val="20"/>
                <w:szCs w:val="20"/>
              </w:rPr>
              <w:t>EUR</w:t>
            </w:r>
          </w:p>
        </w:tc>
      </w:tr>
      <w:tr>
        <w:trPr>
          <w:gridAfter w:val="1"/>
          <w:wAfter w:w="6" w:type="dxa"/>
        </w:trPr>
        <w:tc>
          <w:tcPr>
            <w:tcW w:w="1522" w:type="dxa"/>
            <w:tcBorders>
              <w:top w:val="single" w:sz="4" w:space="0" w:color="auto"/>
            </w:tcBorders>
            <w:shd w:val="clear" w:color="auto" w:fill="D9D9D9"/>
            <w:vAlign w:val="center"/>
          </w:tcPr>
          <w:p>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Ligne de recettes</w:t>
            </w:r>
          </w:p>
        </w:tc>
        <w:tc>
          <w:tcPr>
            <w:tcW w:w="6866"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Montant</w:t>
            </w:r>
          </w:p>
        </w:tc>
      </w:tr>
      <w:tr>
        <w:trPr>
          <w:gridAfter w:val="1"/>
          <w:wAfter w:w="6" w:type="dxa"/>
        </w:trPr>
        <w:tc>
          <w:tcPr>
            <w:tcW w:w="1522"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7 1 0</w:t>
            </w:r>
          </w:p>
        </w:tc>
        <w:tc>
          <w:tcPr>
            <w:tcW w:w="6866"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20"/>
                <w:szCs w:val="20"/>
              </w:rPr>
              <w:t>Amendes, astreintes et sanctions liées à la mise en œuvre des règles de concurrence</w:t>
            </w:r>
          </w:p>
        </w:tc>
        <w:tc>
          <w:tcPr>
            <w:tcW w:w="1701" w:type="dxa"/>
          </w:tcPr>
          <w:p>
            <w:pPr>
              <w:widowControl w:val="0"/>
              <w:spacing w:before="15" w:after="15"/>
              <w:jc w:val="right"/>
              <w:rPr>
                <w:rFonts w:ascii="Times New Roman" w:hAnsi="Times New Roman" w:cs="Times New Roman"/>
                <w:noProof/>
              </w:rPr>
            </w:pPr>
            <w:r>
              <w:rPr>
                <w:rFonts w:ascii="Times New Roman" w:hAnsi="Times New Roman"/>
                <w:noProof/>
              </w:rPr>
              <w:t>85 000 000</w:t>
            </w:r>
          </w:p>
        </w:tc>
      </w:tr>
      <w:tr>
        <w:trPr>
          <w:gridAfter w:val="1"/>
          <w:wAfter w:w="6" w:type="dxa"/>
        </w:trPr>
        <w:tc>
          <w:tcPr>
            <w:tcW w:w="1522"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7 1 1</w:t>
            </w:r>
          </w:p>
        </w:tc>
        <w:tc>
          <w:tcPr>
            <w:tcW w:w="6866"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20"/>
                <w:szCs w:val="20"/>
              </w:rPr>
              <w:t>Astreintes et sommes forfaitaires imposées aux États membres en cas d’inexécution d’un arrêt de la Cour de justice de l’Union européenne en constatation de manquement aux obligations découlant du traité</w:t>
            </w:r>
          </w:p>
        </w:tc>
        <w:tc>
          <w:tcPr>
            <w:tcW w:w="1701" w:type="dxa"/>
          </w:tcPr>
          <w:p>
            <w:pPr>
              <w:widowControl w:val="0"/>
              <w:spacing w:before="15" w:after="15"/>
              <w:jc w:val="right"/>
              <w:rPr>
                <w:rFonts w:ascii="Times New Roman" w:hAnsi="Times New Roman" w:cs="Times New Roman"/>
                <w:noProof/>
              </w:rPr>
            </w:pPr>
            <w:r>
              <w:rPr>
                <w:rFonts w:ascii="Times New Roman" w:hAnsi="Times New Roman"/>
                <w:noProof/>
              </w:rPr>
              <w:t>33 000 000</w:t>
            </w:r>
          </w:p>
        </w:tc>
      </w:tr>
      <w:tr>
        <w:trPr>
          <w:gridAfter w:val="1"/>
          <w:wAfter w:w="6" w:type="dxa"/>
        </w:trPr>
        <w:tc>
          <w:tcPr>
            <w:tcW w:w="8388" w:type="dxa"/>
            <w:gridSpan w:val="2"/>
            <w:shd w:val="clear" w:color="auto" w:fill="D9D9D9"/>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Total</w:t>
            </w:r>
            <w:r>
              <w:rPr>
                <w:noProof/>
              </w:rPr>
              <w:tab/>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rPr>
            </w:pPr>
            <w:r>
              <w:rPr>
                <w:rFonts w:ascii="Times New Roman" w:hAnsi="Times New Roman"/>
                <w:b/>
                <w:noProof/>
              </w:rPr>
              <w:t>118 000 000</w:t>
            </w:r>
          </w:p>
        </w:tc>
      </w:tr>
      <w:bookmarkEnd w:id="59"/>
      <w:bookmarkEnd w:id="7"/>
      <w:bookmarkEnd w:id="8"/>
      <w:bookmarkEnd w:id="11"/>
      <w:bookmarkEnd w:id="12"/>
    </w:tbl>
    <w:p>
      <w:pPr>
        <w:spacing w:before="120" w:after="120"/>
        <w:jc w:val="both"/>
        <w:rPr>
          <w:rFonts w:ascii="Times New Roman" w:hAnsi="Times New Roman" w:cs="Times New Roman"/>
          <w:noProof/>
        </w:rPr>
      </w:pPr>
    </w:p>
    <w:sectPr>
      <w:headerReference w:type="even" r:id="rId30"/>
      <w:headerReference w:type="default" r:id="rId31"/>
      <w:footerReference w:type="even" r:id="rId32"/>
      <w:footerReference w:type="default" r:id="rId33"/>
      <w:headerReference w:type="first" r:id="rId34"/>
      <w:footerReference w:type="first" r:id="rId35"/>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13"/>
        <w:tab w:val="center" w:pos="4820"/>
      </w:tabs>
      <w:ind w:left="-851" w:right="-851"/>
      <w:rPr>
        <w:rFonts w:ascii="Times New Roman" w:hAnsi="Times New Roman" w:cs="Times New Roman"/>
        <w:b/>
        <w:sz w:val="48"/>
      </w:rPr>
    </w:pPr>
    <w: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17</w:t>
    </w:r>
    <w:r>
      <w:rPr>
        <w:rFonts w:ascii="Times New Roman" w:hAnsi="Times New Roman" w:cs="Times New Roman"/>
      </w:rPr>
      <w:fldChar w:fldCharType="end"/>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r>
      <w:r>
        <w:rPr>
          <w:sz w:val="18"/>
          <w:szCs w:val="18"/>
        </w:rPr>
        <w:t>JO L 193 du 30.7.2018.</w:t>
      </w:r>
    </w:p>
  </w:footnote>
  <w:footnote w:id="3">
    <w:p>
      <w:pPr>
        <w:pStyle w:val="FootnoteText"/>
      </w:pPr>
      <w:r>
        <w:rPr>
          <w:rStyle w:val="FootnoteReference"/>
        </w:rPr>
        <w:footnoteRef/>
      </w:r>
      <w:r>
        <w:t xml:space="preserve"> </w:t>
      </w:r>
      <w:r>
        <w:tab/>
      </w:r>
      <w:r>
        <w:rPr>
          <w:sz w:val="18"/>
          <w:szCs w:val="18"/>
        </w:rPr>
        <w:t>JO L 57 du 27.2.2020.</w:t>
      </w:r>
    </w:p>
  </w:footnote>
  <w:footnote w:id="4">
    <w:p>
      <w:pPr>
        <w:pStyle w:val="FootnoteText"/>
      </w:pPr>
      <w:r>
        <w:rPr>
          <w:rStyle w:val="FootnoteReference"/>
        </w:rPr>
        <w:footnoteRef/>
      </w:r>
      <w:r>
        <w:t xml:space="preserve"> </w:t>
      </w:r>
      <w:r>
        <w:tab/>
      </w:r>
      <w:r>
        <w:rPr>
          <w:sz w:val="18"/>
          <w:szCs w:val="18"/>
        </w:rPr>
        <w:t>JO L 126 du 21.4.2020.</w:t>
      </w:r>
    </w:p>
  </w:footnote>
  <w:footnote w:id="5">
    <w:p>
      <w:pPr>
        <w:pStyle w:val="FootnoteText"/>
      </w:pPr>
      <w:r>
        <w:rPr>
          <w:rStyle w:val="FootnoteReference"/>
        </w:rPr>
        <w:footnoteRef/>
      </w:r>
      <w:r>
        <w:t xml:space="preserve"> </w:t>
      </w:r>
      <w:r>
        <w:tab/>
      </w:r>
      <w:r>
        <w:rPr>
          <w:sz w:val="18"/>
          <w:szCs w:val="18"/>
        </w:rPr>
        <w:t>JO L 126 du 21.4.2020.</w:t>
      </w:r>
    </w:p>
  </w:footnote>
  <w:footnote w:id="6">
    <w:p>
      <w:pPr>
        <w:pStyle w:val="FootnoteText"/>
      </w:pPr>
      <w:r>
        <w:rPr>
          <w:rStyle w:val="FootnoteReference"/>
        </w:rPr>
        <w:footnoteRef/>
      </w:r>
      <w:r>
        <w:t xml:space="preserve"> </w:t>
      </w:r>
      <w:r>
        <w:tab/>
      </w:r>
      <w:r>
        <w:rPr>
          <w:sz w:val="18"/>
          <w:szCs w:val="18"/>
        </w:rPr>
        <w:t>JO L XXX du XX.X.2020.</w:t>
      </w:r>
    </w:p>
  </w:footnote>
  <w:footnote w:id="7">
    <w:p>
      <w:pPr>
        <w:pStyle w:val="FootnoteText"/>
      </w:pPr>
      <w:r>
        <w:rPr>
          <w:rStyle w:val="FootnoteReference"/>
        </w:rPr>
        <w:footnoteRef/>
      </w:r>
      <w:r>
        <w:t xml:space="preserve"> </w:t>
      </w:r>
      <w:r>
        <w:tab/>
      </w:r>
      <w:r>
        <w:rPr>
          <w:sz w:val="18"/>
          <w:szCs w:val="18"/>
        </w:rPr>
        <w:t>JO L XXX du XX.X.2020.</w:t>
      </w:r>
    </w:p>
  </w:footnote>
  <w:footnote w:id="8">
    <w:p>
      <w:pPr>
        <w:pStyle w:val="FootnoteText"/>
        <w:rPr>
          <w:sz w:val="18"/>
          <w:szCs w:val="18"/>
        </w:rPr>
      </w:pPr>
      <w:r>
        <w:rPr>
          <w:rStyle w:val="FootnoteReference"/>
        </w:rPr>
        <w:footnoteRef/>
      </w:r>
      <w:r>
        <w:t xml:space="preserve"> </w:t>
      </w:r>
      <w:r>
        <w:tab/>
      </w:r>
      <w:r>
        <w:rPr>
          <w:sz w:val="18"/>
          <w:szCs w:val="18"/>
        </w:rPr>
        <w:t>COM(2020) 421 du 3.6.2020.</w:t>
      </w:r>
    </w:p>
  </w:footnote>
  <w:footnote w:id="9">
    <w:p>
      <w:pPr>
        <w:pStyle w:val="FootnoteText"/>
      </w:pPr>
      <w:r>
        <w:rPr>
          <w:rStyle w:val="FootnoteReference"/>
        </w:rPr>
        <w:footnoteRef/>
      </w:r>
      <w:r>
        <w:t xml:space="preserve"> </w:t>
      </w:r>
      <w:r>
        <w:tab/>
      </w:r>
      <w:r>
        <w:rPr>
          <w:sz w:val="18"/>
          <w:szCs w:val="18"/>
        </w:rPr>
        <w:t>COM(2020) 423 du 3.6.2020.</w:t>
      </w:r>
    </w:p>
  </w:footnote>
  <w:footnote w:id="10">
    <w:p>
      <w:pPr>
        <w:pStyle w:val="FootnoteText"/>
        <w:ind w:left="284" w:hanging="284"/>
      </w:pPr>
      <w:r>
        <w:rPr>
          <w:rStyle w:val="FootnoteReference"/>
        </w:rPr>
        <w:footnoteRef/>
      </w:r>
      <w:r>
        <w:t xml:space="preserve"> </w:t>
      </w:r>
      <w:r>
        <w:tab/>
        <w:t>COM(2020) 423 du 3.6.2020.</w:t>
      </w:r>
    </w:p>
  </w:footnote>
  <w:footnote w:id="11">
    <w:p>
      <w:pPr>
        <w:pStyle w:val="FootnoteText"/>
        <w:ind w:left="284" w:hanging="284"/>
      </w:pPr>
      <w:r>
        <w:rPr>
          <w:rStyle w:val="FootnoteReference"/>
        </w:rPr>
        <w:footnoteRef/>
      </w:r>
      <w:r>
        <w:t xml:space="preserve"> </w:t>
      </w:r>
      <w:r>
        <w:tab/>
        <w:t xml:space="preserve">Commission européenne (2020), Prévisions économiques européennes du printemps 2020, </w:t>
      </w:r>
      <w:r>
        <w:rPr>
          <w:i/>
          <w:iCs/>
        </w:rPr>
        <w:t>European Economy Institutional Paper 125</w:t>
      </w:r>
      <w:r>
        <w:t>.</w:t>
      </w:r>
    </w:p>
  </w:footnote>
  <w:footnote w:id="12">
    <w:p>
      <w:pPr>
        <w:pStyle w:val="FootnoteText"/>
        <w:ind w:left="284" w:hanging="284"/>
        <w:rPr>
          <w:sz w:val="18"/>
          <w:szCs w:val="18"/>
        </w:rPr>
      </w:pPr>
      <w:r>
        <w:rPr>
          <w:rStyle w:val="FootnoteReference"/>
          <w:sz w:val="18"/>
          <w:szCs w:val="18"/>
        </w:rPr>
        <w:footnoteRef/>
      </w:r>
      <w:r>
        <w:rPr>
          <w:sz w:val="18"/>
          <w:szCs w:val="18"/>
        </w:rPr>
        <w:t xml:space="preserve"> </w:t>
      </w:r>
      <w:r>
        <w:tab/>
        <w:t>Conformément à la décision 2014/335/UE, Euratom du Conseil, si l’assiette TVA d’un État membre dépasse 50 % de son RNB, elle est écrêtée à hauteur de ces 50 %. Pour le PBR nº 7/2020, six États membres verront leur assiette TVA écrêtée à 50 % du RNB, à savoir la Croatie, Chypre, le Luxembourg, Malte, la Pologne et le Portugal.</w:t>
      </w:r>
    </w:p>
  </w:footnote>
  <w:footnote w:id="13">
    <w:p>
      <w:pPr>
        <w:pStyle w:val="FootnoteText"/>
        <w:ind w:left="284" w:hanging="284"/>
      </w:pPr>
      <w:r>
        <w:rPr>
          <w:rStyle w:val="FootnoteReference"/>
        </w:rPr>
        <w:footnoteRef/>
      </w:r>
      <w:r>
        <w:t xml:space="preserve"> </w:t>
      </w:r>
      <w:r>
        <w:tab/>
        <w:t>Les montants indiqués en grisé découlent des assiettes TVA écrêtées, comme expliqué à la note de bas de page 11 ci-dessus.</w:t>
      </w:r>
    </w:p>
  </w:footnote>
  <w:footnote w:id="14">
    <w:p>
      <w:pPr>
        <w:pStyle w:val="FootnoteText"/>
        <w:ind w:left="284" w:hanging="284"/>
        <w:rPr>
          <w:sz w:val="18"/>
          <w:szCs w:val="18"/>
        </w:rPr>
      </w:pPr>
      <w:r>
        <w:rPr>
          <w:rStyle w:val="FootnoteReference"/>
        </w:rPr>
        <w:footnoteRef/>
      </w:r>
      <w:r>
        <w:tab/>
        <w:t>JO L 168 du 7.6.2014, p. 105.</w:t>
      </w:r>
    </w:p>
  </w:footnote>
  <w:footnote w:id="15">
    <w:p>
      <w:pPr>
        <w:pStyle w:val="FootnoteText"/>
        <w:ind w:left="284" w:hanging="284"/>
        <w:rPr>
          <w:sz w:val="18"/>
          <w:szCs w:val="18"/>
        </w:rPr>
      </w:pPr>
      <w:r>
        <w:rPr>
          <w:rStyle w:val="FootnoteReference"/>
        </w:rPr>
        <w:footnoteRef/>
      </w:r>
      <w:r>
        <w:tab/>
        <w:t>Document de travail de la Commission du 14 mai 2014 concernant le mode de calcul, le financement, le versement et la budgétisation de la correction des déséquilibres budgétaires en faveur du Royaume-Uni («la correction») conformément aux articles 4 et 5 de la décision 2014/335/UE, Euratom du Conseil relative au système des ressources propres de l’Union européenne.</w:t>
      </w:r>
    </w:p>
  </w:footnote>
  <w:footnote w:id="16">
    <w:p>
      <w:pPr>
        <w:pStyle w:val="FootnoteText"/>
      </w:pPr>
      <w:r>
        <w:rPr>
          <w:rStyle w:val="FootnoteReference"/>
        </w:rPr>
        <w:footnoteRef/>
      </w:r>
      <w:r>
        <w:t xml:space="preserve"> Voir l’article 10 </w:t>
      </w:r>
      <w:r>
        <w:rPr>
          <w:i/>
          <w:iCs/>
        </w:rPr>
        <w:t>bis</w:t>
      </w:r>
      <w:r>
        <w:t>, paragraphe 1, du règlement nº 609/2014 relatif à la mise à disposition.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33135"/>
    <w:multiLevelType w:val="hybridMultilevel"/>
    <w:tmpl w:val="5FB65CB0"/>
    <w:lvl w:ilvl="0" w:tplc="DF58C5E4">
      <w:start w:val="1"/>
      <w:numFmt w:val="bullet"/>
      <w:lvlText w:val="-"/>
      <w:lvlJc w:val="left"/>
      <w:pPr>
        <w:ind w:left="525" w:hanging="360"/>
      </w:pPr>
      <w:rPr>
        <w:rFonts w:ascii="Times New Roman" w:eastAsia="Times New Roman" w:hAnsi="Times New Roman" w:cs="Times New Roman"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9">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4">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9">
    <w:nsid w:val="56747A46"/>
    <w:multiLevelType w:val="hybridMultilevel"/>
    <w:tmpl w:val="32569418"/>
    <w:lvl w:ilvl="0" w:tplc="C062FB16">
      <w:start w:val="1"/>
      <w:numFmt w:val="bullet"/>
      <w:lvlText w:val="-"/>
      <w:lvlJc w:val="left"/>
      <w:pPr>
        <w:ind w:left="480" w:hanging="360"/>
      </w:pPr>
      <w:rPr>
        <w:rFonts w:ascii="Times New Roman" w:eastAsia="Times New Roman" w:hAnsi="Times New Roman" w:cs="Times New Roman"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0">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3">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6">
    <w:nsid w:val="6E3F2A49"/>
    <w:multiLevelType w:val="hybridMultilevel"/>
    <w:tmpl w:val="7EAC1D84"/>
    <w:lvl w:ilvl="0" w:tplc="A5B0EAD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7C1F55"/>
    <w:multiLevelType w:val="hybridMultilevel"/>
    <w:tmpl w:val="8F3C5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5E22A1"/>
    <w:multiLevelType w:val="hybridMultilevel"/>
    <w:tmpl w:val="CEAAEF8A"/>
    <w:lvl w:ilvl="0" w:tplc="70F285EA">
      <w:start w:val="1"/>
      <w:numFmt w:val="bullet"/>
      <w:lvlText w:val="-"/>
      <w:lvlJc w:val="left"/>
      <w:pPr>
        <w:ind w:left="383" w:hanging="360"/>
      </w:pPr>
      <w:rPr>
        <w:rFonts w:ascii="Times New Roman" w:eastAsia="Times New Roman" w:hAnsi="Times New Roman" w:cs="Times New Roman" w:hint="default"/>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31">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3">
    <w:nsid w:val="7C897016"/>
    <w:multiLevelType w:val="hybridMultilevel"/>
    <w:tmpl w:val="97A06FA8"/>
    <w:lvl w:ilvl="0" w:tplc="1A0C97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7"/>
  </w:num>
  <w:num w:numId="3">
    <w:abstractNumId w:val="29"/>
  </w:num>
  <w:num w:numId="4">
    <w:abstractNumId w:val="18"/>
  </w:num>
  <w:num w:numId="5">
    <w:abstractNumId w:val="25"/>
  </w:num>
  <w:num w:numId="6">
    <w:abstractNumId w:val="15"/>
  </w:num>
  <w:num w:numId="7">
    <w:abstractNumId w:val="10"/>
  </w:num>
  <w:num w:numId="8">
    <w:abstractNumId w:val="32"/>
  </w:num>
  <w:num w:numId="9">
    <w:abstractNumId w:val="23"/>
  </w:num>
  <w:num w:numId="10">
    <w:abstractNumId w:val="34"/>
  </w:num>
  <w:num w:numId="11">
    <w:abstractNumId w:val="24"/>
  </w:num>
  <w:num w:numId="12">
    <w:abstractNumId w:val="0"/>
  </w:num>
  <w:num w:numId="13">
    <w:abstractNumId w:val="1"/>
  </w:num>
  <w:num w:numId="14">
    <w:abstractNumId w:val="3"/>
  </w:num>
  <w:num w:numId="15">
    <w:abstractNumId w:val="14"/>
  </w:num>
  <w:num w:numId="16">
    <w:abstractNumId w:val="6"/>
  </w:num>
  <w:num w:numId="17">
    <w:abstractNumId w:val="11"/>
  </w:num>
  <w:num w:numId="18">
    <w:abstractNumId w:val="9"/>
  </w:num>
  <w:num w:numId="19">
    <w:abstractNumId w:val="4"/>
  </w:num>
  <w:num w:numId="20">
    <w:abstractNumId w:val="5"/>
  </w:num>
  <w:num w:numId="21">
    <w:abstractNumId w:val="2"/>
  </w:num>
  <w:num w:numId="22">
    <w:abstractNumId w:val="16"/>
  </w:num>
  <w:num w:numId="23">
    <w:abstractNumId w:val="31"/>
  </w:num>
  <w:num w:numId="24">
    <w:abstractNumId w:val="27"/>
  </w:num>
  <w:num w:numId="25">
    <w:abstractNumId w:val="12"/>
  </w:num>
  <w:num w:numId="26">
    <w:abstractNumId w:val="21"/>
  </w:num>
  <w:num w:numId="27">
    <w:abstractNumId w:val="20"/>
  </w:num>
  <w:num w:numId="28">
    <w:abstractNumId w:val="17"/>
  </w:num>
  <w:num w:numId="29">
    <w:abstractNumId w:val="33"/>
  </w:num>
  <w:num w:numId="30">
    <w:abstractNumId w:val="22"/>
    <w:lvlOverride w:ilvl="0">
      <w:startOverride w:val="1"/>
    </w:lvlOverride>
  </w:num>
  <w:num w:numId="31">
    <w:abstractNumId w:val="22"/>
  </w:num>
  <w:num w:numId="32">
    <w:abstractNumId w:val="30"/>
  </w:num>
  <w:num w:numId="33">
    <w:abstractNumId w:val="19"/>
  </w:num>
  <w:num w:numId="34">
    <w:abstractNumId w:val="8"/>
  </w:num>
  <w:num w:numId="35">
    <w:abstractNumId w:val="26"/>
  </w:num>
  <w:num w:numId="36">
    <w:abstractNumId w:val="2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9CC349A-3906-42A1-AE16-61C5A47C825F"/>
    <w:docVar w:name="LW_COVERPAGE_TYPE" w:val="1"/>
    <w:docVar w:name="LW_CROSSREFERENCE" w:val="&lt;UNUSED&gt;"/>
    <w:docVar w:name="LW_DocType" w:val="NORMAL"/>
    <w:docVar w:name="LW_EMISSION" w:val="6.7.2020"/>
    <w:docVar w:name="LW_EMISSION_ISODATE" w:val="2020-07-06"/>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4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ctualisation des recettes (ressources propres)"/>
    <w:docVar w:name="LW_TYPE.DOC.CP" w:val="PROJET DE BUDGET RECTIFICATIF N° 7 _x000b_AU BUDGET GÉNÉRAL 2020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qFormat/>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qFormat/>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1157">
      <w:bodyDiv w:val="1"/>
      <w:marLeft w:val="0"/>
      <w:marRight w:val="0"/>
      <w:marTop w:val="0"/>
      <w:marBottom w:val="0"/>
      <w:divBdr>
        <w:top w:val="none" w:sz="0" w:space="0" w:color="auto"/>
        <w:left w:val="none" w:sz="0" w:space="0" w:color="auto"/>
        <w:bottom w:val="none" w:sz="0" w:space="0" w:color="auto"/>
        <w:right w:val="none" w:sz="0" w:space="0" w:color="auto"/>
      </w:divBdr>
    </w:div>
    <w:div w:id="337079153">
      <w:bodyDiv w:val="1"/>
      <w:marLeft w:val="0"/>
      <w:marRight w:val="0"/>
      <w:marTop w:val="0"/>
      <w:marBottom w:val="0"/>
      <w:divBdr>
        <w:top w:val="none" w:sz="0" w:space="0" w:color="auto"/>
        <w:left w:val="none" w:sz="0" w:space="0" w:color="auto"/>
        <w:bottom w:val="none" w:sz="0" w:space="0" w:color="auto"/>
        <w:right w:val="none" w:sz="0" w:space="0" w:color="auto"/>
      </w:divBdr>
    </w:div>
    <w:div w:id="940720584">
      <w:bodyDiv w:val="1"/>
      <w:marLeft w:val="0"/>
      <w:marRight w:val="0"/>
      <w:marTop w:val="0"/>
      <w:marBottom w:val="0"/>
      <w:divBdr>
        <w:top w:val="none" w:sz="0" w:space="0" w:color="auto"/>
        <w:left w:val="none" w:sz="0" w:space="0" w:color="auto"/>
        <w:bottom w:val="none" w:sz="0" w:space="0" w:color="auto"/>
        <w:right w:val="none" w:sz="0" w:space="0" w:color="auto"/>
      </w:divBdr>
    </w:div>
    <w:div w:id="944852370">
      <w:bodyDiv w:val="1"/>
      <w:marLeft w:val="0"/>
      <w:marRight w:val="0"/>
      <w:marTop w:val="0"/>
      <w:marBottom w:val="0"/>
      <w:divBdr>
        <w:top w:val="none" w:sz="0" w:space="0" w:color="auto"/>
        <w:left w:val="none" w:sz="0" w:space="0" w:color="auto"/>
        <w:bottom w:val="none" w:sz="0" w:space="0" w:color="auto"/>
        <w:right w:val="none" w:sz="0" w:space="0" w:color="auto"/>
      </w:divBdr>
    </w:div>
    <w:div w:id="1405838611">
      <w:bodyDiv w:val="1"/>
      <w:marLeft w:val="0"/>
      <w:marRight w:val="0"/>
      <w:marTop w:val="0"/>
      <w:marBottom w:val="0"/>
      <w:divBdr>
        <w:top w:val="none" w:sz="0" w:space="0" w:color="auto"/>
        <w:left w:val="none" w:sz="0" w:space="0" w:color="auto"/>
        <w:bottom w:val="none" w:sz="0" w:space="0" w:color="auto"/>
        <w:right w:val="none" w:sz="0" w:space="0" w:color="auto"/>
      </w:divBdr>
    </w:div>
    <w:div w:id="20250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eur-lex.europa.eu/budget/www/index-fr.htm" TargetMode="External"/><Relationship Id="rId20" Type="http://schemas.openxmlformats.org/officeDocument/2006/relationships/footer" Target="footer5.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87818-11C7-4B95-9CED-2E06CDE1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18</Pages>
  <Words>6266</Words>
  <Characters>28138</Characters>
  <Application>Microsoft Office Word</Application>
  <DocSecurity>0</DocSecurity>
  <Lines>1406</Lines>
  <Paragraphs>1323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25</cp:revision>
  <dcterms:created xsi:type="dcterms:W3CDTF">2020-06-18T14:23:00Z</dcterms:created>
  <dcterms:modified xsi:type="dcterms:W3CDTF">2020-07-08T14:05:00Z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