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15017750"/>
      <w:bookmarkStart w:id="1" w:name="_Toc512438612"/>
      <w:bookmarkStart w:id="2" w:name="_Toc448503093"/>
      <w:bookmarkStart w:id="3" w:name="_Toc448926047"/>
      <w:bookmarkStart w:id="4" w:name="_Toc384658382"/>
      <w:bookmarkStart w:id="5" w:name="_Toc351392070"/>
      <w:bookmarkStart w:id="6" w:name="_Toc351392027"/>
      <w:bookmarkStart w:id="7" w:name="_Toc351391961"/>
      <w:bookmarkStart w:id="8" w:name="_Toc351391854"/>
      <w:bookmarkStart w:id="9" w:name="_Toc351391759"/>
      <w:bookmarkStart w:id="10" w:name="_Toc255288538"/>
      <w:bookmarkStart w:id="1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B0B1FF6-4E4F-4642-8BC2-32EB361627AD" style="width:450.75pt;height:376.5pt">
            <v:imagedata r:id="rId9" o:title=""/>
          </v:shape>
        </w:pict>
      </w:r>
    </w:p>
    <w:bookmarkEnd w:id="11"/>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spacing w:after="120" w:line="240" w:lineRule="auto"/>
        <w:jc w:val="center"/>
        <w:rPr>
          <w:rFonts w:ascii="Times New Roman" w:eastAsia="Times New Roman" w:hAnsi="Times New Roman" w:cs="Times New Roman"/>
          <w:noProof/>
          <w:sz w:val="24"/>
          <w:szCs w:val="20"/>
          <w:lang w:eastAsia="en-GB"/>
        </w:rPr>
      </w:pPr>
      <w:bookmarkStart w:id="12" w:name="_GoBack"/>
      <w:bookmarkEnd w:id="12"/>
    </w:p>
    <w:sdt>
      <w:sdtPr>
        <w:rPr>
          <w:rFonts w:ascii="Times New Roman" w:eastAsia="Times New Roman" w:hAnsi="Times New Roman" w:cs="Times New Roman"/>
          <w:noProof/>
          <w:sz w:val="24"/>
          <w:szCs w:val="20"/>
        </w:rPr>
        <w:id w:val="219489259"/>
        <w:docPartObj>
          <w:docPartGallery w:val="Table of Contents"/>
          <w:docPartUnique/>
        </w:docPartObj>
      </w:sdtPr>
      <w:sdtEndPr>
        <w:rPr>
          <w:bCs/>
        </w:rPr>
      </w:sdtEndPr>
      <w:sdtContent>
        <w:p>
          <w:pPr>
            <w:spacing w:after="120" w:line="240" w:lineRule="auto"/>
            <w:jc w:val="center"/>
            <w:rPr>
              <w:rFonts w:ascii="EC Square Sans Pro" w:eastAsia="Times New Roman" w:hAnsi="EC Square Sans Pro" w:cs="Times New Roman"/>
              <w:b/>
              <w:noProof/>
              <w:color w:val="005D95"/>
              <w:sz w:val="32"/>
              <w:szCs w:val="20"/>
            </w:rPr>
          </w:pPr>
          <w:r>
            <w:rPr>
              <w:rFonts w:ascii="EC Square Sans Pro" w:hAnsi="EC Square Sans Pro"/>
              <w:b/>
              <w:noProof/>
              <w:color w:val="005D95"/>
              <w:sz w:val="32"/>
              <w:szCs w:val="20"/>
            </w:rPr>
            <w:t>Съдържание</w:t>
          </w:r>
        </w:p>
        <w:p>
          <w:pPr>
            <w:pStyle w:val="TOC1"/>
            <w:rPr>
              <w:rFonts w:eastAsiaTheme="minorEastAsia"/>
              <w:noProof/>
              <w:color w:val="auto"/>
              <w:lang w:val="en-US"/>
            </w:rPr>
          </w:pPr>
          <w:r>
            <w:rPr>
              <w:rFonts w:ascii="Times New Roman" w:eastAsia="Times New Roman" w:hAnsi="Times New Roman" w:cs="Times New Roman"/>
              <w:b/>
              <w:bCs/>
              <w:caps/>
              <w:noProof/>
              <w:sz w:val="20"/>
              <w:szCs w:val="20"/>
            </w:rPr>
            <w:fldChar w:fldCharType="begin"/>
          </w:r>
          <w:r>
            <w:rPr>
              <w:rFonts w:ascii="Times New Roman" w:eastAsia="Times New Roman" w:hAnsi="Times New Roman" w:cs="Times New Roman"/>
              <w:b/>
              <w:bCs/>
              <w:caps/>
              <w:noProof/>
              <w:sz w:val="20"/>
              <w:szCs w:val="20"/>
            </w:rPr>
            <w:instrText xml:space="preserve"> TOC \o "1-3" \h \z \u </w:instrText>
          </w:r>
          <w:r>
            <w:rPr>
              <w:rFonts w:ascii="Times New Roman" w:eastAsia="Times New Roman" w:hAnsi="Times New Roman" w:cs="Times New Roman"/>
              <w:b/>
              <w:noProof/>
              <w:sz w:val="24"/>
              <w:szCs w:val="20"/>
            </w:rPr>
            <w:fldChar w:fldCharType="separate"/>
          </w:r>
          <w:hyperlink w:anchor="_Toc45016855" w:history="1">
            <w:r>
              <w:rPr>
                <w:rStyle w:val="Hyperlink"/>
                <w:rFonts w:ascii="EC Square Sans Pro" w:eastAsia="Times New Roman" w:hAnsi="EC Square Sans Pro" w:cs="Times New Roman"/>
                <w:b/>
                <w:smallCaps/>
                <w:noProof/>
              </w:rPr>
              <w:t>1.</w:t>
            </w:r>
            <w:r>
              <w:rPr>
                <w:rFonts w:eastAsiaTheme="minorEastAsia"/>
                <w:noProof/>
                <w:color w:val="auto"/>
                <w:lang w:val="en-US"/>
              </w:rPr>
              <w:tab/>
            </w:r>
            <w:r>
              <w:rPr>
                <w:rStyle w:val="Hyperlink"/>
                <w:rFonts w:ascii="EC Square Sans Pro" w:hAnsi="EC Square Sans Pro"/>
                <w:b/>
                <w:smallCaps/>
                <w:noProof/>
              </w:rPr>
              <w:t>Въведение</w:t>
            </w:r>
            <w:r>
              <w:rPr>
                <w:noProof/>
                <w:webHidden/>
              </w:rPr>
              <w:tab/>
            </w:r>
            <w:r>
              <w:rPr>
                <w:noProof/>
                <w:webHidden/>
              </w:rPr>
              <w:fldChar w:fldCharType="begin"/>
            </w:r>
            <w:r>
              <w:rPr>
                <w:noProof/>
                <w:webHidden/>
              </w:rPr>
              <w:instrText xml:space="preserve"> PAGEREF _Toc45016855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color w:val="auto"/>
              <w:lang w:val="en-US"/>
            </w:rPr>
          </w:pPr>
          <w:hyperlink w:anchor="_Toc45016856" w:history="1">
            <w:r>
              <w:rPr>
                <w:rStyle w:val="Hyperlink"/>
                <w:rFonts w:ascii="EC Square Sans Pro" w:eastAsia="Times New Roman" w:hAnsi="EC Square Sans Pro" w:cs="Times New Roman"/>
                <w:b/>
                <w:smallCaps/>
                <w:noProof/>
              </w:rPr>
              <w:t>2.</w:t>
            </w:r>
            <w:r>
              <w:rPr>
                <w:rFonts w:eastAsiaTheme="minorEastAsia"/>
                <w:noProof/>
                <w:color w:val="auto"/>
                <w:lang w:val="en-US"/>
              </w:rPr>
              <w:tab/>
            </w:r>
            <w:r>
              <w:rPr>
                <w:rStyle w:val="Hyperlink"/>
                <w:rFonts w:ascii="EC Square Sans Pro" w:hAnsi="EC Square Sans Pro"/>
                <w:b/>
                <w:smallCaps/>
                <w:noProof/>
              </w:rPr>
              <w:t>Мисия на Службата за вътрешен одит: отчетност, независимост и обективност</w:t>
            </w:r>
            <w:r>
              <w:rPr>
                <w:noProof/>
                <w:webHidden/>
              </w:rPr>
              <w:tab/>
            </w:r>
            <w:r>
              <w:rPr>
                <w:noProof/>
                <w:webHidden/>
              </w:rPr>
              <w:fldChar w:fldCharType="begin"/>
            </w:r>
            <w:r>
              <w:rPr>
                <w:noProof/>
                <w:webHidden/>
              </w:rPr>
              <w:instrText xml:space="preserve"> PAGEREF _Toc45016856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color w:val="auto"/>
              <w:lang w:val="en-US"/>
            </w:rPr>
          </w:pPr>
          <w:hyperlink w:anchor="_Toc45016857" w:history="1">
            <w:r>
              <w:rPr>
                <w:rStyle w:val="Hyperlink"/>
                <w:rFonts w:ascii="EC Square Sans Pro" w:eastAsia="Times New Roman" w:hAnsi="EC Square Sans Pro" w:cs="Times New Roman"/>
                <w:b/>
                <w:smallCaps/>
                <w:noProof/>
              </w:rPr>
              <w:t>3.</w:t>
            </w:r>
            <w:r>
              <w:rPr>
                <w:rFonts w:eastAsiaTheme="minorEastAsia"/>
                <w:noProof/>
                <w:color w:val="auto"/>
                <w:lang w:val="en-US"/>
              </w:rPr>
              <w:tab/>
            </w:r>
            <w:r>
              <w:rPr>
                <w:rStyle w:val="Hyperlink"/>
                <w:rFonts w:ascii="EC Square Sans Pro" w:hAnsi="EC Square Sans Pro"/>
                <w:b/>
                <w:smallCaps/>
                <w:noProof/>
              </w:rPr>
              <w:t>Преглед на извършените одити</w:t>
            </w:r>
            <w:r>
              <w:rPr>
                <w:noProof/>
                <w:webHidden/>
              </w:rPr>
              <w:tab/>
            </w:r>
            <w:r>
              <w:rPr>
                <w:noProof/>
                <w:webHidden/>
              </w:rPr>
              <w:fldChar w:fldCharType="begin"/>
            </w:r>
            <w:r>
              <w:rPr>
                <w:noProof/>
                <w:webHidden/>
              </w:rPr>
              <w:instrText xml:space="preserve"> PAGEREF _Toc45016857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color w:val="auto"/>
              <w:lang w:val="en-US"/>
            </w:rPr>
          </w:pPr>
          <w:hyperlink w:anchor="_Toc45016858" w:history="1">
            <w:r>
              <w:rPr>
                <w:rStyle w:val="Hyperlink"/>
                <w:rFonts w:ascii="EC Square Sans Pro" w:eastAsia="Times New Roman" w:hAnsi="EC Square Sans Pro" w:cs="Times New Roman"/>
                <w:b/>
                <w:noProof/>
              </w:rPr>
              <w:t>3.1.</w:t>
            </w:r>
            <w:r>
              <w:rPr>
                <w:rFonts w:eastAsiaTheme="minorEastAsia"/>
                <w:noProof/>
                <w:color w:val="auto"/>
                <w:lang w:val="en-US"/>
              </w:rPr>
              <w:tab/>
            </w:r>
            <w:r>
              <w:rPr>
                <w:rStyle w:val="Hyperlink"/>
                <w:rFonts w:ascii="EC Square Sans Pro" w:hAnsi="EC Square Sans Pro"/>
                <w:b/>
                <w:noProof/>
              </w:rPr>
              <w:t>Изпълнение на плана за одит за 2019</w:t>
            </w:r>
            <w:r>
              <w:rPr>
                <w:rStyle w:val="Hyperlink"/>
                <w:rFonts w:ascii="Calibri" w:hAnsi="Calibri" w:cs="Calibri"/>
                <w:b/>
                <w:noProof/>
              </w:rPr>
              <w:t> </w:t>
            </w:r>
            <w:r>
              <w:rPr>
                <w:rStyle w:val="Hyperlink"/>
                <w:rFonts w:ascii="EC Square Sans Pro" w:hAnsi="EC Square Sans Pro" w:cs="EC Square Sans Pro"/>
                <w:b/>
                <w:noProof/>
              </w:rPr>
              <w:t>г</w:t>
            </w:r>
            <w:r>
              <w:rPr>
                <w:rStyle w:val="Hyperlink"/>
                <w:rFonts w:ascii="EC Square Sans Pro" w:hAnsi="EC Square Sans Pro"/>
                <w:b/>
                <w:noProof/>
              </w:rPr>
              <w:t>.</w:t>
            </w:r>
            <w:r>
              <w:rPr>
                <w:noProof/>
                <w:webHidden/>
              </w:rPr>
              <w:tab/>
            </w:r>
            <w:r>
              <w:rPr>
                <w:noProof/>
                <w:webHidden/>
              </w:rPr>
              <w:fldChar w:fldCharType="begin"/>
            </w:r>
            <w:r>
              <w:rPr>
                <w:noProof/>
                <w:webHidden/>
              </w:rPr>
              <w:instrText xml:space="preserve"> PAGEREF _Toc45016858 \h </w:instrText>
            </w:r>
            <w:r>
              <w:rPr>
                <w:noProof/>
                <w:webHidden/>
              </w:rPr>
            </w:r>
            <w:r>
              <w:rPr>
                <w:noProof/>
                <w:webHidden/>
              </w:rPr>
              <w:fldChar w:fldCharType="separate"/>
            </w:r>
            <w:r>
              <w:rPr>
                <w:noProof/>
                <w:webHidden/>
              </w:rPr>
              <w:t>3</w:t>
            </w:r>
            <w:r>
              <w:rPr>
                <w:noProof/>
                <w:webHidden/>
              </w:rPr>
              <w:fldChar w:fldCharType="end"/>
            </w:r>
          </w:hyperlink>
        </w:p>
        <w:p>
          <w:pPr>
            <w:pStyle w:val="TOC2"/>
            <w:rPr>
              <w:rFonts w:eastAsiaTheme="minorEastAsia"/>
              <w:noProof/>
              <w:color w:val="auto"/>
              <w:lang w:val="en-US"/>
            </w:rPr>
          </w:pPr>
          <w:hyperlink w:anchor="_Toc45016859" w:history="1">
            <w:r>
              <w:rPr>
                <w:rStyle w:val="Hyperlink"/>
                <w:rFonts w:ascii="EC Square Sans Pro" w:eastAsia="Times New Roman" w:hAnsi="EC Square Sans Pro" w:cs="Times New Roman"/>
                <w:b/>
                <w:noProof/>
              </w:rPr>
              <w:t>3.2.</w:t>
            </w:r>
            <w:r>
              <w:rPr>
                <w:rFonts w:eastAsiaTheme="minorEastAsia"/>
                <w:noProof/>
                <w:color w:val="auto"/>
                <w:lang w:val="en-US"/>
              </w:rPr>
              <w:tab/>
            </w:r>
            <w:r>
              <w:rPr>
                <w:rStyle w:val="Hyperlink"/>
                <w:rFonts w:ascii="EC Square Sans Pro" w:hAnsi="EC Square Sans Pro"/>
                <w:b/>
                <w:noProof/>
              </w:rPr>
              <w:t>Статистически данни за препоръките на Службата за вътрешен одит</w:t>
            </w:r>
            <w:r>
              <w:rPr>
                <w:noProof/>
                <w:webHidden/>
              </w:rPr>
              <w:tab/>
            </w:r>
            <w:r>
              <w:rPr>
                <w:noProof/>
                <w:webHidden/>
              </w:rPr>
              <w:fldChar w:fldCharType="begin"/>
            </w:r>
            <w:r>
              <w:rPr>
                <w:noProof/>
                <w:webHidden/>
              </w:rPr>
              <w:instrText xml:space="preserve"> PAGEREF _Toc45016859 \h </w:instrText>
            </w:r>
            <w:r>
              <w:rPr>
                <w:noProof/>
                <w:webHidden/>
              </w:rPr>
            </w:r>
            <w:r>
              <w:rPr>
                <w:noProof/>
                <w:webHidden/>
              </w:rPr>
              <w:fldChar w:fldCharType="separate"/>
            </w:r>
            <w:r>
              <w:rPr>
                <w:noProof/>
                <w:webHidden/>
              </w:rPr>
              <w:t>4</w:t>
            </w:r>
            <w:r>
              <w:rPr>
                <w:noProof/>
                <w:webHidden/>
              </w:rPr>
              <w:fldChar w:fldCharType="end"/>
            </w:r>
          </w:hyperlink>
        </w:p>
        <w:p>
          <w:pPr>
            <w:pStyle w:val="TOC1"/>
            <w:rPr>
              <w:rFonts w:eastAsiaTheme="minorEastAsia"/>
              <w:noProof/>
              <w:color w:val="auto"/>
              <w:lang w:val="en-US"/>
            </w:rPr>
          </w:pPr>
          <w:hyperlink w:anchor="_Toc45016860" w:history="1">
            <w:r>
              <w:rPr>
                <w:rStyle w:val="Hyperlink"/>
                <w:rFonts w:ascii="EC Square Sans Pro" w:eastAsia="Times New Roman" w:hAnsi="EC Square Sans Pro" w:cs="Times New Roman"/>
                <w:b/>
                <w:smallCaps/>
                <w:noProof/>
              </w:rPr>
              <w:t>4.</w:t>
            </w:r>
            <w:r>
              <w:rPr>
                <w:rFonts w:eastAsiaTheme="minorEastAsia"/>
                <w:noProof/>
                <w:color w:val="auto"/>
                <w:lang w:val="en-US"/>
              </w:rPr>
              <w:tab/>
            </w:r>
            <w:r>
              <w:rPr>
                <w:rStyle w:val="Hyperlink"/>
                <w:rFonts w:ascii="EC Square Sans Pro" w:hAnsi="EC Square Sans Pro"/>
                <w:b/>
                <w:smallCaps/>
                <w:noProof/>
              </w:rPr>
              <w:t>Заключения въз основа на одитите, извършени през 2019</w:t>
            </w:r>
            <w:r>
              <w:rPr>
                <w:rStyle w:val="Hyperlink"/>
                <w:rFonts w:ascii="Calibri" w:hAnsi="Calibri" w:cs="Calibri"/>
                <w:b/>
                <w:smallCaps/>
                <w:noProof/>
              </w:rPr>
              <w:t> </w:t>
            </w:r>
            <w:r>
              <w:rPr>
                <w:rStyle w:val="Hyperlink"/>
                <w:rFonts w:ascii="EC Square Sans Pro" w:hAnsi="EC Square Sans Pro" w:cs="EC Square Sans Pro"/>
                <w:b/>
                <w:smallCaps/>
                <w:noProof/>
              </w:rPr>
              <w:t>г</w:t>
            </w:r>
            <w:r>
              <w:rPr>
                <w:rStyle w:val="Hyperlink"/>
                <w:rFonts w:ascii="EC Square Sans Pro" w:hAnsi="EC Square Sans Pro"/>
                <w:b/>
                <w:smallCaps/>
                <w:noProof/>
              </w:rPr>
              <w:t>.</w:t>
            </w:r>
            <w:r>
              <w:rPr>
                <w:noProof/>
                <w:webHidden/>
              </w:rPr>
              <w:tab/>
            </w:r>
            <w:r>
              <w:rPr>
                <w:noProof/>
                <w:webHidden/>
              </w:rPr>
              <w:fldChar w:fldCharType="begin"/>
            </w:r>
            <w:r>
              <w:rPr>
                <w:noProof/>
                <w:webHidden/>
              </w:rPr>
              <w:instrText xml:space="preserve"> PAGEREF _Toc45016860 \h </w:instrText>
            </w:r>
            <w:r>
              <w:rPr>
                <w:noProof/>
                <w:webHidden/>
              </w:rPr>
            </w:r>
            <w:r>
              <w:rPr>
                <w:noProof/>
                <w:webHidden/>
              </w:rPr>
              <w:fldChar w:fldCharType="separate"/>
            </w:r>
            <w:r>
              <w:rPr>
                <w:noProof/>
                <w:webHidden/>
              </w:rPr>
              <w:t>6</w:t>
            </w:r>
            <w:r>
              <w:rPr>
                <w:noProof/>
                <w:webHidden/>
              </w:rPr>
              <w:fldChar w:fldCharType="end"/>
            </w:r>
          </w:hyperlink>
        </w:p>
        <w:p>
          <w:pPr>
            <w:pStyle w:val="TOC2"/>
            <w:rPr>
              <w:rFonts w:eastAsiaTheme="minorEastAsia"/>
              <w:noProof/>
              <w:color w:val="auto"/>
              <w:lang w:val="en-US"/>
            </w:rPr>
          </w:pPr>
          <w:hyperlink w:anchor="_Toc45016861" w:history="1">
            <w:r>
              <w:rPr>
                <w:rStyle w:val="Hyperlink"/>
                <w:rFonts w:ascii="EC Square Sans Pro" w:eastAsia="Times New Roman" w:hAnsi="EC Square Sans Pro" w:cs="Times New Roman"/>
                <w:b/>
                <w:noProof/>
              </w:rPr>
              <w:t>4.1.</w:t>
            </w:r>
            <w:r>
              <w:rPr>
                <w:rFonts w:eastAsiaTheme="minorEastAsia"/>
                <w:noProof/>
                <w:color w:val="auto"/>
                <w:lang w:val="en-US"/>
              </w:rPr>
              <w:tab/>
            </w:r>
            <w:r>
              <w:rPr>
                <w:rStyle w:val="Hyperlink"/>
                <w:rFonts w:ascii="EC Square Sans Pro" w:hAnsi="EC Square Sans Pro"/>
                <w:b/>
                <w:noProof/>
              </w:rPr>
              <w:t>Заключения относно одитите на изпълнението</w:t>
            </w:r>
            <w:r>
              <w:rPr>
                <w:noProof/>
                <w:webHidden/>
              </w:rPr>
              <w:tab/>
            </w:r>
            <w:r>
              <w:rPr>
                <w:noProof/>
                <w:webHidden/>
              </w:rPr>
              <w:fldChar w:fldCharType="begin"/>
            </w:r>
            <w:r>
              <w:rPr>
                <w:noProof/>
                <w:webHidden/>
              </w:rPr>
              <w:instrText xml:space="preserve"> PAGEREF _Toc45016861 \h </w:instrText>
            </w:r>
            <w:r>
              <w:rPr>
                <w:noProof/>
                <w:webHidden/>
              </w:rPr>
            </w:r>
            <w:r>
              <w:rPr>
                <w:noProof/>
                <w:webHidden/>
              </w:rPr>
              <w:fldChar w:fldCharType="separate"/>
            </w:r>
            <w:r>
              <w:rPr>
                <w:noProof/>
                <w:webHidden/>
              </w:rPr>
              <w:t>6</w:t>
            </w:r>
            <w:r>
              <w:rPr>
                <w:noProof/>
                <w:webHidden/>
              </w:rPr>
              <w:fldChar w:fldCharType="end"/>
            </w:r>
          </w:hyperlink>
        </w:p>
        <w:p>
          <w:pPr>
            <w:pStyle w:val="TOC3"/>
            <w:rPr>
              <w:rFonts w:eastAsiaTheme="minorEastAsia"/>
              <w:noProof/>
              <w:color w:val="auto"/>
              <w:lang w:val="en-US"/>
            </w:rPr>
          </w:pPr>
          <w:hyperlink w:anchor="_Toc45016862" w:history="1">
            <w:r>
              <w:rPr>
                <w:rStyle w:val="Hyperlink"/>
                <w:rFonts w:ascii="EC Square Sans Pro" w:eastAsia="Times New Roman" w:hAnsi="EC Square Sans Pro" w:cs="Times New Roman"/>
                <w:noProof/>
              </w:rPr>
              <w:t>4.1.1.</w:t>
            </w:r>
            <w:r>
              <w:rPr>
                <w:rFonts w:eastAsiaTheme="minorEastAsia"/>
                <w:noProof/>
                <w:color w:val="auto"/>
                <w:lang w:val="en-US"/>
              </w:rPr>
              <w:tab/>
            </w:r>
            <w:r>
              <w:rPr>
                <w:rStyle w:val="Hyperlink"/>
                <w:rFonts w:ascii="EC Square Sans Pro" w:hAnsi="EC Square Sans Pro"/>
                <w:i/>
                <w:noProof/>
              </w:rPr>
              <w:t>Стратегии за надзор във връзка с изпълнението на програми от трети страни</w:t>
            </w:r>
            <w:r>
              <w:rPr>
                <w:noProof/>
                <w:webHidden/>
              </w:rPr>
              <w:tab/>
            </w:r>
            <w:r>
              <w:rPr>
                <w:noProof/>
                <w:webHidden/>
              </w:rPr>
              <w:fldChar w:fldCharType="begin"/>
            </w:r>
            <w:r>
              <w:rPr>
                <w:noProof/>
                <w:webHidden/>
              </w:rPr>
              <w:instrText xml:space="preserve"> PAGEREF _Toc45016862 \h </w:instrText>
            </w:r>
            <w:r>
              <w:rPr>
                <w:noProof/>
                <w:webHidden/>
              </w:rPr>
            </w:r>
            <w:r>
              <w:rPr>
                <w:noProof/>
                <w:webHidden/>
              </w:rPr>
              <w:fldChar w:fldCharType="separate"/>
            </w:r>
            <w:r>
              <w:rPr>
                <w:noProof/>
                <w:webHidden/>
              </w:rPr>
              <w:t>7</w:t>
            </w:r>
            <w:r>
              <w:rPr>
                <w:noProof/>
                <w:webHidden/>
              </w:rPr>
              <w:fldChar w:fldCharType="end"/>
            </w:r>
          </w:hyperlink>
        </w:p>
        <w:p>
          <w:pPr>
            <w:pStyle w:val="TOC3"/>
            <w:rPr>
              <w:rFonts w:eastAsiaTheme="minorEastAsia"/>
              <w:noProof/>
              <w:color w:val="auto"/>
              <w:lang w:val="en-US"/>
            </w:rPr>
          </w:pPr>
          <w:hyperlink w:anchor="_Toc45016863" w:history="1">
            <w:r>
              <w:rPr>
                <w:rStyle w:val="Hyperlink"/>
                <w:rFonts w:ascii="EC Square Sans Pro" w:eastAsia="Times New Roman" w:hAnsi="EC Square Sans Pro" w:cs="Times New Roman"/>
                <w:noProof/>
              </w:rPr>
              <w:t>4.1.2.</w:t>
            </w:r>
            <w:r>
              <w:rPr>
                <w:rFonts w:eastAsiaTheme="minorEastAsia"/>
                <w:noProof/>
                <w:color w:val="auto"/>
                <w:lang w:val="en-US"/>
              </w:rPr>
              <w:tab/>
            </w:r>
            <w:r>
              <w:rPr>
                <w:rStyle w:val="Hyperlink"/>
                <w:rFonts w:ascii="EC Square Sans Pro" w:hAnsi="EC Square Sans Pro"/>
                <w:i/>
                <w:noProof/>
              </w:rPr>
              <w:t>Стратегии за контрол за избрани генерални дирекции и служби</w:t>
            </w:r>
            <w:r>
              <w:rPr>
                <w:noProof/>
                <w:webHidden/>
              </w:rPr>
              <w:tab/>
            </w:r>
            <w:r>
              <w:rPr>
                <w:noProof/>
                <w:webHidden/>
              </w:rPr>
              <w:fldChar w:fldCharType="begin"/>
            </w:r>
            <w:r>
              <w:rPr>
                <w:noProof/>
                <w:webHidden/>
              </w:rPr>
              <w:instrText xml:space="preserve"> PAGEREF _Toc45016863 \h </w:instrText>
            </w:r>
            <w:r>
              <w:rPr>
                <w:noProof/>
                <w:webHidden/>
              </w:rPr>
            </w:r>
            <w:r>
              <w:rPr>
                <w:noProof/>
                <w:webHidden/>
              </w:rPr>
              <w:fldChar w:fldCharType="separate"/>
            </w:r>
            <w:r>
              <w:rPr>
                <w:noProof/>
                <w:webHidden/>
              </w:rPr>
              <w:t>8</w:t>
            </w:r>
            <w:r>
              <w:rPr>
                <w:noProof/>
                <w:webHidden/>
              </w:rPr>
              <w:fldChar w:fldCharType="end"/>
            </w:r>
          </w:hyperlink>
        </w:p>
        <w:p>
          <w:pPr>
            <w:pStyle w:val="TOC3"/>
            <w:rPr>
              <w:rFonts w:eastAsiaTheme="minorEastAsia"/>
              <w:noProof/>
              <w:color w:val="auto"/>
              <w:lang w:val="en-US"/>
            </w:rPr>
          </w:pPr>
          <w:hyperlink w:anchor="_Toc45016864" w:history="1">
            <w:r>
              <w:rPr>
                <w:rStyle w:val="Hyperlink"/>
                <w:rFonts w:ascii="EC Square Sans Pro" w:eastAsia="Times New Roman" w:hAnsi="EC Square Sans Pro" w:cs="Times New Roman"/>
                <w:noProof/>
              </w:rPr>
              <w:t>4.1.3.</w:t>
            </w:r>
            <w:r>
              <w:rPr>
                <w:rFonts w:eastAsiaTheme="minorEastAsia"/>
                <w:noProof/>
                <w:color w:val="auto"/>
                <w:lang w:val="en-US"/>
              </w:rPr>
              <w:tab/>
            </w:r>
            <w:r>
              <w:rPr>
                <w:rStyle w:val="Hyperlink"/>
                <w:rFonts w:ascii="EC Square Sans Pro" w:hAnsi="EC Square Sans Pro"/>
                <w:i/>
                <w:noProof/>
              </w:rPr>
              <w:t>Процеси за управление на човешките ресурси</w:t>
            </w:r>
            <w:r>
              <w:rPr>
                <w:noProof/>
                <w:webHidden/>
              </w:rPr>
              <w:tab/>
            </w:r>
            <w:r>
              <w:rPr>
                <w:noProof/>
                <w:webHidden/>
              </w:rPr>
              <w:fldChar w:fldCharType="begin"/>
            </w:r>
            <w:r>
              <w:rPr>
                <w:noProof/>
                <w:webHidden/>
              </w:rPr>
              <w:instrText xml:space="preserve"> PAGEREF _Toc45016864 \h </w:instrText>
            </w:r>
            <w:r>
              <w:rPr>
                <w:noProof/>
                <w:webHidden/>
              </w:rPr>
            </w:r>
            <w:r>
              <w:rPr>
                <w:noProof/>
                <w:webHidden/>
              </w:rPr>
              <w:fldChar w:fldCharType="separate"/>
            </w:r>
            <w:r>
              <w:rPr>
                <w:noProof/>
                <w:webHidden/>
              </w:rPr>
              <w:t>9</w:t>
            </w:r>
            <w:r>
              <w:rPr>
                <w:noProof/>
                <w:webHidden/>
              </w:rPr>
              <w:fldChar w:fldCharType="end"/>
            </w:r>
          </w:hyperlink>
        </w:p>
        <w:p>
          <w:pPr>
            <w:pStyle w:val="TOC3"/>
            <w:rPr>
              <w:rFonts w:eastAsiaTheme="minorEastAsia"/>
              <w:noProof/>
              <w:color w:val="auto"/>
              <w:lang w:val="en-US"/>
            </w:rPr>
          </w:pPr>
          <w:hyperlink w:anchor="_Toc45016865" w:history="1">
            <w:r>
              <w:rPr>
                <w:rStyle w:val="Hyperlink"/>
                <w:rFonts w:ascii="EC Square Sans Pro" w:eastAsia="Times New Roman" w:hAnsi="EC Square Sans Pro" w:cs="Times New Roman"/>
                <w:noProof/>
              </w:rPr>
              <w:t>4.1.4.</w:t>
            </w:r>
            <w:r>
              <w:rPr>
                <w:rFonts w:eastAsiaTheme="minorEastAsia"/>
                <w:noProof/>
                <w:color w:val="auto"/>
                <w:lang w:val="en-US"/>
              </w:rPr>
              <w:tab/>
            </w:r>
            <w:r>
              <w:rPr>
                <w:rStyle w:val="Hyperlink"/>
                <w:rFonts w:ascii="EC Square Sans Pro" w:hAnsi="EC Square Sans Pro"/>
                <w:i/>
                <w:noProof/>
              </w:rPr>
              <w:t>Процеси за управление на информационните технологии</w:t>
            </w:r>
            <w:r>
              <w:rPr>
                <w:noProof/>
                <w:webHidden/>
              </w:rPr>
              <w:tab/>
            </w:r>
            <w:r>
              <w:rPr>
                <w:noProof/>
                <w:webHidden/>
              </w:rPr>
              <w:fldChar w:fldCharType="begin"/>
            </w:r>
            <w:r>
              <w:rPr>
                <w:noProof/>
                <w:webHidden/>
              </w:rPr>
              <w:instrText xml:space="preserve"> PAGEREF _Toc45016865 \h </w:instrText>
            </w:r>
            <w:r>
              <w:rPr>
                <w:noProof/>
                <w:webHidden/>
              </w:rPr>
            </w:r>
            <w:r>
              <w:rPr>
                <w:noProof/>
                <w:webHidden/>
              </w:rPr>
              <w:fldChar w:fldCharType="separate"/>
            </w:r>
            <w:r>
              <w:rPr>
                <w:noProof/>
                <w:webHidden/>
              </w:rPr>
              <w:t>10</w:t>
            </w:r>
            <w:r>
              <w:rPr>
                <w:noProof/>
                <w:webHidden/>
              </w:rPr>
              <w:fldChar w:fldCharType="end"/>
            </w:r>
          </w:hyperlink>
        </w:p>
        <w:p>
          <w:pPr>
            <w:pStyle w:val="TOC3"/>
            <w:rPr>
              <w:rFonts w:eastAsiaTheme="minorEastAsia"/>
              <w:noProof/>
              <w:color w:val="auto"/>
              <w:lang w:val="en-US"/>
            </w:rPr>
          </w:pPr>
          <w:hyperlink w:anchor="_Toc45016866" w:history="1">
            <w:r>
              <w:rPr>
                <w:rStyle w:val="Hyperlink"/>
                <w:rFonts w:ascii="EC Square Sans Pro" w:eastAsia="Times New Roman" w:hAnsi="EC Square Sans Pro" w:cs="Times New Roman"/>
                <w:noProof/>
              </w:rPr>
              <w:t>4.1.5.</w:t>
            </w:r>
            <w:r>
              <w:rPr>
                <w:rFonts w:eastAsiaTheme="minorEastAsia"/>
                <w:noProof/>
                <w:color w:val="auto"/>
                <w:lang w:val="en-US"/>
              </w:rPr>
              <w:tab/>
            </w:r>
            <w:r>
              <w:rPr>
                <w:rStyle w:val="Hyperlink"/>
                <w:rFonts w:ascii="EC Square Sans Pro" w:hAnsi="EC Square Sans Pro"/>
                <w:i/>
                <w:noProof/>
              </w:rPr>
              <w:t>По-добро регулиране</w:t>
            </w:r>
            <w:r>
              <w:rPr>
                <w:noProof/>
                <w:webHidden/>
              </w:rPr>
              <w:tab/>
            </w:r>
            <w:r>
              <w:rPr>
                <w:noProof/>
                <w:webHidden/>
              </w:rPr>
              <w:fldChar w:fldCharType="begin"/>
            </w:r>
            <w:r>
              <w:rPr>
                <w:noProof/>
                <w:webHidden/>
              </w:rPr>
              <w:instrText xml:space="preserve"> PAGEREF _Toc45016866 \h </w:instrText>
            </w:r>
            <w:r>
              <w:rPr>
                <w:noProof/>
                <w:webHidden/>
              </w:rPr>
            </w:r>
            <w:r>
              <w:rPr>
                <w:noProof/>
                <w:webHidden/>
              </w:rPr>
              <w:fldChar w:fldCharType="separate"/>
            </w:r>
            <w:r>
              <w:rPr>
                <w:noProof/>
                <w:webHidden/>
              </w:rPr>
              <w:t>10</w:t>
            </w:r>
            <w:r>
              <w:rPr>
                <w:noProof/>
                <w:webHidden/>
              </w:rPr>
              <w:fldChar w:fldCharType="end"/>
            </w:r>
          </w:hyperlink>
        </w:p>
        <w:p>
          <w:pPr>
            <w:pStyle w:val="TOC3"/>
            <w:rPr>
              <w:rFonts w:eastAsiaTheme="minorEastAsia"/>
              <w:noProof/>
              <w:color w:val="auto"/>
              <w:lang w:val="en-US"/>
            </w:rPr>
          </w:pPr>
          <w:hyperlink w:anchor="_Toc45016867" w:history="1">
            <w:r>
              <w:rPr>
                <w:rStyle w:val="Hyperlink"/>
                <w:rFonts w:ascii="EC Square Sans Pro" w:eastAsia="Times New Roman" w:hAnsi="EC Square Sans Pro" w:cs="Times New Roman"/>
                <w:noProof/>
              </w:rPr>
              <w:t>4.1.6.</w:t>
            </w:r>
            <w:r>
              <w:rPr>
                <w:rFonts w:eastAsiaTheme="minorEastAsia"/>
                <w:noProof/>
                <w:color w:val="auto"/>
                <w:lang w:val="en-US"/>
              </w:rPr>
              <w:tab/>
            </w:r>
            <w:r>
              <w:rPr>
                <w:rStyle w:val="Hyperlink"/>
                <w:rFonts w:ascii="EC Square Sans Pro" w:hAnsi="EC Square Sans Pro"/>
                <w:i/>
                <w:noProof/>
              </w:rPr>
              <w:t>Прегледи, при които се оценява изпълнението на новата рамка за вътрешен контрол в Комисията</w:t>
            </w:r>
            <w:r>
              <w:rPr>
                <w:noProof/>
                <w:webHidden/>
              </w:rPr>
              <w:tab/>
            </w:r>
            <w:r>
              <w:rPr>
                <w:noProof/>
                <w:webHidden/>
              </w:rPr>
              <w:fldChar w:fldCharType="begin"/>
            </w:r>
            <w:r>
              <w:rPr>
                <w:noProof/>
                <w:webHidden/>
              </w:rPr>
              <w:instrText xml:space="preserve"> PAGEREF _Toc45016867 \h </w:instrText>
            </w:r>
            <w:r>
              <w:rPr>
                <w:noProof/>
                <w:webHidden/>
              </w:rPr>
            </w:r>
            <w:r>
              <w:rPr>
                <w:noProof/>
                <w:webHidden/>
              </w:rPr>
              <w:fldChar w:fldCharType="separate"/>
            </w:r>
            <w:r>
              <w:rPr>
                <w:noProof/>
                <w:webHidden/>
              </w:rPr>
              <w:t>11</w:t>
            </w:r>
            <w:r>
              <w:rPr>
                <w:noProof/>
                <w:webHidden/>
              </w:rPr>
              <w:fldChar w:fldCharType="end"/>
            </w:r>
          </w:hyperlink>
        </w:p>
        <w:p>
          <w:pPr>
            <w:pStyle w:val="TOC3"/>
            <w:rPr>
              <w:rFonts w:eastAsiaTheme="minorEastAsia"/>
              <w:noProof/>
              <w:color w:val="auto"/>
              <w:lang w:val="en-US"/>
            </w:rPr>
          </w:pPr>
          <w:hyperlink w:anchor="_Toc45016868" w:history="1">
            <w:r>
              <w:rPr>
                <w:rStyle w:val="Hyperlink"/>
                <w:rFonts w:ascii="EC Square Sans Pro" w:eastAsia="Times New Roman" w:hAnsi="EC Square Sans Pro" w:cs="Times New Roman"/>
                <w:noProof/>
              </w:rPr>
              <w:t>4.1.7.</w:t>
            </w:r>
            <w:r>
              <w:rPr>
                <w:rFonts w:eastAsiaTheme="minorEastAsia"/>
                <w:noProof/>
                <w:color w:val="auto"/>
                <w:lang w:val="en-US"/>
              </w:rPr>
              <w:tab/>
            </w:r>
            <w:r>
              <w:rPr>
                <w:rStyle w:val="Hyperlink"/>
                <w:rFonts w:ascii="EC Square Sans Pro" w:hAnsi="EC Square Sans Pro"/>
                <w:i/>
                <w:noProof/>
              </w:rPr>
              <w:t>Други процеси</w:t>
            </w:r>
            <w:r>
              <w:rPr>
                <w:noProof/>
                <w:webHidden/>
              </w:rPr>
              <w:tab/>
            </w:r>
            <w:r>
              <w:rPr>
                <w:noProof/>
                <w:webHidden/>
              </w:rPr>
              <w:fldChar w:fldCharType="begin"/>
            </w:r>
            <w:r>
              <w:rPr>
                <w:noProof/>
                <w:webHidden/>
              </w:rPr>
              <w:instrText xml:space="preserve"> PAGEREF _Toc45016868 \h </w:instrText>
            </w:r>
            <w:r>
              <w:rPr>
                <w:noProof/>
                <w:webHidden/>
              </w:rPr>
            </w:r>
            <w:r>
              <w:rPr>
                <w:noProof/>
                <w:webHidden/>
              </w:rPr>
              <w:fldChar w:fldCharType="separate"/>
            </w:r>
            <w:r>
              <w:rPr>
                <w:noProof/>
                <w:webHidden/>
              </w:rPr>
              <w:t>11</w:t>
            </w:r>
            <w:r>
              <w:rPr>
                <w:noProof/>
                <w:webHidden/>
              </w:rPr>
              <w:fldChar w:fldCharType="end"/>
            </w:r>
          </w:hyperlink>
        </w:p>
        <w:p>
          <w:pPr>
            <w:pStyle w:val="TOC2"/>
            <w:rPr>
              <w:rFonts w:eastAsiaTheme="minorEastAsia"/>
              <w:noProof/>
              <w:color w:val="auto"/>
              <w:lang w:val="en-US"/>
            </w:rPr>
          </w:pPr>
          <w:hyperlink w:anchor="_Toc45016869" w:history="1">
            <w:r>
              <w:rPr>
                <w:rStyle w:val="Hyperlink"/>
                <w:rFonts w:ascii="EC Square Sans Pro" w:eastAsia="Times New Roman" w:hAnsi="EC Square Sans Pro" w:cs="Times New Roman"/>
                <w:b/>
                <w:noProof/>
              </w:rPr>
              <w:t>4.2.</w:t>
            </w:r>
            <w:r>
              <w:rPr>
                <w:rFonts w:eastAsiaTheme="minorEastAsia"/>
                <w:noProof/>
                <w:color w:val="auto"/>
                <w:lang w:val="en-US"/>
              </w:rPr>
              <w:tab/>
            </w:r>
            <w:r>
              <w:rPr>
                <w:rStyle w:val="Hyperlink"/>
                <w:rFonts w:ascii="EC Square Sans Pro" w:hAnsi="EC Square Sans Pro"/>
                <w:b/>
                <w:noProof/>
              </w:rPr>
              <w:t>Ограничени заключения на Службата за вътрешен одит</w:t>
            </w:r>
            <w:r>
              <w:rPr>
                <w:noProof/>
                <w:webHidden/>
              </w:rPr>
              <w:tab/>
            </w:r>
            <w:r>
              <w:rPr>
                <w:noProof/>
                <w:webHidden/>
              </w:rPr>
              <w:fldChar w:fldCharType="begin"/>
            </w:r>
            <w:r>
              <w:rPr>
                <w:noProof/>
                <w:webHidden/>
              </w:rPr>
              <w:instrText xml:space="preserve"> PAGEREF _Toc45016869 \h </w:instrText>
            </w:r>
            <w:r>
              <w:rPr>
                <w:noProof/>
                <w:webHidden/>
              </w:rPr>
            </w:r>
            <w:r>
              <w:rPr>
                <w:noProof/>
                <w:webHidden/>
              </w:rPr>
              <w:fldChar w:fldCharType="separate"/>
            </w:r>
            <w:r>
              <w:rPr>
                <w:noProof/>
                <w:webHidden/>
              </w:rPr>
              <w:t>12</w:t>
            </w:r>
            <w:r>
              <w:rPr>
                <w:noProof/>
                <w:webHidden/>
              </w:rPr>
              <w:fldChar w:fldCharType="end"/>
            </w:r>
          </w:hyperlink>
        </w:p>
        <w:p>
          <w:pPr>
            <w:pStyle w:val="TOC2"/>
            <w:rPr>
              <w:rFonts w:eastAsiaTheme="minorEastAsia"/>
              <w:noProof/>
              <w:color w:val="auto"/>
              <w:lang w:val="en-US"/>
            </w:rPr>
          </w:pPr>
          <w:hyperlink w:anchor="_Toc45016870" w:history="1">
            <w:r>
              <w:rPr>
                <w:rStyle w:val="Hyperlink"/>
                <w:rFonts w:ascii="EC Square Sans Pro" w:eastAsia="Times New Roman" w:hAnsi="EC Square Sans Pro" w:cs="Times New Roman"/>
                <w:b/>
                <w:noProof/>
              </w:rPr>
              <w:t>4.3.</w:t>
            </w:r>
            <w:r>
              <w:rPr>
                <w:rFonts w:eastAsiaTheme="minorEastAsia"/>
                <w:noProof/>
                <w:color w:val="auto"/>
                <w:lang w:val="en-US"/>
              </w:rPr>
              <w:tab/>
            </w:r>
            <w:r>
              <w:rPr>
                <w:rStyle w:val="Hyperlink"/>
                <w:rFonts w:ascii="EC Square Sans Pro" w:hAnsi="EC Square Sans Pro"/>
                <w:b/>
                <w:noProof/>
              </w:rPr>
              <w:t>Общо становище относно финансовото управление от страна на Комисията</w:t>
            </w:r>
            <w:r>
              <w:rPr>
                <w:noProof/>
                <w:webHidden/>
              </w:rPr>
              <w:tab/>
            </w:r>
            <w:r>
              <w:rPr>
                <w:noProof/>
                <w:webHidden/>
              </w:rPr>
              <w:fldChar w:fldCharType="begin"/>
            </w:r>
            <w:r>
              <w:rPr>
                <w:noProof/>
                <w:webHidden/>
              </w:rPr>
              <w:instrText xml:space="preserve"> PAGEREF _Toc45016870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noProof/>
              <w:color w:val="auto"/>
              <w:lang w:val="en-US"/>
            </w:rPr>
          </w:pPr>
          <w:hyperlink w:anchor="_Toc45016871" w:history="1">
            <w:r>
              <w:rPr>
                <w:rStyle w:val="Hyperlink"/>
                <w:rFonts w:ascii="EC Square Sans Pro" w:eastAsia="Times New Roman" w:hAnsi="EC Square Sans Pro" w:cs="Times New Roman"/>
                <w:b/>
                <w:smallCaps/>
                <w:noProof/>
              </w:rPr>
              <w:t>5.</w:t>
            </w:r>
            <w:r>
              <w:rPr>
                <w:rFonts w:eastAsiaTheme="minorEastAsia"/>
                <w:noProof/>
                <w:color w:val="auto"/>
                <w:lang w:val="en-US"/>
              </w:rPr>
              <w:tab/>
            </w:r>
            <w:r>
              <w:rPr>
                <w:rStyle w:val="Hyperlink"/>
                <w:rFonts w:ascii="EC Square Sans Pro" w:hAnsi="EC Square Sans Pro"/>
                <w:b/>
                <w:smallCaps/>
                <w:noProof/>
              </w:rPr>
              <w:t>Консултация с органа на Комисията за разглеждане на финансови нередности</w:t>
            </w:r>
            <w:r>
              <w:rPr>
                <w:noProof/>
                <w:webHidden/>
              </w:rPr>
              <w:tab/>
            </w:r>
            <w:r>
              <w:rPr>
                <w:noProof/>
                <w:webHidden/>
              </w:rPr>
              <w:fldChar w:fldCharType="begin"/>
            </w:r>
            <w:r>
              <w:rPr>
                <w:noProof/>
                <w:webHidden/>
              </w:rPr>
              <w:instrText xml:space="preserve"> PAGEREF _Toc45016871 \h </w:instrText>
            </w:r>
            <w:r>
              <w:rPr>
                <w:noProof/>
                <w:webHidden/>
              </w:rPr>
            </w:r>
            <w:r>
              <w:rPr>
                <w:noProof/>
                <w:webHidden/>
              </w:rPr>
              <w:fldChar w:fldCharType="separate"/>
            </w:r>
            <w:r>
              <w:rPr>
                <w:noProof/>
                <w:webHidden/>
              </w:rPr>
              <w:t>14</w:t>
            </w:r>
            <w:r>
              <w:rPr>
                <w:noProof/>
                <w:webHidden/>
              </w:rPr>
              <w:fldChar w:fldCharType="end"/>
            </w:r>
          </w:hyperlink>
        </w:p>
        <w:p>
          <w:pPr>
            <w:pStyle w:val="TOC1"/>
            <w:rPr>
              <w:rFonts w:eastAsiaTheme="minorEastAsia"/>
              <w:noProof/>
              <w:color w:val="auto"/>
              <w:lang w:val="en-US"/>
            </w:rPr>
          </w:pPr>
          <w:hyperlink w:anchor="_Toc45016872" w:history="1">
            <w:r>
              <w:rPr>
                <w:rStyle w:val="Hyperlink"/>
                <w:rFonts w:ascii="EC Square Sans Pro" w:eastAsia="Times New Roman" w:hAnsi="EC Square Sans Pro" w:cs="Times New Roman"/>
                <w:b/>
                <w:smallCaps/>
                <w:noProof/>
              </w:rPr>
              <w:t>6.</w:t>
            </w:r>
            <w:r>
              <w:rPr>
                <w:rFonts w:eastAsiaTheme="minorEastAsia"/>
                <w:noProof/>
                <w:color w:val="auto"/>
                <w:lang w:val="en-US"/>
              </w:rPr>
              <w:tab/>
            </w:r>
            <w:r>
              <w:rPr>
                <w:rStyle w:val="Hyperlink"/>
                <w:rFonts w:ascii="EC Square Sans Pro" w:hAnsi="EC Square Sans Pro"/>
                <w:b/>
                <w:smallCaps/>
                <w:noProof/>
              </w:rPr>
              <w:t>Смекчаващи мерки във връзка с потенциални конфликти на интереси (международни стандарти за вътрешен одит) — Разследване на Европейския омбудсман</w:t>
            </w:r>
            <w:r>
              <w:rPr>
                <w:noProof/>
                <w:webHidden/>
              </w:rPr>
              <w:tab/>
            </w:r>
            <w:r>
              <w:rPr>
                <w:noProof/>
                <w:webHidden/>
              </w:rPr>
              <w:fldChar w:fldCharType="begin"/>
            </w:r>
            <w:r>
              <w:rPr>
                <w:noProof/>
                <w:webHidden/>
              </w:rPr>
              <w:instrText xml:space="preserve"> PAGEREF _Toc45016872 \h </w:instrText>
            </w:r>
            <w:r>
              <w:rPr>
                <w:noProof/>
                <w:webHidden/>
              </w:rPr>
            </w:r>
            <w:r>
              <w:rPr>
                <w:noProof/>
                <w:webHidden/>
              </w:rPr>
              <w:fldChar w:fldCharType="separate"/>
            </w:r>
            <w:r>
              <w:rPr>
                <w:noProof/>
                <w:webHidden/>
              </w:rPr>
              <w:t>15</w:t>
            </w:r>
            <w:r>
              <w:rPr>
                <w:noProof/>
                <w:webHidden/>
              </w:rPr>
              <w:fldChar w:fldCharType="end"/>
            </w:r>
          </w:hyperlink>
        </w:p>
        <w:p>
          <w:pPr>
            <w:jc w:val="both"/>
            <w:rPr>
              <w:rFonts w:ascii="Times New Roman" w:eastAsia="Times New Roman" w:hAnsi="Times New Roman" w:cs="Times New Roman"/>
              <w:noProof/>
              <w:sz w:val="24"/>
              <w:szCs w:val="20"/>
            </w:rPr>
          </w:pPr>
          <w:r>
            <w:rPr>
              <w:rFonts w:ascii="Times New Roman" w:eastAsia="Times New Roman" w:hAnsi="Times New Roman" w:cs="Times New Roman"/>
              <w:b/>
              <w:bCs/>
              <w:noProof/>
              <w:color w:val="005D95"/>
              <w:sz w:val="24"/>
              <w:szCs w:val="20"/>
            </w:rPr>
            <w:fldChar w:fldCharType="end"/>
          </w:r>
        </w:p>
      </w:sdtContent>
    </w:sdt>
    <w:p>
      <w:pPr>
        <w:spacing w:after="0" w:line="240" w:lineRule="auto"/>
        <w:rPr>
          <w:rFonts w:ascii="Times New Roman" w:eastAsia="Times New Roman" w:hAnsi="Times New Roman" w:cs="Times New Roman"/>
          <w:noProof/>
          <w:sz w:val="24"/>
          <w:szCs w:val="20"/>
          <w:lang w:eastAsia="en-GB"/>
        </w:rPr>
      </w:pPr>
    </w:p>
    <w:p>
      <w:pPr>
        <w:tabs>
          <w:tab w:val="left" w:pos="2218"/>
        </w:tabs>
        <w:rPr>
          <w:rFonts w:ascii="Times New Roman" w:eastAsia="Times New Roman" w:hAnsi="Times New Roman" w:cs="Times New Roman"/>
          <w:noProof/>
          <w:sz w:val="24"/>
          <w:szCs w:val="20"/>
          <w:lang w:eastAsia="en-GB"/>
        </w:rPr>
      </w:pPr>
    </w:p>
    <w:p>
      <w:pPr>
        <w:rPr>
          <w:rFonts w:ascii="Times New Roman" w:eastAsia="Times New Roman" w:hAnsi="Times New Roman" w:cs="Times New Roman"/>
          <w:noProof/>
          <w:sz w:val="24"/>
          <w:szCs w:val="20"/>
          <w:lang w:eastAsia="en-GB"/>
        </w:rPr>
      </w:pPr>
    </w:p>
    <w:p>
      <w:pPr>
        <w:rPr>
          <w:rFonts w:ascii="Times New Roman" w:eastAsia="Times New Roman" w:hAnsi="Times New Roman" w:cs="Times New Roman"/>
          <w:noProof/>
          <w:sz w:val="24"/>
          <w:szCs w:val="20"/>
          <w:lang w:eastAsia="en-GB"/>
        </w:rPr>
        <w:sectPr>
          <w:headerReference w:type="even" r:id="rId16"/>
          <w:headerReference w:type="default" r:id="rId17"/>
          <w:footerReference w:type="even" r:id="rId18"/>
          <w:footerReference w:type="default" r:id="rId19"/>
          <w:headerReference w:type="first" r:id="rId20"/>
          <w:footerReference w:type="first" r:id="rId21"/>
          <w:pgSz w:w="11906" w:h="16838" w:code="9"/>
          <w:pgMar w:top="851" w:right="1418" w:bottom="851" w:left="1418" w:header="567" w:footer="567" w:gutter="0"/>
          <w:cols w:space="720"/>
          <w:docGrid w:linePitch="326"/>
        </w:sectPr>
      </w:pP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rPr>
      </w:pPr>
      <w:bookmarkStart w:id="13" w:name="_Toc8045205"/>
      <w:bookmarkStart w:id="14" w:name="_Toc8045206"/>
      <w:bookmarkStart w:id="15" w:name="_Toc8045207"/>
      <w:bookmarkStart w:id="16" w:name="_Toc8045208"/>
      <w:bookmarkStart w:id="17" w:name="_Toc8045209"/>
      <w:bookmarkStart w:id="18" w:name="_Toc8045210"/>
      <w:bookmarkStart w:id="19" w:name="_Toc8045211"/>
      <w:bookmarkStart w:id="20" w:name="_Toc8045212"/>
      <w:bookmarkStart w:id="21" w:name="_Toc8045213"/>
      <w:bookmarkStart w:id="22" w:name="_Toc8045214"/>
      <w:bookmarkStart w:id="23" w:name="_Toc45016855"/>
      <w:bookmarkStart w:id="24" w:name="_Toc8981608"/>
      <w:bookmarkStart w:id="25" w:name="_Toc11401287"/>
      <w:bookmarkStart w:id="26" w:name="_Toc384658383"/>
      <w:bookmarkStart w:id="27" w:name="_Toc448926048"/>
      <w:bookmarkStart w:id="28" w:name="_Toc448503094"/>
      <w:bookmarkStart w:id="29" w:name="_Toc512438613"/>
      <w:bookmarkStart w:id="30" w:name="_Toc515017751"/>
      <w:bookmarkStart w:id="31" w:name="_Toc4756280"/>
      <w:bookmarkEnd w:id="0"/>
      <w:bookmarkEnd w:id="1"/>
      <w:bookmarkEnd w:id="2"/>
      <w:bookmarkEnd w:id="3"/>
      <w:bookmarkEnd w:id="4"/>
      <w:bookmarkEnd w:id="5"/>
      <w:bookmarkEnd w:id="6"/>
      <w:bookmarkEnd w:id="7"/>
      <w:bookmarkEnd w:id="8"/>
      <w:bookmarkEnd w:id="9"/>
      <w:bookmarkEnd w:id="13"/>
      <w:bookmarkEnd w:id="14"/>
      <w:bookmarkEnd w:id="15"/>
      <w:bookmarkEnd w:id="16"/>
      <w:bookmarkEnd w:id="17"/>
      <w:bookmarkEnd w:id="18"/>
      <w:bookmarkEnd w:id="19"/>
      <w:bookmarkEnd w:id="20"/>
      <w:bookmarkEnd w:id="21"/>
      <w:bookmarkEnd w:id="22"/>
      <w:r>
        <w:rPr>
          <w:rFonts w:ascii="EC Square Sans Pro" w:hAnsi="EC Square Sans Pro"/>
          <w:b/>
          <w:smallCaps/>
          <w:noProof/>
          <w:color w:val="005D95"/>
          <w:sz w:val="24"/>
          <w:szCs w:val="20"/>
        </w:rPr>
        <w:t>Въведение</w:t>
      </w:r>
      <w:bookmarkEnd w:id="23"/>
    </w:p>
    <w:p>
      <w:pPr>
        <w:spacing w:after="240" w:line="240" w:lineRule="auto"/>
        <w:ind w:left="482"/>
        <w:jc w:val="both"/>
        <w:rPr>
          <w:rFonts w:ascii="EC Square Sans Pro" w:eastAsia="Times New Roman" w:hAnsi="EC Square Sans Pro" w:cs="Times New Roman"/>
          <w:noProof/>
          <w:sz w:val="20"/>
          <w:szCs w:val="20"/>
        </w:rPr>
      </w:pPr>
      <w:r>
        <w:rPr>
          <w:noProof/>
          <w:sz w:val="20"/>
          <w:szCs w:val="20"/>
        </w:rPr>
        <w:t xml:space="preserve">В </w:t>
      </w:r>
      <w:r>
        <w:rPr>
          <w:rFonts w:ascii="EC Square Sans Pro" w:hAnsi="EC Square Sans Pro"/>
          <w:noProof/>
          <w:sz w:val="20"/>
          <w:szCs w:val="20"/>
        </w:rPr>
        <w:t>настоящия</w:t>
      </w:r>
      <w:r>
        <w:rPr>
          <w:noProof/>
          <w:sz w:val="20"/>
          <w:szCs w:val="20"/>
        </w:rPr>
        <w:t xml:space="preserve"> </w:t>
      </w:r>
      <w:r>
        <w:rPr>
          <w:rFonts w:ascii="EC Square Sans Pro" w:hAnsi="EC Square Sans Pro"/>
          <w:noProof/>
          <w:sz w:val="20"/>
          <w:szCs w:val="20"/>
        </w:rPr>
        <w:t>доклад</w:t>
      </w:r>
      <w:r>
        <w:rPr>
          <w:noProof/>
          <w:sz w:val="20"/>
          <w:szCs w:val="20"/>
        </w:rPr>
        <w:t xml:space="preserve"> </w:t>
      </w:r>
      <w:r>
        <w:rPr>
          <w:rFonts w:ascii="EC Square Sans Pro" w:hAnsi="EC Square Sans Pro"/>
          <w:noProof/>
          <w:sz w:val="20"/>
          <w:szCs w:val="20"/>
        </w:rPr>
        <w:t>са</w:t>
      </w:r>
      <w:r>
        <w:rPr>
          <w:noProof/>
          <w:sz w:val="20"/>
          <w:szCs w:val="20"/>
        </w:rPr>
        <w:t xml:space="preserve"> </w:t>
      </w:r>
      <w:r>
        <w:rPr>
          <w:rFonts w:ascii="EC Square Sans Pro" w:hAnsi="EC Square Sans Pro"/>
          <w:noProof/>
          <w:sz w:val="20"/>
          <w:szCs w:val="20"/>
        </w:rPr>
        <w:t xml:space="preserve">представени </w:t>
      </w:r>
      <w:r>
        <w:rPr>
          <w:rFonts w:ascii="EC Square Sans Pro" w:hAnsi="EC Square Sans Pro"/>
          <w:b/>
          <w:noProof/>
          <w:color w:val="005D95"/>
          <w:sz w:val="20"/>
          <w:szCs w:val="20"/>
        </w:rPr>
        <w:t>вътрешните одити, извършени през 2019 г. от Службата за вътрешен одит на Европейската комисия в генералните дирекции, службите и изпълнителните агенции на Комисията</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1"/>
      </w:r>
      <w:r>
        <w:rPr>
          <w:rFonts w:ascii="EC Square Sans Pro" w:hAnsi="EC Square Sans Pro"/>
          <w:noProof/>
          <w:sz w:val="20"/>
          <w:szCs w:val="20"/>
          <w:vertAlign w:val="superscript"/>
        </w:rPr>
        <w:t>)</w:t>
      </w:r>
      <w:r>
        <w:rPr>
          <w:rFonts w:ascii="EC Square Sans Pro" w:hAnsi="EC Square Sans Pro"/>
          <w:noProof/>
          <w:sz w:val="20"/>
          <w:szCs w:val="20"/>
        </w:rPr>
        <w:t>, и съдържа: i)</w:t>
      </w:r>
      <w:r>
        <w:rPr>
          <w:rFonts w:ascii="Calibri" w:hAnsi="Calibri"/>
          <w:noProof/>
          <w:sz w:val="20"/>
          <w:szCs w:val="20"/>
        </w:rPr>
        <w:t> </w:t>
      </w:r>
      <w:r>
        <w:rPr>
          <w:noProof/>
          <w:sz w:val="20"/>
          <w:szCs w:val="20"/>
        </w:rPr>
        <w:t xml:space="preserve">обобщение на броя и вида на </w:t>
      </w:r>
      <w:r>
        <w:rPr>
          <w:rFonts w:ascii="EC Square Sans Pro" w:hAnsi="EC Square Sans Pro"/>
          <w:noProof/>
          <w:sz w:val="20"/>
          <w:szCs w:val="20"/>
        </w:rPr>
        <w:t>извършените вътрешни одити; ii) обобщение на отправените препоръки; и iii) действията, предприети по тях. В съответствие с член 118, параграф 8 и член 247 от Финансовия регламент</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2"/>
      </w:r>
      <w:r>
        <w:rPr>
          <w:rFonts w:ascii="EC Square Sans Pro" w:hAnsi="EC Square Sans Pro"/>
          <w:noProof/>
          <w:sz w:val="20"/>
          <w:szCs w:val="20"/>
          <w:vertAlign w:val="superscript"/>
        </w:rPr>
        <w:t>)</w:t>
      </w:r>
      <w:r>
        <w:rPr>
          <w:rFonts w:ascii="EC Square Sans Pro" w:hAnsi="EC Square Sans Pro"/>
          <w:noProof/>
          <w:sz w:val="20"/>
          <w:szCs w:val="20"/>
        </w:rPr>
        <w:t xml:space="preserve"> Комисията изпраща доклада на Европейския парламент и на Съвета. Той се основава на доклада, изготвен в съответствие с член 118, параграф 4 от Финансовия регламент от вътрешния одитор на Комисията относно изготвените през 2019</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xml:space="preserve">. </w:t>
      </w:r>
      <w:r>
        <w:rPr>
          <w:rFonts w:ascii="EC Square Sans Pro" w:hAnsi="EC Square Sans Pro" w:cs="EC Square Sans Pro"/>
          <w:noProof/>
          <w:sz w:val="20"/>
          <w:szCs w:val="20"/>
        </w:rPr>
        <w:t>доклади</w:t>
      </w:r>
      <w:r>
        <w:rPr>
          <w:rFonts w:ascii="EC Square Sans Pro" w:hAnsi="EC Square Sans Pro"/>
          <w:noProof/>
          <w:sz w:val="20"/>
          <w:szCs w:val="20"/>
        </w:rPr>
        <w:t xml:space="preserve"> </w:t>
      </w:r>
      <w:r>
        <w:rPr>
          <w:rFonts w:ascii="EC Square Sans Pro" w:hAnsi="EC Square Sans Pro" w:cs="EC Square Sans Pro"/>
          <w:noProof/>
          <w:sz w:val="20"/>
          <w:szCs w:val="20"/>
        </w:rPr>
        <w:t>за</w:t>
      </w:r>
      <w:r>
        <w:rPr>
          <w:rFonts w:ascii="EC Square Sans Pro" w:hAnsi="EC Square Sans Pro"/>
          <w:noProof/>
          <w:sz w:val="20"/>
          <w:szCs w:val="20"/>
        </w:rPr>
        <w:t xml:space="preserve"> </w:t>
      </w:r>
      <w:r>
        <w:rPr>
          <w:rFonts w:ascii="EC Square Sans Pro" w:hAnsi="EC Square Sans Pro" w:cs="EC Square Sans Pro"/>
          <w:noProof/>
          <w:sz w:val="20"/>
          <w:szCs w:val="20"/>
        </w:rPr>
        <w:t>одит</w:t>
      </w:r>
      <w:r>
        <w:rPr>
          <w:rFonts w:ascii="EC Square Sans Pro" w:hAnsi="EC Square Sans Pro"/>
          <w:noProof/>
          <w:sz w:val="20"/>
          <w:szCs w:val="20"/>
        </w:rPr>
        <w:t xml:space="preserve"> </w:t>
      </w:r>
      <w:r>
        <w:rPr>
          <w:rFonts w:ascii="EC Square Sans Pro" w:hAnsi="EC Square Sans Pro" w:cs="EC Square Sans Pro"/>
          <w:noProof/>
          <w:sz w:val="20"/>
          <w:szCs w:val="20"/>
        </w:rPr>
        <w:t>и</w:t>
      </w:r>
      <w:r>
        <w:rPr>
          <w:rFonts w:ascii="EC Square Sans Pro" w:hAnsi="EC Square Sans Pro"/>
          <w:noProof/>
          <w:sz w:val="20"/>
          <w:szCs w:val="20"/>
        </w:rPr>
        <w:t xml:space="preserve"> </w:t>
      </w:r>
      <w:r>
        <w:rPr>
          <w:rFonts w:ascii="EC Square Sans Pro" w:hAnsi="EC Square Sans Pro" w:cs="EC Square Sans Pro"/>
          <w:noProof/>
          <w:sz w:val="20"/>
          <w:szCs w:val="20"/>
        </w:rPr>
        <w:t>консултации</w:t>
      </w:r>
      <w:r>
        <w:rPr>
          <w:rFonts w:ascii="EC Square Sans Pro" w:hAnsi="EC Square Sans Pro"/>
          <w:noProof/>
          <w:sz w:val="20"/>
          <w:szCs w:val="20"/>
        </w:rPr>
        <w:t xml:space="preserve"> </w:t>
      </w:r>
      <w:r>
        <w:rPr>
          <w:rFonts w:ascii="EC Square Sans Pro" w:hAnsi="EC Square Sans Pro" w:cs="EC Square Sans Pro"/>
          <w:noProof/>
          <w:sz w:val="20"/>
          <w:szCs w:val="20"/>
        </w:rPr>
        <w:t>на</w:t>
      </w:r>
      <w:r>
        <w:rPr>
          <w:rFonts w:ascii="EC Square Sans Pro" w:hAnsi="EC Square Sans Pro"/>
          <w:noProof/>
          <w:sz w:val="20"/>
          <w:szCs w:val="20"/>
        </w:rPr>
        <w:t xml:space="preserve"> </w:t>
      </w:r>
      <w:r>
        <w:rPr>
          <w:rFonts w:ascii="EC Square Sans Pro" w:hAnsi="EC Square Sans Pro" w:cs="EC Square Sans Pro"/>
          <w:noProof/>
          <w:sz w:val="20"/>
          <w:szCs w:val="20"/>
        </w:rPr>
        <w:t>Службата</w:t>
      </w:r>
      <w:r>
        <w:rPr>
          <w:rFonts w:ascii="EC Square Sans Pro" w:hAnsi="EC Square Sans Pro"/>
          <w:noProof/>
          <w:sz w:val="20"/>
          <w:szCs w:val="20"/>
        </w:rPr>
        <w:t xml:space="preserve"> </w:t>
      </w:r>
      <w:r>
        <w:rPr>
          <w:rFonts w:ascii="EC Square Sans Pro" w:hAnsi="EC Square Sans Pro" w:cs="EC Square Sans Pro"/>
          <w:noProof/>
          <w:sz w:val="20"/>
          <w:szCs w:val="20"/>
        </w:rPr>
        <w:t>за</w:t>
      </w:r>
      <w:r>
        <w:rPr>
          <w:noProof/>
          <w:sz w:val="20"/>
          <w:szCs w:val="20"/>
        </w:rPr>
        <w:t xml:space="preserve"> </w:t>
      </w:r>
      <w:r>
        <w:rPr>
          <w:rFonts w:ascii="EC Square Sans Pro" w:hAnsi="EC Square Sans Pro"/>
          <w:noProof/>
          <w:sz w:val="20"/>
          <w:szCs w:val="20"/>
        </w:rPr>
        <w:t>вътрешен одит</w:t>
      </w:r>
      <w:r>
        <w:rPr>
          <w:noProof/>
          <w:sz w:val="20"/>
          <w:szCs w:val="20"/>
        </w:rPr>
        <w:t>(</w:t>
      </w:r>
      <w:r>
        <w:rPr>
          <w:rFonts w:ascii="EC Square Sans Pro" w:eastAsia="Times New Roman" w:hAnsi="EC Square Sans Pro" w:cs="Times New Roman"/>
          <w:noProof/>
          <w:sz w:val="20"/>
          <w:szCs w:val="20"/>
          <w:vertAlign w:val="superscript"/>
          <w:lang w:eastAsia="en-GB"/>
        </w:rPr>
        <w:footnoteReference w:id="3"/>
      </w:r>
      <w:r>
        <w:rPr>
          <w:noProof/>
          <w:sz w:val="20"/>
          <w:szCs w:val="20"/>
        </w:rPr>
        <w:t>).</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rPr>
      </w:pPr>
      <w:bookmarkStart w:id="32" w:name="_Toc45016856"/>
      <w:r>
        <w:rPr>
          <w:rFonts w:ascii="EC Square Sans Pro" w:hAnsi="EC Square Sans Pro"/>
          <w:b/>
          <w:smallCaps/>
          <w:noProof/>
          <w:color w:val="005D95"/>
          <w:sz w:val="24"/>
          <w:szCs w:val="20"/>
        </w:rPr>
        <w:t>Мисия на Службата за вътрешен одит: отчетност, независимост и обективност</w:t>
      </w:r>
      <w:bookmarkEnd w:id="32"/>
    </w:p>
    <w:p>
      <w:pPr>
        <w:spacing w:after="240" w:line="240" w:lineRule="auto"/>
        <w:ind w:left="482"/>
        <w:jc w:val="both"/>
        <w:rPr>
          <w:rFonts w:ascii="EC Square Sans Pro" w:hAnsi="EC Square Sans Pro"/>
          <w:noProof/>
          <w:sz w:val="20"/>
          <w:szCs w:val="20"/>
        </w:rPr>
      </w:pPr>
      <w:r>
        <w:rPr>
          <w:rFonts w:ascii="EC Square Sans Pro" w:hAnsi="EC Square Sans Pro"/>
          <w:noProof/>
          <w:sz w:val="20"/>
          <w:szCs w:val="20"/>
        </w:rPr>
        <w:t xml:space="preserve">Мисията на Службата за вътрешен одит е да </w:t>
      </w:r>
      <w:r>
        <w:rPr>
          <w:rFonts w:ascii="EC Square Sans Pro" w:hAnsi="EC Square Sans Pro"/>
          <w:b/>
          <w:noProof/>
          <w:color w:val="005D95"/>
          <w:sz w:val="20"/>
          <w:szCs w:val="20"/>
        </w:rPr>
        <w:t>укрепва и защитава организационните ценности, като предоставя основани на риска и обективни увереност, съвети и виждания.</w:t>
      </w:r>
      <w:r>
        <w:rPr>
          <w:rFonts w:ascii="EC Square Sans Pro" w:hAnsi="EC Square Sans Pro"/>
          <w:noProof/>
          <w:sz w:val="20"/>
          <w:szCs w:val="20"/>
        </w:rPr>
        <w:t xml:space="preserve"> Службата за вътрешен одит помага на Комисията да постига целите си чрез внасяне на систематичен и дисциплиниран подход, за да се оцени и подобри ефективността на процесите на управление на риска, на контрол и на управление. Задачите на Службата за вътрешен одит включват оценка и отправяне на подходящи препоръки за подобряване на управлението на риска, контрола и управлението с цел постигане на следните три цели: i) насърчаване на подходяща етика и ценности в рамките на организацията; ii) гарантиране на ефективно управление на изпълнението и отчетност на ниво организация; и iii) съобщаване по ефективен начин на информация за риска и контрола на съответните отдели в организацията. По този начин Службата за вътрешен одит цели да насърчи култура на ефикасно и ефективно управление в рамките на Комисията и нейните служби.</w:t>
      </w:r>
    </w:p>
    <w:p>
      <w:pPr>
        <w:spacing w:after="240" w:line="240" w:lineRule="auto"/>
        <w:ind w:left="482"/>
        <w:jc w:val="both"/>
        <w:rPr>
          <w:rFonts w:ascii="EC Square Sans Pro" w:hAnsi="EC Square Sans Pro"/>
          <w:noProof/>
          <w:sz w:val="20"/>
          <w:szCs w:val="20"/>
        </w:rPr>
      </w:pPr>
      <w:r>
        <w:rPr>
          <w:rFonts w:ascii="EC Square Sans Pro" w:hAnsi="EC Square Sans Pro"/>
          <w:b/>
          <w:noProof/>
          <w:color w:val="005D95"/>
          <w:sz w:val="20"/>
          <w:szCs w:val="20"/>
        </w:rPr>
        <w:t>Независимостта на дейността на Службата за вътрешен одит е залегнала във Финансовия регламент</w:t>
      </w:r>
      <w:r>
        <w:rPr>
          <w:b/>
          <w:noProof/>
          <w:color w:val="005D95"/>
          <w:sz w:val="20"/>
          <w:szCs w:val="20"/>
        </w:rPr>
        <w:t xml:space="preserve"> </w:t>
      </w:r>
      <w:r>
        <w:rPr>
          <w:rFonts w:ascii="EC Square Sans Pro" w:hAnsi="EC Square Sans Pro"/>
          <w:noProof/>
          <w:sz w:val="20"/>
          <w:szCs w:val="20"/>
        </w:rPr>
        <w:t xml:space="preserve">и в приетия от </w:t>
      </w:r>
      <w:r>
        <w:rPr>
          <w:noProof/>
          <w:sz w:val="20"/>
          <w:szCs w:val="20"/>
        </w:rPr>
        <w:t xml:space="preserve">Комисията </w:t>
      </w:r>
      <w:r>
        <w:rPr>
          <w:rFonts w:ascii="EC Square Sans Pro" w:hAnsi="EC Square Sans Pro"/>
          <w:b/>
          <w:noProof/>
          <w:color w:val="005D95"/>
          <w:sz w:val="20"/>
          <w:szCs w:val="20"/>
        </w:rPr>
        <w:t>устав за мисията на Службата</w:t>
      </w:r>
      <w:r>
        <w:rPr>
          <w:rFonts w:ascii="EC Square Sans Pro" w:hAnsi="EC Square Sans Pro"/>
          <w:noProof/>
          <w:sz w:val="20"/>
          <w:szCs w:val="20"/>
          <w:vertAlign w:val="superscript"/>
        </w:rPr>
        <w:t>(</w:t>
      </w:r>
      <w:r>
        <w:rPr>
          <w:rStyle w:val="FootnoteReference"/>
          <w:rFonts w:eastAsia="Times New Roman" w:cs="Times New Roman"/>
          <w:noProof/>
          <w:sz w:val="20"/>
          <w:szCs w:val="20"/>
          <w:vertAlign w:val="superscript"/>
          <w:lang w:eastAsia="en-GB"/>
        </w:rPr>
        <w:footnoteReference w:id="4"/>
      </w:r>
      <w:r>
        <w:rPr>
          <w:rFonts w:ascii="EC Square Sans Pro" w:hAnsi="EC Square Sans Pro"/>
          <w:noProof/>
          <w:sz w:val="20"/>
          <w:szCs w:val="20"/>
          <w:vertAlign w:val="superscript"/>
        </w:rPr>
        <w:t>)</w:t>
      </w:r>
      <w:r>
        <w:rPr>
          <w:rFonts w:ascii="EC Square Sans Pro" w:hAnsi="EC Square Sans Pro"/>
          <w:noProof/>
          <w:sz w:val="20"/>
          <w:szCs w:val="20"/>
        </w:rPr>
        <w:t>. В този устав се постановява, че за да се гарантира обективност на тяхната преценка и да се избегне конфликт на интереси, одиторите на Службата за вътрешен одит трябва да запазят своята независимост по отношение на дейностите и операциите, на които извършват преглед. Ако обективността им бъде накърнена реално или привидно, информацията за накърняването следва да бъде оповестена. Ако вътрешният одитор счита за необходимо, той може да се обърне пряко към председателя на Комисията и/или колегиума на членовете на Комисията.</w:t>
      </w:r>
    </w:p>
    <w:p>
      <w:pPr>
        <w:spacing w:after="240" w:line="240" w:lineRule="auto"/>
        <w:ind w:left="482"/>
        <w:jc w:val="both"/>
        <w:rPr>
          <w:rFonts w:ascii="EC Square Sans Pro" w:eastAsia="Times New Roman" w:hAnsi="EC Square Sans Pro" w:cs="Times New Roman"/>
          <w:noProof/>
          <w:sz w:val="20"/>
          <w:szCs w:val="20"/>
        </w:rPr>
      </w:pPr>
      <w:r>
        <w:rPr>
          <w:rFonts w:ascii="EC Square Sans Pro" w:hAnsi="EC Square Sans Pro"/>
          <w:noProof/>
          <w:sz w:val="20"/>
          <w:szCs w:val="20"/>
        </w:rPr>
        <w:t>Службата за вътрешен одит извършва дейността си в съответствие с разпоредбите на Финансовия регламент, Международните стандарти за професионалната практика по вътрешен одит и Етичния кодекс на Института на вътрешните одитори.</w:t>
      </w:r>
    </w:p>
    <w:p>
      <w:pPr>
        <w:spacing w:after="240" w:line="240" w:lineRule="auto"/>
        <w:ind w:left="482"/>
        <w:jc w:val="both"/>
        <w:rPr>
          <w:rFonts w:ascii="EC Square Sans Pro" w:hAnsi="EC Square Sans Pro"/>
          <w:noProof/>
          <w:sz w:val="20"/>
          <w:szCs w:val="20"/>
        </w:rPr>
      </w:pPr>
      <w:r>
        <w:rPr>
          <w:rFonts w:ascii="EC Square Sans Pro" w:hAnsi="EC Square Sans Pro"/>
          <w:b/>
          <w:noProof/>
          <w:color w:val="005D95"/>
          <w:sz w:val="20"/>
          <w:szCs w:val="20"/>
        </w:rPr>
        <w:t>Службата за вътрешен одит се отчита — и отговаря функционално — пред Комитета за контрол на одитите.</w:t>
      </w:r>
      <w:r>
        <w:rPr>
          <w:rFonts w:ascii="EC Square Sans Pro" w:hAnsi="EC Square Sans Pro"/>
          <w:noProof/>
          <w:color w:val="005D95"/>
          <w:sz w:val="20"/>
          <w:szCs w:val="20"/>
        </w:rPr>
        <w:t xml:space="preserve"> </w:t>
      </w:r>
      <w:r>
        <w:rPr>
          <w:rFonts w:ascii="EC Square Sans Pro" w:hAnsi="EC Square Sans Pro"/>
          <w:noProof/>
          <w:sz w:val="20"/>
          <w:szCs w:val="20"/>
        </w:rPr>
        <w:t>Службата за вътрешен одит: i) докладва пред Комитета за контрол на одитите значимите въпроси, произтичащи от одитите, и потенциалните подобрения на одитираните процеси; ii) предоставя годишно общо становище относно състоянието на финансовото управление в Комисията; и iii) докладва (поне веднъж годишно) за своята мисия и своето изпълнение, както е предвидено в нейния годишен план за одит. Това докладване включва значителни рискови експозиции, проблеми, свързани с контрола, проблеми, свързани с институционалното управление, и други въпроси.</w:t>
      </w:r>
    </w:p>
    <w:p>
      <w:pPr>
        <w:spacing w:after="240" w:line="240" w:lineRule="auto"/>
        <w:ind w:left="482"/>
        <w:jc w:val="both"/>
        <w:rPr>
          <w:rFonts w:ascii="EC Square Sans Pro" w:hAnsi="EC Square Sans Pro"/>
          <w:noProof/>
          <w:sz w:val="20"/>
          <w:szCs w:val="20"/>
        </w:rPr>
      </w:pPr>
      <w:r>
        <w:rPr>
          <w:rFonts w:ascii="EC Square Sans Pro" w:hAnsi="EC Square Sans Pro"/>
          <w:noProof/>
          <w:sz w:val="20"/>
          <w:szCs w:val="20"/>
        </w:rPr>
        <w:t>Комитетът за контрол на одитите подпомага колегиума на членовете на Комисията при изпълнението на задълженията му съгласно Договорите, Финансовия регламент и други нормативни актове. Той осъществява това като: i) гарантира независимостта на Службата за вътрешен одит; ii) извършва мониторинг на качеството на дейността по вътрешен одит; iii) гарантира, че препоръките, отправени в рамките на вътрешен и външен одит, се вземат надлежно предвид от службите на Комисията; и iv) гарантира, че се предприемат подходящи последващи действия по отношение на тези препоръки. По този начин Комитетът за контрол на одитите помага за подобряване на ефективността и ефикасността на Комисията при постигането на нейните цели. Комитетът за контрол на одитите също така улеснява надзора от страна на колегиума на членовете на Комисията върху практиките на Комисията за управление, управление на риска и вътрешен контрол. Уставът на Комитета за контрол на одитите беше актуализиран през 2020 г., за да се вземат предвид встъпването в длъжност на новата Комисия на 1 декември 2019 г. и промените в членството в Комитета.</w:t>
      </w:r>
    </w:p>
    <w:p>
      <w:pPr>
        <w:spacing w:after="240" w:line="240" w:lineRule="auto"/>
        <w:ind w:left="482"/>
        <w:jc w:val="both"/>
        <w:rPr>
          <w:rFonts w:ascii="EC Square Sans Pro" w:eastAsia="Times New Roman" w:hAnsi="EC Square Sans Pro" w:cs="Times New Roman"/>
          <w:noProof/>
          <w:sz w:val="20"/>
          <w:szCs w:val="20"/>
        </w:rPr>
      </w:pPr>
      <w:r>
        <w:rPr>
          <w:rFonts w:ascii="EC Square Sans Pro" w:hAnsi="EC Square Sans Pro"/>
          <w:noProof/>
          <w:sz w:val="20"/>
          <w:szCs w:val="20"/>
        </w:rPr>
        <w:t xml:space="preserve">Службата за вътрешен одит не одитира системите на държавите членки за контрол на средствата от ЕС. Тези одити стигат до равнището на отделните бенефициери и се извършват от вътрешните одитори на държавите членки, от националните органи за одит, от други генерални дирекции на Комисията и от Европейската сметна палата. Службата за вътрешен одит одитира обаче предприетите от Комисията мерки за надзор и одитиране: i) на органите в държавите членки; и ii) на други органи, които отговарят за изплащането на средства от ЕС, като например Организацията на обединените нации. Съгласно предвиденото във Финансовия регламент Службата за вътрешен одит може да извършва тези дейности на място, включително в държавите членки. </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rPr>
      </w:pPr>
      <w:bookmarkStart w:id="33" w:name="_Toc45016857"/>
      <w:r>
        <w:rPr>
          <w:rFonts w:ascii="EC Square Sans Pro" w:hAnsi="EC Square Sans Pro"/>
          <w:b/>
          <w:smallCaps/>
          <w:noProof/>
          <w:color w:val="005D95"/>
          <w:sz w:val="24"/>
          <w:szCs w:val="20"/>
        </w:rPr>
        <w:t xml:space="preserve">Преглед на извършените </w:t>
      </w:r>
      <w:bookmarkEnd w:id="24"/>
      <w:r>
        <w:rPr>
          <w:rFonts w:ascii="EC Square Sans Pro" w:hAnsi="EC Square Sans Pro"/>
          <w:b/>
          <w:smallCaps/>
          <w:noProof/>
          <w:color w:val="005D95"/>
          <w:sz w:val="24"/>
          <w:szCs w:val="20"/>
        </w:rPr>
        <w:t>одити</w:t>
      </w:r>
      <w:bookmarkEnd w:id="25"/>
      <w:bookmarkEnd w:id="26"/>
      <w:bookmarkEnd w:id="27"/>
      <w:bookmarkEnd w:id="28"/>
      <w:bookmarkEnd w:id="29"/>
      <w:bookmarkEnd w:id="30"/>
      <w:bookmarkEnd w:id="31"/>
      <w:bookmarkEnd w:id="33"/>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rPr>
      </w:pPr>
      <w:bookmarkStart w:id="34" w:name="_Toc384658384"/>
      <w:bookmarkStart w:id="35" w:name="_Toc448926049"/>
      <w:bookmarkStart w:id="36" w:name="_Toc448503095"/>
      <w:bookmarkStart w:id="37" w:name="_Toc512438614"/>
      <w:bookmarkStart w:id="38" w:name="_Toc515017752"/>
      <w:bookmarkStart w:id="39" w:name="_Toc4756281"/>
      <w:bookmarkStart w:id="40" w:name="_Toc8981609"/>
      <w:bookmarkStart w:id="41" w:name="_Toc11401288"/>
      <w:bookmarkStart w:id="42" w:name="_Toc45016858"/>
      <w:r>
        <w:rPr>
          <w:rFonts w:ascii="EC Square Sans Pro" w:hAnsi="EC Square Sans Pro"/>
          <w:b/>
          <w:noProof/>
          <w:color w:val="005D95"/>
          <w:sz w:val="24"/>
          <w:szCs w:val="24"/>
        </w:rPr>
        <w:t>Изпълнение на плана за одит за 2019 г.</w:t>
      </w:r>
      <w:bookmarkEnd w:id="34"/>
      <w:bookmarkEnd w:id="35"/>
      <w:bookmarkEnd w:id="36"/>
      <w:bookmarkEnd w:id="37"/>
      <w:bookmarkEnd w:id="38"/>
      <w:bookmarkEnd w:id="39"/>
      <w:bookmarkEnd w:id="40"/>
      <w:bookmarkEnd w:id="41"/>
      <w:bookmarkEnd w:id="42"/>
    </w:p>
    <w:p>
      <w:pPr>
        <w:spacing w:after="240" w:line="240" w:lineRule="auto"/>
        <w:ind w:left="567"/>
        <w:jc w:val="both"/>
        <w:rPr>
          <w:rFonts w:ascii="EC Square Sans Pro" w:eastAsia="Times New Roman" w:hAnsi="EC Square Sans Pro" w:cs="Times New Roman"/>
          <w:noProof/>
          <w:sz w:val="20"/>
          <w:szCs w:val="20"/>
        </w:rPr>
      </w:pPr>
      <w:r>
        <w:rPr>
          <w:rFonts w:ascii="EC Square Sans Pro" w:hAnsi="EC Square Sans Pro"/>
          <w:noProof/>
          <w:sz w:val="20"/>
          <w:szCs w:val="20"/>
        </w:rPr>
        <w:t>До крайната дата 31 януари 2020 г. бяха изпълнени 100 % от актуализирания план за одит за 2019 г. Този план за одит включваше одити в Комисията и изпълнителните агенции</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5"/>
      </w:r>
      <w:r>
        <w:rPr>
          <w:rFonts w:ascii="EC Square Sans Pro" w:hAnsi="EC Square Sans Pro"/>
          <w:noProof/>
          <w:sz w:val="20"/>
          <w:szCs w:val="20"/>
          <w:vertAlign w:val="superscript"/>
        </w:rPr>
        <w:t>)</w:t>
      </w:r>
      <w:r>
        <w:rPr>
          <w:rFonts w:ascii="EC Square Sans Pro" w:hAnsi="EC Square Sans Pro"/>
          <w:noProof/>
          <w:sz w:val="20"/>
          <w:szCs w:val="20"/>
        </w:rPr>
        <w:t>.</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Приключени бяха 155 „ангажимента“ (състоящи се от одити, консултации, последващи действия и прегледи), както и още един (вътрешен) проект, и бяха изготвени 160 доклада (включително последващи бележки и писма до ръководството)</w:t>
      </w:r>
      <w:r>
        <w:rPr>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6"/>
      </w:r>
      <w:r>
        <w:rPr>
          <w:noProof/>
          <w:sz w:val="20"/>
          <w:szCs w:val="20"/>
          <w:vertAlign w:val="superscript"/>
        </w:rPr>
        <w:t>)</w:t>
      </w:r>
      <w:r>
        <w:rPr>
          <w:noProof/>
          <w:sz w:val="20"/>
          <w:szCs w:val="20"/>
        </w:rPr>
        <w:t>.</w:t>
      </w:r>
      <w:r>
        <w:rPr>
          <w:rFonts w:ascii="EC Square Sans Pro" w:hAnsi="EC Square Sans Pro"/>
          <w:noProof/>
          <w:sz w:val="20"/>
          <w:szCs w:val="20"/>
        </w:rPr>
        <w:t xml:space="preserve"> В графиките по-долу е представена разбивка на видовете приключени ангажименти и изготвени доклади.</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4790"/>
      </w:tblGrid>
      <w:tr>
        <w:tc>
          <w:tcPr>
            <w:tcW w:w="4643" w:type="dxa"/>
          </w:tcPr>
          <w:p>
            <w:pPr>
              <w:spacing w:after="240"/>
              <w:jc w:val="both"/>
              <w:rPr>
                <w:rFonts w:ascii="EC Square Sans Pro" w:eastAsia="Times New Roman" w:hAnsi="EC Square Sans Pro" w:cs="Times New Roman"/>
                <w:noProof/>
                <w:sz w:val="20"/>
                <w:szCs w:val="20"/>
              </w:rPr>
            </w:pPr>
            <w:r>
              <w:rPr>
                <w:noProof/>
                <w:lang w:val="en-GB" w:eastAsia="en-GB"/>
              </w:rPr>
              <w:drawing>
                <wp:inline distT="0" distB="0" distL="0" distR="0">
                  <wp:extent cx="2613803" cy="352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4341" cy="3541942"/>
                          </a:xfrm>
                          <a:prstGeom prst="rect">
                            <a:avLst/>
                          </a:prstGeom>
                        </pic:spPr>
                      </pic:pic>
                    </a:graphicData>
                  </a:graphic>
                </wp:inline>
              </w:drawing>
            </w:r>
          </w:p>
        </w:tc>
        <w:tc>
          <w:tcPr>
            <w:tcW w:w="4643" w:type="dxa"/>
          </w:tcPr>
          <w:p>
            <w:pPr>
              <w:spacing w:after="240"/>
              <w:jc w:val="both"/>
              <w:rPr>
                <w:rFonts w:ascii="EC Square Sans Pro" w:eastAsia="Times New Roman" w:hAnsi="EC Square Sans Pro" w:cs="Times New Roman"/>
                <w:noProof/>
                <w:sz w:val="20"/>
                <w:szCs w:val="20"/>
              </w:rPr>
            </w:pPr>
            <w:r>
              <w:rPr>
                <w:noProof/>
                <w:lang w:val="en-GB" w:eastAsia="en-GB"/>
              </w:rPr>
              <w:drawing>
                <wp:inline distT="0" distB="0" distL="0" distR="0">
                  <wp:extent cx="3216203" cy="3579962"/>
                  <wp:effectExtent l="0" t="0" r="381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33167" cy="3598845"/>
                          </a:xfrm>
                          <a:prstGeom prst="rect">
                            <a:avLst/>
                          </a:prstGeom>
                        </pic:spPr>
                      </pic:pic>
                    </a:graphicData>
                  </a:graphic>
                </wp:inline>
              </w:drawing>
            </w:r>
          </w:p>
        </w:tc>
      </w:tr>
    </w:tbl>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Източник: Европейска комисия, Служба за вътрешен одит</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Първоначалният план за 2019</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xml:space="preserve">. </w:t>
      </w:r>
      <w:r>
        <w:rPr>
          <w:rFonts w:ascii="EC Square Sans Pro" w:hAnsi="EC Square Sans Pro" w:cs="EC Square Sans Pro"/>
          <w:noProof/>
          <w:sz w:val="20"/>
          <w:szCs w:val="20"/>
        </w:rPr>
        <w:t>съдържаше</w:t>
      </w:r>
      <w:r>
        <w:rPr>
          <w:rFonts w:ascii="EC Square Sans Pro" w:hAnsi="EC Square Sans Pro"/>
          <w:noProof/>
          <w:sz w:val="20"/>
          <w:szCs w:val="20"/>
        </w:rPr>
        <w:t xml:space="preserve"> 44</w:t>
      </w:r>
      <w:r>
        <w:rPr>
          <w:rFonts w:ascii="Calibri" w:hAnsi="Calibri" w:cs="Calibri"/>
          <w:noProof/>
          <w:sz w:val="20"/>
          <w:szCs w:val="20"/>
        </w:rPr>
        <w:t> </w:t>
      </w:r>
      <w:r>
        <w:rPr>
          <w:rFonts w:ascii="EC Square Sans Pro" w:hAnsi="EC Square Sans Pro" w:cs="EC Square Sans Pro"/>
          <w:noProof/>
          <w:sz w:val="20"/>
          <w:szCs w:val="20"/>
        </w:rPr>
        <w:t>ангажимента</w:t>
      </w:r>
      <w:r>
        <w:rPr>
          <w:rFonts w:ascii="EC Square Sans Pro" w:hAnsi="EC Square Sans Pro"/>
          <w:noProof/>
          <w:sz w:val="20"/>
          <w:szCs w:val="20"/>
        </w:rPr>
        <w:t xml:space="preserve"> </w:t>
      </w:r>
      <w:r>
        <w:rPr>
          <w:rFonts w:ascii="EC Square Sans Pro" w:hAnsi="EC Square Sans Pro" w:cs="EC Square Sans Pro"/>
          <w:noProof/>
          <w:sz w:val="20"/>
          <w:szCs w:val="20"/>
        </w:rPr>
        <w:t>за</w:t>
      </w:r>
      <w:r>
        <w:rPr>
          <w:rFonts w:ascii="EC Square Sans Pro" w:hAnsi="EC Square Sans Pro"/>
          <w:noProof/>
          <w:sz w:val="20"/>
          <w:szCs w:val="20"/>
        </w:rPr>
        <w:t xml:space="preserve"> </w:t>
      </w:r>
      <w:r>
        <w:rPr>
          <w:rFonts w:ascii="EC Square Sans Pro" w:hAnsi="EC Square Sans Pro" w:cs="EC Square Sans Pro"/>
          <w:noProof/>
          <w:sz w:val="20"/>
          <w:szCs w:val="20"/>
        </w:rPr>
        <w:t>одит</w:t>
      </w:r>
      <w:r>
        <w:rPr>
          <w:rFonts w:ascii="EC Square Sans Pro" w:hAnsi="EC Square Sans Pro"/>
          <w:noProof/>
          <w:sz w:val="20"/>
          <w:szCs w:val="20"/>
        </w:rPr>
        <w:t xml:space="preserve"> (</w:t>
      </w:r>
      <w:r>
        <w:rPr>
          <w:rFonts w:ascii="EC Square Sans Pro" w:hAnsi="EC Square Sans Pro" w:cs="EC Square Sans Pro"/>
          <w:noProof/>
          <w:sz w:val="20"/>
          <w:szCs w:val="20"/>
        </w:rPr>
        <w:t>които</w:t>
      </w:r>
      <w:r>
        <w:rPr>
          <w:rFonts w:ascii="EC Square Sans Pro" w:hAnsi="EC Square Sans Pro"/>
          <w:noProof/>
          <w:sz w:val="20"/>
          <w:szCs w:val="20"/>
        </w:rPr>
        <w:t xml:space="preserve"> </w:t>
      </w:r>
      <w:r>
        <w:rPr>
          <w:rFonts w:ascii="EC Square Sans Pro" w:hAnsi="EC Square Sans Pro" w:cs="EC Square Sans Pro"/>
          <w:noProof/>
          <w:sz w:val="20"/>
          <w:szCs w:val="20"/>
        </w:rPr>
        <w:t>включваха</w:t>
      </w:r>
      <w:r>
        <w:rPr>
          <w:rFonts w:ascii="EC Square Sans Pro" w:hAnsi="EC Square Sans Pro"/>
          <w:noProof/>
          <w:sz w:val="20"/>
          <w:szCs w:val="20"/>
        </w:rPr>
        <w:t xml:space="preserve"> </w:t>
      </w:r>
      <w:r>
        <w:rPr>
          <w:rFonts w:ascii="EC Square Sans Pro" w:hAnsi="EC Square Sans Pro" w:cs="EC Square Sans Pro"/>
          <w:noProof/>
          <w:sz w:val="20"/>
          <w:szCs w:val="20"/>
        </w:rPr>
        <w:t>одити</w:t>
      </w:r>
      <w:r>
        <w:rPr>
          <w:rFonts w:ascii="EC Square Sans Pro" w:hAnsi="EC Square Sans Pro"/>
          <w:noProof/>
          <w:sz w:val="20"/>
          <w:szCs w:val="20"/>
        </w:rPr>
        <w:t xml:space="preserve">, </w:t>
      </w:r>
      <w:r>
        <w:rPr>
          <w:rFonts w:ascii="EC Square Sans Pro" w:hAnsi="EC Square Sans Pro" w:cs="EC Square Sans Pro"/>
          <w:noProof/>
          <w:sz w:val="20"/>
          <w:szCs w:val="20"/>
        </w:rPr>
        <w:t>прегледи</w:t>
      </w:r>
      <w:r>
        <w:rPr>
          <w:rFonts w:ascii="EC Square Sans Pro" w:hAnsi="EC Square Sans Pro"/>
          <w:noProof/>
          <w:sz w:val="20"/>
          <w:szCs w:val="20"/>
        </w:rPr>
        <w:t xml:space="preserve"> </w:t>
      </w:r>
      <w:r>
        <w:rPr>
          <w:rFonts w:ascii="EC Square Sans Pro" w:hAnsi="EC Square Sans Pro" w:cs="EC Square Sans Pro"/>
          <w:noProof/>
          <w:sz w:val="20"/>
          <w:szCs w:val="20"/>
        </w:rPr>
        <w:t>и</w:t>
      </w:r>
      <w:r>
        <w:rPr>
          <w:rFonts w:ascii="EC Square Sans Pro" w:hAnsi="EC Square Sans Pro"/>
          <w:noProof/>
          <w:sz w:val="20"/>
          <w:szCs w:val="20"/>
        </w:rPr>
        <w:t xml:space="preserve"> </w:t>
      </w:r>
      <w:r>
        <w:rPr>
          <w:rFonts w:ascii="EC Square Sans Pro" w:hAnsi="EC Square Sans Pro" w:cs="EC Square Sans Pro"/>
          <w:noProof/>
          <w:sz w:val="20"/>
          <w:szCs w:val="20"/>
        </w:rPr>
        <w:t>ангажименти</w:t>
      </w:r>
      <w:r>
        <w:rPr>
          <w:rFonts w:ascii="EC Square Sans Pro" w:hAnsi="EC Square Sans Pro"/>
          <w:noProof/>
          <w:sz w:val="20"/>
          <w:szCs w:val="20"/>
        </w:rPr>
        <w:t xml:space="preserve"> </w:t>
      </w:r>
      <w:r>
        <w:rPr>
          <w:rFonts w:ascii="EC Square Sans Pro" w:hAnsi="EC Square Sans Pro" w:cs="EC Square Sans Pro"/>
          <w:noProof/>
          <w:sz w:val="20"/>
          <w:szCs w:val="20"/>
        </w:rPr>
        <w:t>за</w:t>
      </w:r>
      <w:r>
        <w:rPr>
          <w:rFonts w:ascii="EC Square Sans Pro" w:hAnsi="EC Square Sans Pro"/>
          <w:noProof/>
          <w:sz w:val="20"/>
          <w:szCs w:val="20"/>
        </w:rPr>
        <w:t xml:space="preserve"> </w:t>
      </w:r>
      <w:r>
        <w:rPr>
          <w:rFonts w:ascii="EC Square Sans Pro" w:hAnsi="EC Square Sans Pro" w:cs="EC Square Sans Pro"/>
          <w:noProof/>
          <w:sz w:val="20"/>
          <w:szCs w:val="20"/>
        </w:rPr>
        <w:t>консултации</w:t>
      </w:r>
      <w:r>
        <w:rPr>
          <w:rFonts w:ascii="EC Square Sans Pro" w:hAnsi="EC Square Sans Pro"/>
          <w:noProof/>
          <w:sz w:val="20"/>
          <w:szCs w:val="20"/>
        </w:rPr>
        <w:t xml:space="preserve">, </w:t>
      </w:r>
      <w:r>
        <w:rPr>
          <w:rFonts w:ascii="EC Square Sans Pro" w:hAnsi="EC Square Sans Pro" w:cs="EC Square Sans Pro"/>
          <w:noProof/>
          <w:sz w:val="20"/>
          <w:szCs w:val="20"/>
        </w:rPr>
        <w:t>но</w:t>
      </w:r>
      <w:r>
        <w:rPr>
          <w:rFonts w:ascii="EC Square Sans Pro" w:hAnsi="EC Square Sans Pro"/>
          <w:noProof/>
          <w:sz w:val="20"/>
          <w:szCs w:val="20"/>
        </w:rPr>
        <w:t xml:space="preserve"> </w:t>
      </w:r>
      <w:r>
        <w:rPr>
          <w:rFonts w:ascii="EC Square Sans Pro" w:hAnsi="EC Square Sans Pro" w:cs="EC Square Sans Pro"/>
          <w:noProof/>
          <w:sz w:val="20"/>
          <w:szCs w:val="20"/>
        </w:rPr>
        <w:t>без</w:t>
      </w:r>
      <w:r>
        <w:rPr>
          <w:rFonts w:ascii="EC Square Sans Pro" w:hAnsi="EC Square Sans Pro"/>
          <w:noProof/>
          <w:sz w:val="20"/>
          <w:szCs w:val="20"/>
        </w:rPr>
        <w:t xml:space="preserve"> </w:t>
      </w:r>
      <w:r>
        <w:rPr>
          <w:rFonts w:ascii="EC Square Sans Pro" w:hAnsi="EC Square Sans Pro" w:cs="EC Square Sans Pro"/>
          <w:noProof/>
          <w:sz w:val="20"/>
          <w:szCs w:val="20"/>
        </w:rPr>
        <w:t>последващи</w:t>
      </w:r>
      <w:r>
        <w:rPr>
          <w:rFonts w:ascii="EC Square Sans Pro" w:hAnsi="EC Square Sans Pro"/>
          <w:noProof/>
          <w:sz w:val="20"/>
          <w:szCs w:val="20"/>
        </w:rPr>
        <w:t xml:space="preserve"> </w:t>
      </w:r>
      <w:r>
        <w:rPr>
          <w:rFonts w:ascii="EC Square Sans Pro" w:hAnsi="EC Square Sans Pro" w:cs="EC Square Sans Pro"/>
          <w:noProof/>
          <w:sz w:val="20"/>
          <w:szCs w:val="20"/>
        </w:rPr>
        <w:t>действия</w:t>
      </w:r>
      <w:r>
        <w:rPr>
          <w:rFonts w:ascii="EC Square Sans Pro" w:hAnsi="EC Square Sans Pro"/>
          <w:noProof/>
          <w:sz w:val="20"/>
          <w:szCs w:val="20"/>
        </w:rPr>
        <w:t xml:space="preserve">), </w:t>
      </w:r>
      <w:r>
        <w:rPr>
          <w:rFonts w:ascii="EC Square Sans Pro" w:hAnsi="EC Square Sans Pro" w:cs="EC Square Sans Pro"/>
          <w:noProof/>
          <w:sz w:val="20"/>
          <w:szCs w:val="20"/>
        </w:rPr>
        <w:t>които</w:t>
      </w:r>
      <w:r>
        <w:rPr>
          <w:rFonts w:ascii="EC Square Sans Pro" w:hAnsi="EC Square Sans Pro"/>
          <w:noProof/>
          <w:sz w:val="20"/>
          <w:szCs w:val="20"/>
        </w:rPr>
        <w:t xml:space="preserve"> </w:t>
      </w:r>
      <w:r>
        <w:rPr>
          <w:rFonts w:ascii="EC Square Sans Pro" w:hAnsi="EC Square Sans Pro" w:cs="EC Square Sans Pro"/>
          <w:noProof/>
          <w:sz w:val="20"/>
          <w:szCs w:val="20"/>
        </w:rPr>
        <w:t>трябваше</w:t>
      </w:r>
      <w:r>
        <w:rPr>
          <w:rFonts w:ascii="EC Square Sans Pro" w:hAnsi="EC Square Sans Pro"/>
          <w:noProof/>
          <w:sz w:val="20"/>
          <w:szCs w:val="20"/>
        </w:rPr>
        <w:t xml:space="preserve"> </w:t>
      </w:r>
      <w:r>
        <w:rPr>
          <w:rFonts w:ascii="EC Square Sans Pro" w:hAnsi="EC Square Sans Pro" w:cs="EC Square Sans Pro"/>
          <w:noProof/>
          <w:sz w:val="20"/>
          <w:szCs w:val="20"/>
        </w:rPr>
        <w:t>да</w:t>
      </w:r>
      <w:r>
        <w:rPr>
          <w:rFonts w:ascii="EC Square Sans Pro" w:hAnsi="EC Square Sans Pro"/>
          <w:noProof/>
          <w:sz w:val="20"/>
          <w:szCs w:val="20"/>
        </w:rPr>
        <w:t xml:space="preserve"> </w:t>
      </w:r>
      <w:r>
        <w:rPr>
          <w:rFonts w:ascii="EC Square Sans Pro" w:hAnsi="EC Square Sans Pro" w:cs="EC Square Sans Pro"/>
          <w:noProof/>
          <w:sz w:val="20"/>
          <w:szCs w:val="20"/>
        </w:rPr>
        <w:t>бъдат</w:t>
      </w:r>
      <w:r>
        <w:rPr>
          <w:rFonts w:ascii="EC Square Sans Pro" w:hAnsi="EC Square Sans Pro"/>
          <w:noProof/>
          <w:sz w:val="20"/>
          <w:szCs w:val="20"/>
        </w:rPr>
        <w:t xml:space="preserve"> </w:t>
      </w:r>
      <w:r>
        <w:rPr>
          <w:rFonts w:ascii="EC Square Sans Pro" w:hAnsi="EC Square Sans Pro" w:cs="EC Square Sans Pro"/>
          <w:noProof/>
          <w:sz w:val="20"/>
          <w:szCs w:val="20"/>
        </w:rPr>
        <w:t>п</w:t>
      </w:r>
      <w:r>
        <w:rPr>
          <w:rFonts w:ascii="EC Square Sans Pro" w:hAnsi="EC Square Sans Pro"/>
          <w:noProof/>
          <w:sz w:val="20"/>
          <w:szCs w:val="20"/>
        </w:rPr>
        <w:t>риключени до крайната дата 31 януари 2020</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Освен това планът съдържаше 29 допълнителни ангажимента, чието изпълнение трябваше да започне преди тази крайна дата и да приключи след крайната дата през 2020 г. Планът за 2019 г. беше актуализиран в средата на годината. Както първоначалният, така и актуализираният план бяха разгледани от Комитета за контрол на одитите.</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Службата за вътрешен одит планира одитната си дейност въз основа на оценка на риска и анализ на капацитета. Това се изисква в съответствие с нейния устав и международните стандарти и помага също така да се гарантира ефективно и ефикасно изпълнение на плана за одит. След това изпълнението на плана за одит редовно се наблюдава и при необходимост се правят корекции.</w:t>
      </w:r>
    </w:p>
    <w:p>
      <w:pPr>
        <w:spacing w:after="240" w:line="240" w:lineRule="auto"/>
        <w:ind w:left="567"/>
        <w:jc w:val="both"/>
        <w:rPr>
          <w:rFonts w:ascii="EC Square Sans Pro" w:eastAsia="Times New Roman" w:hAnsi="EC Square Sans Pro" w:cs="Times New Roman"/>
          <w:noProof/>
          <w:sz w:val="20"/>
          <w:szCs w:val="20"/>
          <w:lang w:eastAsia="en-GB"/>
        </w:rPr>
      </w:pPr>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rPr>
      </w:pPr>
      <w:bookmarkStart w:id="43" w:name="_Toc384658385"/>
      <w:bookmarkStart w:id="44" w:name="_Toc448926050"/>
      <w:bookmarkStart w:id="45" w:name="_Toc448503096"/>
      <w:bookmarkStart w:id="46" w:name="_Toc512438615"/>
      <w:bookmarkStart w:id="47" w:name="_Toc515017753"/>
      <w:bookmarkStart w:id="48" w:name="_Toc4756282"/>
      <w:bookmarkStart w:id="49" w:name="_Toc8981610"/>
      <w:bookmarkStart w:id="50" w:name="_Toc11401289"/>
      <w:bookmarkStart w:id="51" w:name="_Toc45016859"/>
      <w:r>
        <w:rPr>
          <w:rFonts w:ascii="EC Square Sans Pro" w:hAnsi="EC Square Sans Pro"/>
          <w:b/>
          <w:noProof/>
          <w:color w:val="005D95"/>
          <w:sz w:val="24"/>
          <w:szCs w:val="20"/>
        </w:rPr>
        <w:t>Статистически данни за препоръките на Службата за вътрешен одит</w:t>
      </w:r>
      <w:bookmarkEnd w:id="43"/>
      <w:bookmarkEnd w:id="44"/>
      <w:bookmarkEnd w:id="45"/>
      <w:bookmarkEnd w:id="46"/>
      <w:bookmarkEnd w:id="47"/>
      <w:bookmarkEnd w:id="48"/>
      <w:bookmarkEnd w:id="49"/>
      <w:bookmarkEnd w:id="50"/>
      <w:bookmarkEnd w:id="51"/>
    </w:p>
    <w:p>
      <w:pPr>
        <w:spacing w:after="360" w:line="240" w:lineRule="auto"/>
        <w:ind w:left="567"/>
        <w:jc w:val="both"/>
        <w:rPr>
          <w:rFonts w:ascii="EC Square Sans Pro" w:eastAsia="Times New Roman" w:hAnsi="EC Square Sans Pro" w:cs="Times New Roman"/>
          <w:noProof/>
          <w:sz w:val="20"/>
          <w:szCs w:val="20"/>
        </w:rPr>
      </w:pPr>
      <w:r>
        <w:rPr>
          <w:rFonts w:ascii="EC Square Sans Pro" w:hAnsi="EC Square Sans Pro"/>
          <w:noProof/>
          <w:sz w:val="20"/>
          <w:szCs w:val="20"/>
        </w:rPr>
        <w:t>Броят на препоръките, отправени от Службата за вътрешен одит през 2019</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xml:space="preserve">., </w:t>
      </w:r>
      <w:r>
        <w:rPr>
          <w:rFonts w:ascii="EC Square Sans Pro" w:hAnsi="EC Square Sans Pro" w:cs="EC Square Sans Pro"/>
          <w:noProof/>
          <w:sz w:val="20"/>
          <w:szCs w:val="20"/>
        </w:rPr>
        <w:t>може</w:t>
      </w:r>
      <w:r>
        <w:rPr>
          <w:rFonts w:ascii="EC Square Sans Pro" w:hAnsi="EC Square Sans Pro"/>
          <w:noProof/>
          <w:sz w:val="20"/>
          <w:szCs w:val="20"/>
        </w:rPr>
        <w:t xml:space="preserve"> </w:t>
      </w:r>
      <w:r>
        <w:rPr>
          <w:rFonts w:ascii="EC Square Sans Pro" w:hAnsi="EC Square Sans Pro" w:cs="EC Square Sans Pro"/>
          <w:noProof/>
          <w:sz w:val="20"/>
          <w:szCs w:val="20"/>
        </w:rPr>
        <w:t>да</w:t>
      </w:r>
      <w:r>
        <w:rPr>
          <w:rFonts w:ascii="EC Square Sans Pro" w:hAnsi="EC Square Sans Pro"/>
          <w:noProof/>
          <w:sz w:val="20"/>
          <w:szCs w:val="20"/>
        </w:rPr>
        <w:t xml:space="preserve"> </w:t>
      </w:r>
      <w:r>
        <w:rPr>
          <w:rFonts w:ascii="EC Square Sans Pro" w:hAnsi="EC Square Sans Pro" w:cs="EC Square Sans Pro"/>
          <w:noProof/>
          <w:sz w:val="20"/>
          <w:szCs w:val="20"/>
        </w:rPr>
        <w:t>се</w:t>
      </w:r>
      <w:r>
        <w:rPr>
          <w:rFonts w:ascii="EC Square Sans Pro" w:hAnsi="EC Square Sans Pro"/>
          <w:noProof/>
          <w:sz w:val="20"/>
          <w:szCs w:val="20"/>
        </w:rPr>
        <w:t xml:space="preserve"> </w:t>
      </w:r>
      <w:r>
        <w:rPr>
          <w:rFonts w:ascii="EC Square Sans Pro" w:hAnsi="EC Square Sans Pro" w:cs="EC Square Sans Pro"/>
          <w:noProof/>
          <w:sz w:val="20"/>
          <w:szCs w:val="20"/>
        </w:rPr>
        <w:t>види</w:t>
      </w:r>
      <w:r>
        <w:rPr>
          <w:rFonts w:ascii="EC Square Sans Pro" w:hAnsi="EC Square Sans Pro"/>
          <w:noProof/>
          <w:sz w:val="20"/>
          <w:szCs w:val="20"/>
        </w:rPr>
        <w:t xml:space="preserve"> </w:t>
      </w:r>
      <w:r>
        <w:rPr>
          <w:rFonts w:ascii="EC Square Sans Pro" w:hAnsi="EC Square Sans Pro" w:cs="EC Square Sans Pro"/>
          <w:noProof/>
          <w:sz w:val="20"/>
          <w:szCs w:val="20"/>
        </w:rPr>
        <w:t>на</w:t>
      </w:r>
      <w:r>
        <w:rPr>
          <w:rFonts w:ascii="EC Square Sans Pro" w:hAnsi="EC Square Sans Pro"/>
          <w:noProof/>
          <w:sz w:val="20"/>
          <w:szCs w:val="20"/>
        </w:rPr>
        <w:t xml:space="preserve"> </w:t>
      </w:r>
      <w:r>
        <w:rPr>
          <w:rFonts w:ascii="EC Square Sans Pro" w:hAnsi="EC Square Sans Pro" w:cs="EC Square Sans Pro"/>
          <w:noProof/>
          <w:sz w:val="20"/>
          <w:szCs w:val="20"/>
        </w:rPr>
        <w:t>фигурата</w:t>
      </w:r>
      <w:r>
        <w:rPr>
          <w:rFonts w:ascii="EC Square Sans Pro" w:hAnsi="EC Square Sans Pro"/>
          <w:noProof/>
          <w:sz w:val="20"/>
          <w:szCs w:val="20"/>
        </w:rPr>
        <w:t xml:space="preserve"> </w:t>
      </w:r>
      <w:r>
        <w:rPr>
          <w:rFonts w:ascii="EC Square Sans Pro" w:hAnsi="EC Square Sans Pro" w:cs="EC Square Sans Pro"/>
          <w:noProof/>
          <w:sz w:val="20"/>
          <w:szCs w:val="20"/>
        </w:rPr>
        <w:t>по</w:t>
      </w:r>
      <w:r>
        <w:rPr>
          <w:rFonts w:ascii="EC Square Sans Pro" w:hAnsi="EC Square Sans Pro"/>
          <w:noProof/>
          <w:sz w:val="20"/>
          <w:szCs w:val="20"/>
        </w:rPr>
        <w:t>-</w:t>
      </w:r>
      <w:r>
        <w:rPr>
          <w:rFonts w:ascii="EC Square Sans Pro" w:hAnsi="EC Square Sans Pro" w:cs="EC Square Sans Pro"/>
          <w:noProof/>
          <w:sz w:val="20"/>
          <w:szCs w:val="20"/>
        </w:rPr>
        <w:t>долу</w:t>
      </w:r>
      <w:r>
        <w:rPr>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7"/>
      </w:r>
      <w:r>
        <w:rPr>
          <w:noProof/>
          <w:sz w:val="20"/>
          <w:szCs w:val="20"/>
          <w:vertAlign w:val="superscript"/>
        </w:rPr>
        <w:t>)</w:t>
      </w:r>
      <w:r>
        <w:rPr>
          <w:noProof/>
          <w:sz w:val="20"/>
          <w:szCs w:val="20"/>
        </w:rPr>
        <w:t>.</w:t>
      </w:r>
    </w:p>
    <w:p>
      <w:pPr>
        <w:spacing w:after="360" w:line="240" w:lineRule="auto"/>
        <w:ind w:left="567"/>
        <w:jc w:val="both"/>
        <w:rPr>
          <w:rFonts w:ascii="Times New Roman" w:eastAsia="Times New Roman" w:hAnsi="Times New Roman" w:cs="Times New Roman"/>
          <w:noProof/>
          <w:sz w:val="24"/>
          <w:szCs w:val="20"/>
        </w:rPr>
      </w:pPr>
      <w:r>
        <w:rPr>
          <w:noProof/>
          <w:lang w:val="en-GB" w:eastAsia="en-GB"/>
        </w:rPr>
        <w:drawing>
          <wp:inline distT="0" distB="0" distL="0" distR="0">
            <wp:extent cx="553402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34025" cy="1800225"/>
                    </a:xfrm>
                    <a:prstGeom prst="rect">
                      <a:avLst/>
                    </a:prstGeom>
                  </pic:spPr>
                </pic:pic>
              </a:graphicData>
            </a:graphic>
          </wp:inline>
        </w:drawing>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Източник: Европейска комисия, Служба за вътрешен одит</w:t>
      </w:r>
    </w:p>
    <w:p>
      <w:pPr>
        <w:spacing w:after="36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През 2019</w:t>
      </w:r>
      <w:r>
        <w:rPr>
          <w:rFonts w:ascii="Calibri" w:hAnsi="Calibri" w:cs="Calibri"/>
          <w:noProof/>
          <w:sz w:val="20"/>
          <w:szCs w:val="20"/>
        </w:rPr>
        <w:t> </w:t>
      </w:r>
      <w:r>
        <w:rPr>
          <w:rFonts w:ascii="EC Square Sans Pro" w:hAnsi="EC Square Sans Pro" w:cs="EC Square Sans Pro"/>
          <w:noProof/>
          <w:sz w:val="20"/>
          <w:szCs w:val="20"/>
        </w:rPr>
        <w:t>г. одитираните субекти приеха всички 136 препоръки, отправени от Служба за вътрешен одит. За всички препоръки одитираните субекти изготвиха планове за действие, които бяха представени на Службата за вътрешен одит и бяха оценени от нея като задоволителни.</w:t>
      </w:r>
    </w:p>
    <w:p>
      <w:pPr>
        <w:spacing w:after="36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В периода 2015—2019</w:t>
      </w:r>
      <w:r>
        <w:rPr>
          <w:rFonts w:ascii="Calibri" w:hAnsi="Calibri" w:cs="Calibri"/>
          <w:noProof/>
          <w:sz w:val="20"/>
          <w:szCs w:val="20"/>
        </w:rPr>
        <w:t> </w:t>
      </w:r>
      <w:r>
        <w:rPr>
          <w:rFonts w:ascii="EC Square Sans Pro" w:hAnsi="EC Square Sans Pro" w:cs="EC Square Sans Pro"/>
          <w:noProof/>
          <w:sz w:val="20"/>
          <w:szCs w:val="20"/>
        </w:rPr>
        <w:t>г. 1</w:t>
      </w:r>
      <w:r>
        <w:rPr>
          <w:rFonts w:ascii="Calibri" w:hAnsi="Calibri" w:cs="Calibri"/>
          <w:noProof/>
          <w:sz w:val="20"/>
          <w:szCs w:val="20"/>
        </w:rPr>
        <w:t> </w:t>
      </w:r>
      <w:r>
        <w:rPr>
          <w:rFonts w:ascii="EC Square Sans Pro" w:hAnsi="EC Square Sans Pro" w:cs="EC Square Sans Pro"/>
          <w:noProof/>
          <w:sz w:val="20"/>
          <w:szCs w:val="20"/>
        </w:rPr>
        <w:t>704 (87</w:t>
      </w:r>
      <w:r>
        <w:rPr>
          <w:rFonts w:ascii="Calibri" w:hAnsi="Calibri" w:cs="Calibri"/>
          <w:noProof/>
          <w:sz w:val="20"/>
          <w:szCs w:val="20"/>
        </w:rPr>
        <w:t> </w:t>
      </w:r>
      <w:r>
        <w:rPr>
          <w:rFonts w:ascii="EC Square Sans Pro" w:hAnsi="EC Square Sans Pro" w:cs="EC Square Sans Pro"/>
          <w:noProof/>
          <w:sz w:val="20"/>
          <w:szCs w:val="20"/>
        </w:rPr>
        <w:t>%) от общо 1</w:t>
      </w:r>
      <w:r>
        <w:rPr>
          <w:rFonts w:ascii="Calibri" w:hAnsi="Calibri" w:cs="Calibri"/>
          <w:noProof/>
          <w:sz w:val="20"/>
          <w:szCs w:val="20"/>
        </w:rPr>
        <w:t> </w:t>
      </w:r>
      <w:r>
        <w:rPr>
          <w:rFonts w:ascii="EC Square Sans Pro" w:hAnsi="EC Square Sans Pro" w:cs="EC Square Sans Pro"/>
          <w:noProof/>
          <w:sz w:val="20"/>
          <w:szCs w:val="20"/>
        </w:rPr>
        <w:t>949 (частично) приети препоръки</w:t>
      </w:r>
      <w:r>
        <w:rPr>
          <w:rFonts w:ascii="EC Square Sans Pro" w:hAnsi="EC Square Sans Pro"/>
          <w:noProof/>
          <w:sz w:val="20"/>
          <w:szCs w:val="20"/>
          <w:vertAlign w:val="superscript"/>
        </w:rPr>
        <w:t>(</w:t>
      </w:r>
      <w:r>
        <w:rPr>
          <w:noProof/>
          <w:vertAlign w:val="superscript"/>
        </w:rPr>
        <w:footnoteReference w:id="8"/>
      </w:r>
      <w:r>
        <w:rPr>
          <w:rFonts w:ascii="EC Square Sans Pro" w:hAnsi="EC Square Sans Pro"/>
          <w:noProof/>
          <w:sz w:val="20"/>
          <w:szCs w:val="20"/>
          <w:vertAlign w:val="superscript"/>
        </w:rPr>
        <w:t>)</w:t>
      </w:r>
      <w:r>
        <w:rPr>
          <w:rFonts w:ascii="EC Square Sans Pro" w:hAnsi="EC Square Sans Pro"/>
          <w:noProof/>
          <w:sz w:val="20"/>
          <w:szCs w:val="20"/>
        </w:rPr>
        <w:t xml:space="preserve">, </w:t>
      </w:r>
      <w:r>
        <w:rPr>
          <w:rFonts w:ascii="EC Square Sans Pro" w:hAnsi="EC Square Sans Pro" w:cs="EC Square Sans Pro"/>
          <w:noProof/>
          <w:sz w:val="20"/>
          <w:szCs w:val="20"/>
        </w:rPr>
        <w:t>отправени от Службата за вътрешен одит, бяха оценени като изпълнени от одитираните субекти към крайната дата 31 януари</w:t>
      </w:r>
      <w:r>
        <w:rPr>
          <w:rFonts w:ascii="Calibri" w:hAnsi="Calibri" w:cs="Calibri"/>
          <w:noProof/>
          <w:sz w:val="20"/>
          <w:szCs w:val="20"/>
        </w:rPr>
        <w:t> </w:t>
      </w:r>
      <w:r>
        <w:rPr>
          <w:rFonts w:ascii="EC Square Sans Pro" w:hAnsi="EC Square Sans Pro" w:cs="EC Square Sans Pro"/>
          <w:noProof/>
          <w:sz w:val="20"/>
          <w:szCs w:val="20"/>
        </w:rPr>
        <w:t>2020</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9"/>
      </w:r>
      <w:r>
        <w:rPr>
          <w:rFonts w:ascii="EC Square Sans Pro" w:hAnsi="EC Square Sans Pro"/>
          <w:noProof/>
          <w:sz w:val="20"/>
          <w:szCs w:val="20"/>
          <w:vertAlign w:val="superscript"/>
        </w:rPr>
        <w:t>)</w:t>
      </w:r>
      <w:r>
        <w:rPr>
          <w:rFonts w:ascii="EC Square Sans Pro" w:hAnsi="EC Square Sans Pro"/>
          <w:noProof/>
          <w:sz w:val="20"/>
          <w:szCs w:val="20"/>
        </w:rPr>
        <w:t xml:space="preserve">. </w:t>
      </w:r>
      <w:r>
        <w:rPr>
          <w:rFonts w:ascii="EC Square Sans Pro" w:hAnsi="EC Square Sans Pro" w:cs="EC Square Sans Pro"/>
          <w:noProof/>
          <w:sz w:val="20"/>
          <w:szCs w:val="20"/>
        </w:rPr>
        <w:t>Това означава, че все още са отворени общо 245 препоръки (13</w:t>
      </w:r>
      <w:r>
        <w:rPr>
          <w:rFonts w:ascii="Calibri" w:hAnsi="Calibri" w:cs="Calibri"/>
          <w:noProof/>
          <w:sz w:val="20"/>
          <w:szCs w:val="20"/>
        </w:rPr>
        <w:t> </w:t>
      </w:r>
      <w:r>
        <w:rPr>
          <w:rFonts w:ascii="EC Square Sans Pro" w:hAnsi="EC Square Sans Pro" w:cs="EC Square Sans Pro"/>
          <w:noProof/>
          <w:sz w:val="20"/>
          <w:szCs w:val="20"/>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4438"/>
      </w:tblGrid>
      <w:tr>
        <w:tc>
          <w:tcPr>
            <w:tcW w:w="4643" w:type="dxa"/>
          </w:tcPr>
          <w:p>
            <w:pPr>
              <w:spacing w:after="240"/>
              <w:jc w:val="both"/>
              <w:rPr>
                <w:rFonts w:ascii="EC Square Sans Pro" w:eastAsia="Times New Roman" w:hAnsi="EC Square Sans Pro" w:cs="Times New Roman"/>
                <w:noProof/>
                <w:sz w:val="20"/>
                <w:szCs w:val="20"/>
              </w:rPr>
            </w:pPr>
            <w:r>
              <w:rPr>
                <w:noProof/>
                <w:lang w:val="en-GB" w:eastAsia="en-GB"/>
              </w:rPr>
              <w:drawing>
                <wp:inline distT="0" distB="0" distL="0" distR="0">
                  <wp:extent cx="2751826" cy="2761731"/>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63431" cy="2773377"/>
                          </a:xfrm>
                          <a:prstGeom prst="rect">
                            <a:avLst/>
                          </a:prstGeom>
                        </pic:spPr>
                      </pic:pic>
                    </a:graphicData>
                  </a:graphic>
                </wp:inline>
              </w:drawing>
            </w:r>
          </w:p>
        </w:tc>
        <w:tc>
          <w:tcPr>
            <w:tcW w:w="4643" w:type="dxa"/>
          </w:tcPr>
          <w:p>
            <w:pPr>
              <w:spacing w:after="240"/>
              <w:jc w:val="both"/>
              <w:rPr>
                <w:rFonts w:ascii="EC Square Sans Pro" w:eastAsia="Times New Roman" w:hAnsi="EC Square Sans Pro" w:cs="Times New Roman"/>
                <w:noProof/>
                <w:sz w:val="20"/>
                <w:szCs w:val="20"/>
              </w:rPr>
            </w:pPr>
            <w:r>
              <w:rPr>
                <w:noProof/>
                <w:lang w:val="en-GB" w:eastAsia="en-GB"/>
              </w:rPr>
              <w:drawing>
                <wp:inline distT="0" distB="0" distL="0" distR="0">
                  <wp:extent cx="2858400" cy="276120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8400" cy="2761200"/>
                          </a:xfrm>
                          <a:prstGeom prst="rect">
                            <a:avLst/>
                          </a:prstGeom>
                        </pic:spPr>
                      </pic:pic>
                    </a:graphicData>
                  </a:graphic>
                </wp:inline>
              </w:drawing>
            </w:r>
          </w:p>
        </w:tc>
      </w:tr>
    </w:tbl>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Източник: Европейска комисия, Служба за вътрешен одит</w:t>
      </w:r>
    </w:p>
    <w:p>
      <w:pPr>
        <w:spacing w:after="36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От тези 245 отворени препоръки 71 са оценени като много важни, а 64 са просрочени (т.е. не са изпълнени до първоначално договорената дата за изпълнение). Тези просрочени препоръки представляват 3,3</w:t>
      </w:r>
      <w:r>
        <w:rPr>
          <w:rFonts w:ascii="Calibri" w:hAnsi="Calibri" w:cs="Calibri"/>
          <w:noProof/>
          <w:sz w:val="20"/>
          <w:szCs w:val="20"/>
        </w:rPr>
        <w:t> </w:t>
      </w:r>
      <w:r>
        <w:rPr>
          <w:rFonts w:ascii="EC Square Sans Pro" w:hAnsi="EC Square Sans Pro" w:cs="EC Square Sans Pro"/>
          <w:noProof/>
          <w:sz w:val="20"/>
          <w:szCs w:val="20"/>
        </w:rPr>
        <w:t>% от общо 1</w:t>
      </w:r>
      <w:r>
        <w:rPr>
          <w:rFonts w:ascii="Calibri" w:hAnsi="Calibri" w:cs="Calibri"/>
          <w:noProof/>
          <w:sz w:val="20"/>
          <w:szCs w:val="20"/>
        </w:rPr>
        <w:t> </w:t>
      </w:r>
      <w:r>
        <w:rPr>
          <w:rFonts w:ascii="EC Square Sans Pro" w:hAnsi="EC Square Sans Pro" w:cs="EC Square Sans Pro"/>
          <w:noProof/>
          <w:sz w:val="20"/>
          <w:szCs w:val="20"/>
        </w:rPr>
        <w:t>949 (частично) приети препоръки. От тези 64 просрочени препоръки 6 много важни препоръки са класифицирани като значително просрочени (значително просрочени са препоръките, които продължават да бъдат отворени над 6</w:t>
      </w:r>
      <w:r>
        <w:rPr>
          <w:rFonts w:ascii="Calibri" w:hAnsi="Calibri" w:cs="Calibri"/>
          <w:noProof/>
          <w:sz w:val="20"/>
          <w:szCs w:val="20"/>
        </w:rPr>
        <w:t> </w:t>
      </w:r>
      <w:r>
        <w:rPr>
          <w:rFonts w:ascii="EC Square Sans Pro" w:hAnsi="EC Square Sans Pro" w:cs="EC Square Sans Pro"/>
          <w:noProof/>
          <w:sz w:val="20"/>
          <w:szCs w:val="20"/>
        </w:rPr>
        <w:t>месеца след първоначалната дата за изпълнение). Тези много важни значително просрочени препоръки представляват 0,3% от общия брой на критичните и много важните приети препоръки през периода 2015—2019</w:t>
      </w:r>
      <w:r>
        <w:rPr>
          <w:rFonts w:ascii="Calibri" w:hAnsi="Calibri" w:cs="Calibri"/>
          <w:noProof/>
          <w:sz w:val="20"/>
          <w:szCs w:val="20"/>
        </w:rPr>
        <w:t> </w:t>
      </w:r>
      <w:r>
        <w:rPr>
          <w:rFonts w:ascii="EC Square Sans Pro" w:hAnsi="EC Square Sans Pro" w:cs="EC Square Sans Pro"/>
          <w:noProof/>
          <w:sz w:val="20"/>
          <w:szCs w:val="20"/>
        </w:rPr>
        <w:t>г. (в сравнение с 0,9% през предходния отчетен период).</w:t>
      </w:r>
    </w:p>
    <w:p>
      <w:pPr>
        <w:spacing w:after="240" w:line="240" w:lineRule="auto"/>
        <w:ind w:left="567"/>
        <w:jc w:val="center"/>
        <w:rPr>
          <w:rFonts w:ascii="Times New Roman" w:eastAsia="Times New Roman" w:hAnsi="Times New Roman" w:cs="Times New Roman"/>
          <w:noProof/>
          <w:sz w:val="24"/>
          <w:szCs w:val="24"/>
        </w:rPr>
      </w:pPr>
      <w:r>
        <w:rPr>
          <w:noProof/>
          <w:lang w:val="en-GB" w:eastAsia="en-GB"/>
        </w:rPr>
        <w:drawing>
          <wp:inline distT="0" distB="0" distL="0" distR="0">
            <wp:extent cx="4457700" cy="2752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57700" cy="2752725"/>
                    </a:xfrm>
                    <a:prstGeom prst="rect">
                      <a:avLst/>
                    </a:prstGeom>
                  </pic:spPr>
                </pic:pic>
              </a:graphicData>
            </a:graphic>
          </wp:inline>
        </w:drawing>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Източник: Европейска комисия, Служба за вътрешен одит</w:t>
      </w:r>
    </w:p>
    <w:p>
      <w:pPr>
        <w:spacing w:after="240" w:line="240" w:lineRule="auto"/>
        <w:ind w:left="562"/>
        <w:jc w:val="both"/>
        <w:rPr>
          <w:rFonts w:ascii="EC Square Sans Pro" w:hAnsi="EC Square Sans Pro" w:cs="EC Square Sans Pro"/>
          <w:noProof/>
          <w:sz w:val="20"/>
          <w:szCs w:val="20"/>
        </w:rPr>
      </w:pPr>
      <w:r>
        <w:rPr>
          <w:rFonts w:ascii="EC Square Sans Pro" w:hAnsi="EC Square Sans Pro" w:cs="EC Square Sans Pro"/>
          <w:noProof/>
          <w:sz w:val="20"/>
          <w:szCs w:val="20"/>
        </w:rPr>
        <w:t>Като цяло Службата за вътрешен одит счита, че изпълнението на препоръките от одити е задоволително и съпоставимо с предходни отчетни периоди. Това състояние на нещата показва, че службите на Комисията се стараят да изпълнят критичните и много важнитe препоръки и че по този начин те намаляват рисковете, установени от Службата за вътрешен одит. Въпреки това следва да се обърне внимание на отделните препоръки, оценени като много важни, които са значително просрочени (т.е. с над 6</w:t>
      </w:r>
      <w:r>
        <w:rPr>
          <w:rFonts w:ascii="Calibri" w:hAnsi="Calibri" w:cs="Calibri"/>
          <w:noProof/>
          <w:sz w:val="20"/>
          <w:szCs w:val="20"/>
        </w:rPr>
        <w:t> </w:t>
      </w:r>
      <w:r>
        <w:rPr>
          <w:rFonts w:ascii="EC Square Sans Pro" w:hAnsi="EC Square Sans Pro" w:cs="EC Square Sans Pro"/>
          <w:noProof/>
          <w:sz w:val="20"/>
          <w:szCs w:val="20"/>
        </w:rPr>
        <w:t>месеца).</w:t>
      </w:r>
    </w:p>
    <w:p>
      <w:pPr>
        <w:spacing w:after="36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Обобщение на тези много важни и значително просрочени препоръки е представено в приложение към настоящия доклад — част 3. Изготвен бе специален доклад за изпълнението на препоръките, отправени в рамките на вътрешния одит, който бе изпратен на Комитета за контрол на одитите.</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rPr>
      </w:pPr>
      <w:bookmarkStart w:id="52" w:name="_Toc7771032"/>
      <w:bookmarkStart w:id="53" w:name="_Toc7771324"/>
      <w:bookmarkStart w:id="54" w:name="_Toc8045218"/>
      <w:bookmarkStart w:id="55" w:name="_Toc512438616"/>
      <w:bookmarkStart w:id="56" w:name="_Toc515017754"/>
      <w:bookmarkStart w:id="57" w:name="_Toc4756283"/>
      <w:bookmarkStart w:id="58" w:name="_Toc11401290"/>
      <w:bookmarkStart w:id="59" w:name="_Toc8981611"/>
      <w:bookmarkStart w:id="60" w:name="_Toc45016860"/>
      <w:bookmarkEnd w:id="52"/>
      <w:bookmarkEnd w:id="53"/>
      <w:bookmarkEnd w:id="54"/>
      <w:r>
        <w:rPr>
          <w:rFonts w:ascii="EC Square Sans Pro" w:hAnsi="EC Square Sans Pro"/>
          <w:b/>
          <w:smallCaps/>
          <w:noProof/>
          <w:color w:val="005D95"/>
          <w:sz w:val="24"/>
          <w:szCs w:val="20"/>
        </w:rPr>
        <w:t>Заключения въз основа на одитите, извършени през 2019 г.</w:t>
      </w:r>
      <w:bookmarkEnd w:id="55"/>
      <w:bookmarkEnd w:id="56"/>
      <w:bookmarkEnd w:id="57"/>
      <w:bookmarkEnd w:id="58"/>
      <w:bookmarkEnd w:id="59"/>
      <w:bookmarkEnd w:id="60"/>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rPr>
      </w:pPr>
      <w:bookmarkStart w:id="61" w:name="_Toc384658386"/>
      <w:bookmarkStart w:id="62" w:name="_Toc448926051"/>
      <w:bookmarkStart w:id="63" w:name="_Toc448503097"/>
      <w:bookmarkStart w:id="64" w:name="_Toc512438617"/>
      <w:bookmarkStart w:id="65" w:name="_Toc515017755"/>
      <w:bookmarkStart w:id="66" w:name="_Toc4756284"/>
      <w:bookmarkStart w:id="67" w:name="_Toc11401291"/>
      <w:bookmarkStart w:id="68" w:name="_Toc8981612"/>
      <w:bookmarkStart w:id="69" w:name="_Toc45016861"/>
      <w:r>
        <w:rPr>
          <w:rFonts w:ascii="EC Square Sans Pro" w:hAnsi="EC Square Sans Pro"/>
          <w:b/>
          <w:noProof/>
          <w:color w:val="005D95"/>
          <w:sz w:val="24"/>
          <w:szCs w:val="24"/>
        </w:rPr>
        <w:t>Заключения относно одитите на изпълнението</w:t>
      </w:r>
      <w:bookmarkEnd w:id="61"/>
      <w:bookmarkEnd w:id="62"/>
      <w:bookmarkEnd w:id="63"/>
      <w:bookmarkEnd w:id="64"/>
      <w:bookmarkEnd w:id="65"/>
      <w:bookmarkEnd w:id="66"/>
      <w:bookmarkEnd w:id="67"/>
      <w:bookmarkEnd w:id="68"/>
      <w:bookmarkEnd w:id="69"/>
    </w:p>
    <w:p>
      <w:pPr>
        <w:spacing w:after="24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За да допринесе към културата на Комисията, основана на изпълнението, и към по-големия акцент, който тя поставя върху съотношението качество/цена, през 2019</w:t>
      </w:r>
      <w:r>
        <w:rPr>
          <w:rFonts w:ascii="Calibri" w:hAnsi="Calibri" w:cs="Calibri"/>
          <w:noProof/>
          <w:sz w:val="20"/>
          <w:szCs w:val="20"/>
        </w:rPr>
        <w:t> </w:t>
      </w:r>
      <w:r>
        <w:rPr>
          <w:rFonts w:ascii="EC Square Sans Pro" w:hAnsi="EC Square Sans Pro" w:cs="EC Square Sans Pro"/>
          <w:noProof/>
          <w:sz w:val="20"/>
          <w:szCs w:val="20"/>
        </w:rPr>
        <w:t>г. Службата за вътрешен одит извърши два вида одити: одити на изпълнението</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10"/>
      </w:r>
      <w:r>
        <w:rPr>
          <w:rFonts w:ascii="EC Square Sans Pro" w:hAnsi="EC Square Sans Pro"/>
          <w:noProof/>
          <w:sz w:val="20"/>
          <w:szCs w:val="20"/>
          <w:vertAlign w:val="superscript"/>
        </w:rPr>
        <w:t>)</w:t>
      </w:r>
      <w:r>
        <w:rPr>
          <w:rFonts w:ascii="EC Square Sans Pro" w:hAnsi="EC Square Sans Pro"/>
          <w:noProof/>
          <w:sz w:val="20"/>
          <w:szCs w:val="20"/>
        </w:rPr>
        <w:t xml:space="preserve"> </w:t>
      </w:r>
      <w:r>
        <w:rPr>
          <w:rFonts w:ascii="EC Square Sans Pro" w:hAnsi="EC Square Sans Pro" w:cs="EC Square Sans Pro"/>
          <w:noProof/>
          <w:sz w:val="20"/>
          <w:szCs w:val="20"/>
        </w:rPr>
        <w:t>и одити, които включват важни аспекти на изпълнението (всеобхватни одити). Извършването на тези два вида одити беше част от стратегическия план за одит на Службата за вътрешен одит за периода 2019—2021</w:t>
      </w:r>
      <w:r>
        <w:rPr>
          <w:rFonts w:ascii="Calibri" w:hAnsi="Calibri" w:cs="Calibri"/>
          <w:noProof/>
          <w:sz w:val="20"/>
          <w:szCs w:val="20"/>
        </w:rPr>
        <w:t> </w:t>
      </w:r>
      <w:r>
        <w:rPr>
          <w:rFonts w:ascii="EC Square Sans Pro" w:hAnsi="EC Square Sans Pro" w:cs="EC Square Sans Pro"/>
          <w:noProof/>
          <w:sz w:val="20"/>
          <w:szCs w:val="20"/>
        </w:rPr>
        <w:t>г.</w:t>
      </w:r>
    </w:p>
    <w:p>
      <w:pPr>
        <w:spacing w:after="24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В съответствие със своята методика и най-добра практика Службата за вътрешен одит разгледа изпълнението косвено. Тя прави това, като проучва дали и как ръководството е създало системи за контрол, с които се оценява изпълнението (ефикасността и ефективността) на дейностите и се дава увереност за него. Чрез този подход Службата за вътрешен одит се стреми да гарантира, че генералните дирекции и службите са създали подходящи рамки за изпълнението, инструменти за измерване на изпълнението, ключови показатели и системи за мониторинг.</w:t>
      </w:r>
    </w:p>
    <w:p>
      <w:pPr>
        <w:spacing w:after="24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В точките по-долу се посочват заключенията на Службата за вътрешен одит относно различите аспекти на изпълнението от извършените от нея одити през 2019</w:t>
      </w:r>
      <w:r>
        <w:rPr>
          <w:rFonts w:ascii="Calibri" w:hAnsi="Calibri" w:cs="Calibri"/>
          <w:noProof/>
          <w:sz w:val="20"/>
          <w:szCs w:val="20"/>
        </w:rPr>
        <w:t> </w:t>
      </w:r>
      <w:r>
        <w:rPr>
          <w:rFonts w:ascii="EC Square Sans Pro" w:hAnsi="EC Square Sans Pro" w:cs="EC Square Sans Pro"/>
          <w:noProof/>
          <w:sz w:val="20"/>
          <w:szCs w:val="20"/>
        </w:rPr>
        <w:t>г.</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4"/>
        </w:rPr>
      </w:pPr>
      <w:bookmarkStart w:id="70" w:name="_Toc45016862"/>
      <w:r>
        <w:rPr>
          <w:rFonts w:ascii="EC Square Sans Pro" w:hAnsi="EC Square Sans Pro"/>
          <w:i/>
          <w:noProof/>
          <w:color w:val="005D95"/>
          <w:sz w:val="24"/>
          <w:szCs w:val="24"/>
        </w:rPr>
        <w:t>Стратегии за надзор във връзка с изпълнението на програми от трети страни</w:t>
      </w:r>
      <w:bookmarkEnd w:id="70"/>
    </w:p>
    <w:p>
      <w:pPr>
        <w:spacing w:after="240" w:line="240" w:lineRule="auto"/>
        <w:ind w:left="567"/>
        <w:jc w:val="both"/>
        <w:rPr>
          <w:rFonts w:ascii="EC Square Sans Pro" w:hAnsi="EC Square Sans Pro" w:cs="EC Square Sans Pro"/>
          <w:noProof/>
          <w:sz w:val="20"/>
          <w:szCs w:val="20"/>
        </w:rPr>
      </w:pPr>
      <w:r>
        <w:rPr>
          <w:rFonts w:ascii="EC Square Sans Pro" w:hAnsi="EC Square Sans Pro" w:cs="EC Square Sans Pro"/>
          <w:noProof/>
          <w:sz w:val="20"/>
          <w:szCs w:val="20"/>
        </w:rPr>
        <w:t>През предишните години Службата за вътрешен одит извърши няколко одита, съсредоточени върху съществуващите механизми за надзор в генералните дирекции и службите във връзка с изпълнението на програми (и/или политики) от трети страни. В своето общо становище относно финансовото управление Службата за вътрешен одит формулира забележки по същество за пет поредни години (от 2015</w:t>
      </w:r>
      <w:r>
        <w:rPr>
          <w:rFonts w:ascii="Calibri" w:hAnsi="Calibri" w:cs="Calibri"/>
          <w:noProof/>
          <w:sz w:val="20"/>
          <w:szCs w:val="20"/>
        </w:rPr>
        <w:t> </w:t>
      </w:r>
      <w:r>
        <w:rPr>
          <w:rFonts w:ascii="EC Square Sans Pro" w:hAnsi="EC Square Sans Pro" w:cs="EC Square Sans Pro"/>
          <w:noProof/>
          <w:sz w:val="20"/>
          <w:szCs w:val="20"/>
        </w:rPr>
        <w:t>г. до 2019</w:t>
      </w:r>
      <w:r>
        <w:rPr>
          <w:rFonts w:ascii="Calibri" w:hAnsi="Calibri" w:cs="Calibri"/>
          <w:noProof/>
          <w:sz w:val="20"/>
          <w:szCs w:val="20"/>
        </w:rPr>
        <w:t> </w:t>
      </w:r>
      <w:r>
        <w:rPr>
          <w:rFonts w:ascii="EC Square Sans Pro" w:hAnsi="EC Square Sans Pro" w:cs="EC Square Sans Pro"/>
          <w:noProof/>
          <w:sz w:val="20"/>
          <w:szCs w:val="20"/>
        </w:rPr>
        <w:t>г.) по отношение на стратегиите за надзор във връзка с изпълнението на политики от трети страни. Одитите, извършени през 2019</w:t>
      </w:r>
      <w:r>
        <w:rPr>
          <w:rFonts w:ascii="Calibri" w:hAnsi="Calibri" w:cs="Calibri"/>
          <w:noProof/>
          <w:sz w:val="20"/>
          <w:szCs w:val="20"/>
        </w:rPr>
        <w:t> </w:t>
      </w:r>
      <w:r>
        <w:rPr>
          <w:rFonts w:ascii="EC Square Sans Pro" w:hAnsi="EC Square Sans Pro" w:cs="EC Square Sans Pro"/>
          <w:noProof/>
          <w:sz w:val="20"/>
          <w:szCs w:val="20"/>
        </w:rPr>
        <w:t>г., показват разнородна картина, със слабости, установени (при 3 от 5 одита, извършени през 2019</w:t>
      </w:r>
      <w:r>
        <w:rPr>
          <w:rFonts w:ascii="Calibri" w:hAnsi="Calibri" w:cs="Calibri"/>
          <w:noProof/>
          <w:sz w:val="20"/>
          <w:szCs w:val="20"/>
        </w:rPr>
        <w:t> </w:t>
      </w:r>
      <w:r>
        <w:rPr>
          <w:rFonts w:ascii="EC Square Sans Pro" w:hAnsi="EC Square Sans Pro" w:cs="EC Square Sans Pro"/>
          <w:noProof/>
          <w:sz w:val="20"/>
          <w:szCs w:val="20"/>
        </w:rPr>
        <w:t>г.) по отношение на ефективността на одитираните стратегии за надзор. Подробностите относно тази разнородна картина са посочени в четирите подточки по-долу.</w:t>
      </w:r>
    </w:p>
    <w:p>
      <w:pPr>
        <w:numPr>
          <w:ilvl w:val="0"/>
          <w:numId w:val="2"/>
        </w:numPr>
        <w:spacing w:after="240" w:line="240" w:lineRule="auto"/>
        <w:jc w:val="both"/>
        <w:rPr>
          <w:rFonts w:ascii="EC Square Sans Pro" w:eastAsia="Times New Roman" w:hAnsi="EC Square Sans Pro" w:cs="Times New Roman"/>
          <w:noProof/>
          <w:sz w:val="20"/>
          <w:szCs w:val="20"/>
        </w:rPr>
      </w:pPr>
      <w:r>
        <w:rPr>
          <w:rFonts w:ascii="EC Square Sans Pro" w:hAnsi="EC Square Sans Pro"/>
          <w:noProof/>
          <w:sz w:val="20"/>
          <w:szCs w:val="20"/>
        </w:rPr>
        <w:t>През 2019 г. бяха извършени два одита — в генерална дирекция „Енергетика“ и в генерална дирекция „Мобилност и транспорт“. Тези два одита не доведоха до критични или много важни препоръки, сочещи към слабости в съществуващите механизми за надзор</w:t>
      </w:r>
      <w:r>
        <w:rPr>
          <w:rFonts w:ascii="EC Square Sans Pro" w:hAnsi="EC Square Sans Pro" w:cs="EC Square Sans Pro"/>
          <w:noProof/>
          <w:sz w:val="20"/>
          <w:szCs w:val="20"/>
        </w:rPr>
        <w:t xml:space="preserve">. Установена бе обаче една слабост при </w:t>
      </w:r>
      <w:bookmarkStart w:id="71" w:name="_Toc35513932"/>
      <w:bookmarkStart w:id="72" w:name="_Toc2946438"/>
      <w:r>
        <w:rPr>
          <w:rFonts w:ascii="EC Square Sans Pro" w:hAnsi="EC Square Sans Pro" w:cs="EC Square Sans Pro"/>
          <w:noProof/>
          <w:sz w:val="20"/>
          <w:szCs w:val="20"/>
        </w:rPr>
        <w:t>одита на изпълнението на стратегията на генерална дирекция „Енергетика“ за</w:t>
      </w:r>
      <w:r>
        <w:rPr>
          <w:rFonts w:ascii="EC Square Sans Pro" w:hAnsi="EC Square Sans Pro"/>
          <w:noProof/>
          <w:sz w:val="20"/>
          <w:szCs w:val="20"/>
        </w:rPr>
        <w:t xml:space="preserve"> контрол на оправомощените органи, изпълняващи програмата за подпомагане на извеждането от експлоатация на ядрени съоръжения</w:t>
      </w:r>
      <w:bookmarkEnd w:id="71"/>
      <w:r>
        <w:rPr>
          <w:rFonts w:ascii="EC Square Sans Pro" w:hAnsi="EC Square Sans Pro"/>
          <w:noProof/>
          <w:sz w:val="20"/>
          <w:szCs w:val="20"/>
        </w:rPr>
        <w:t>, по отношение на</w:t>
      </w:r>
      <w:bookmarkEnd w:id="72"/>
      <w:r>
        <w:rPr>
          <w:rFonts w:ascii="EC Square Sans Pro" w:hAnsi="EC Square Sans Pro"/>
          <w:noProof/>
          <w:sz w:val="20"/>
          <w:szCs w:val="20"/>
        </w:rPr>
        <w:t xml:space="preserve"> изчистването на предварителното финансиране, което не е пряко свързано със стратегиите за надзор.</w:t>
      </w:r>
    </w:p>
    <w:p>
      <w:pPr>
        <w:numPr>
          <w:ilvl w:val="0"/>
          <w:numId w:val="2"/>
        </w:numPr>
        <w:spacing w:after="240" w:line="240" w:lineRule="auto"/>
        <w:jc w:val="both"/>
        <w:rPr>
          <w:rFonts w:ascii="EC Square Sans Pro" w:eastAsia="Times New Roman" w:hAnsi="EC Square Sans Pro" w:cs="Times New Roman"/>
          <w:noProof/>
          <w:sz w:val="20"/>
          <w:szCs w:val="20"/>
        </w:rPr>
      </w:pPr>
      <w:r>
        <w:rPr>
          <w:rFonts w:ascii="EC Square Sans Pro" w:hAnsi="EC Square Sans Pro"/>
          <w:noProof/>
          <w:sz w:val="20"/>
          <w:szCs w:val="20"/>
        </w:rPr>
        <w:t>Един одит на програмата „Финансиране от Европейския съюз за новатори“ (InnovFin) беше извършен в генерална дирекция „Научни изследвания и иновации“. InnovFin е част от дейностите в рамките на програмата „Хоризонт 2020“, които помагат на дружества и на други организации, работещи в областта на научните изследвания и иновациите, да получат по-лесен достъп до финансиране чрез дълг и собствен капитал. Тя популяризира набор от персонализирани дългови и капиталови продукти за насочване на заемите към предприятията, чието изпълнение бе делегирано на Европейската инвестиционна банка и Европейския инвестиционен фонд. Въпреки че прилаганият от генерална дирекция „Научни изследвания и иновации“ вътрешен контрол с цел упражняване на надзор и мониторинг върху прилагането и изпълнението на InnovFin се основава на добре изготвена стратегия за надзор, бяха установени слабости в рамката за нейното изпълнение и съответно по отношение на надеждността на базовите данни за оценяване на ефективността ѝ.</w:t>
      </w:r>
    </w:p>
    <w:p>
      <w:pPr>
        <w:numPr>
          <w:ilvl w:val="0"/>
          <w:numId w:val="2"/>
        </w:numPr>
        <w:spacing w:after="240" w:line="240" w:lineRule="auto"/>
        <w:jc w:val="both"/>
        <w:rPr>
          <w:rFonts w:ascii="EC Square Sans Pro" w:eastAsia="Times New Roman" w:hAnsi="EC Square Sans Pro" w:cs="Times New Roman"/>
          <w:noProof/>
          <w:sz w:val="20"/>
          <w:szCs w:val="20"/>
        </w:rPr>
      </w:pPr>
      <w:r>
        <w:rPr>
          <w:rFonts w:ascii="EC Square Sans Pro" w:hAnsi="EC Square Sans Pro"/>
          <w:noProof/>
          <w:sz w:val="20"/>
          <w:szCs w:val="20"/>
        </w:rPr>
        <w:t>В генерална дирекция „Земеделие и развитие на селските райони“ Службата за вътрешен одит откри слабости по отношение на степента, до която процесите за управление, мониторинг и надзор на режима за плодовете и зеленчуците са ефективни на практика. Съществуващото законодателство, уреждащо режима за плодовете и зеленчуците, се характеризира в голяма степен със субсидиарност. На практика това означава, че Комисията разполага с ограничени възможности за намеса в управлението на този режим. Предложенията за общата селскостопанска политика за периода след 2020 г. отиват още по-далеч в тази насока. При все това Службата за вътрешен одит установи пропуски в: i) подкрепата и насоките, предоставени на държавите членки; ii) информацията, предоставена от държавите членки; и iii) мониторинга и оценката на режима за плодовете и зеленчуците от страна на генералната дирекция.</w:t>
      </w:r>
    </w:p>
    <w:p>
      <w:pPr>
        <w:numPr>
          <w:ilvl w:val="0"/>
          <w:numId w:val="2"/>
        </w:numPr>
        <w:spacing w:after="240" w:line="240" w:lineRule="auto"/>
        <w:jc w:val="both"/>
        <w:rPr>
          <w:rFonts w:ascii="EC Square Sans Pro" w:eastAsia="Times New Roman" w:hAnsi="EC Square Sans Pro" w:cs="Times New Roman"/>
          <w:noProof/>
          <w:sz w:val="20"/>
          <w:szCs w:val="20"/>
        </w:rPr>
      </w:pPr>
      <w:r>
        <w:rPr>
          <w:rFonts w:ascii="EC Square Sans Pro" w:hAnsi="EC Square Sans Pro"/>
          <w:noProof/>
          <w:sz w:val="20"/>
          <w:szCs w:val="20"/>
        </w:rPr>
        <w:t>Генерална дирекция „Регионална и селищна политика“, генерална дирекция „Трудова заетост, социални въпроси и приобщаване“ и генерална дирекция „Морско дело и рибарство“ постоянно осъществяват мониторинг върху изпълнението на оперативните програми за периода 2014—2020 г. посредством редица дейности за мониторинг. Тези дейности за мониторинг включват: i) участие в комитетите за мониторинг на държавите членки; ii) преглед на годишните доклади за изпълнението; iii) провеждане на срещи за годишен преглед с управляващите органи; и iv) повече дейности по конкретен повод, като например двустранни срещи с държавите членки, посещения във връзка с проекти, както и целенасочена подкрепа за държавите членки. Чрез тези разнообразни дейности за мониторинг генералните дирекции оценяват отбелязания напредък в изпълнението на оперативните програми, установяват слабостите в изпълнението и проследяват как държавите членки отстраняват тези слабости. Основно събитие във връзка с мониторинга е прегледът на изпълнението, който беше извършен в средата на 2019 г. и при който бе оценено постигането на етапните цели, определени в рамките за изпълнението на програмите. Въпреки че като цяло генералните дирекции упражняват ефективен мониторинг върху прилагането и изпълнението на програмите и въпреки че прегледът на изпълнението беше добре подготвен, продължават да съществуват слабости в: i) оценяването на изпълнението на програмата; ii) установяването на слабостите в прилагането и последващите действия във връзка с тях; и iii) надеждността на данните за изпълнението по отношение на генерална дирекция „Регионална и селищна политика“ и генерална дирекция „Трудова заетост, социални въпроси и приобщаване“</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rPr>
      </w:pPr>
      <w:bookmarkStart w:id="73" w:name="_Toc45016863"/>
      <w:r>
        <w:rPr>
          <w:rFonts w:ascii="EC Square Sans Pro" w:hAnsi="EC Square Sans Pro"/>
          <w:i/>
          <w:noProof/>
          <w:color w:val="005D95"/>
          <w:sz w:val="24"/>
          <w:szCs w:val="20"/>
        </w:rPr>
        <w:t>Стратегии за контрол за избрани генерални дирекции и служби</w:t>
      </w:r>
      <w:bookmarkEnd w:id="73"/>
    </w:p>
    <w:p>
      <w:pPr>
        <w:spacing w:after="240" w:line="240" w:lineRule="auto"/>
        <w:ind w:left="567"/>
        <w:jc w:val="both"/>
        <w:rPr>
          <w:rFonts w:ascii="EC Square Sans Pro" w:eastAsia="Times New Roman" w:hAnsi="EC Square Sans Pro" w:cs="Times New Roman"/>
          <w:noProof/>
          <w:sz w:val="20"/>
          <w:szCs w:val="20"/>
        </w:rPr>
      </w:pPr>
      <w:r>
        <w:rPr>
          <w:rFonts w:ascii="EC Square Sans Pro" w:hAnsi="EC Square Sans Pro"/>
          <w:noProof/>
          <w:sz w:val="20"/>
          <w:szCs w:val="20"/>
        </w:rPr>
        <w:t>Генералните дирекции и службите трябва да осигурят законосъобразността, редовността и доброто финансово управление на програмите и проектите, финансирани от бюджета на ЕС. Оправомощените разпоредители с бюджетни кредити разработват стратегия за контрол. Тази стратегия обхваща предварителния и последващия контрол, които осигуряват основните градивни елементи в подкрепа на годишната декларация за достоверност. През 2019 г. Службата за вътрешен одит извърши различни одити в тази област и установи няколко слабости в ефективността на тези процеси. Тези слабости са посочени в подточките по-долу.</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rPr>
      </w:pPr>
      <w:r>
        <w:rPr>
          <w:rFonts w:ascii="EC Square Sans Pro" w:hAnsi="EC Square Sans Pro"/>
          <w:noProof/>
          <w:sz w:val="20"/>
          <w:szCs w:val="20"/>
        </w:rPr>
        <w:t>Изпълнителната агенция за малките и средните предприятия отговаря за изпълнението на проекти по програмата за околната среда и действията по климата. Службата за вътрешен одит установи, че при планирането и разработването на своите контролни дейности Агенцията не е използвала информация, свързана с рискa, за да прецени каква да бъде степента на осъществявания контрол. Службата за вътрешен одит установи също така, че Агенцията не е оценила икономическата ефективност на този контрол за програмата за околната среда и действията по климата отделно от другите програми, които изпълнява, въпреки че Агенцията извършва обща оценка на икономическата ефективност на целия контрол за всички управлявани програми.</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rPr>
      </w:pPr>
      <w:r>
        <w:rPr>
          <w:rFonts w:ascii="EC Square Sans Pro" w:hAnsi="EC Square Sans Pro"/>
          <w:noProof/>
          <w:sz w:val="20"/>
          <w:szCs w:val="20"/>
        </w:rPr>
        <w:t>В генерална дирекция „Международно сътрудничество и развитие“ Службата за вътрешен одит установи слабост в мониторинга и последващите действия по отношение на одитите както в делегациите на ЕС, така и в централата. Подобна слабост беше установена в генерална дирекция „Политика за съседство и преговори за разширяване“: въпреки че насоките относно оценката на риска, водещa до изготвянето на плана за контрол и на годишния план за одит, са добре изготвени, продължават да съществуват слабости в последващите действия във връзка с резултатите от одитите и в разработването на ключовите показатели за изпълнението.</w:t>
      </w:r>
    </w:p>
    <w:p>
      <w:pPr>
        <w:pStyle w:val="ListParagraph"/>
        <w:numPr>
          <w:ilvl w:val="0"/>
          <w:numId w:val="4"/>
        </w:numPr>
        <w:spacing w:after="240" w:line="240" w:lineRule="auto"/>
        <w:ind w:left="1281" w:hanging="357"/>
        <w:contextualSpacing w:val="0"/>
        <w:jc w:val="both"/>
        <w:rPr>
          <w:rFonts w:ascii="EC Square Sans Pro" w:hAnsi="EC Square Sans Pro"/>
          <w:noProof/>
          <w:sz w:val="20"/>
          <w:szCs w:val="20"/>
        </w:rPr>
      </w:pPr>
      <w:r>
        <w:rPr>
          <w:rFonts w:ascii="EC Square Sans Pro" w:hAnsi="EC Square Sans Pro"/>
          <w:noProof/>
          <w:sz w:val="20"/>
          <w:szCs w:val="20"/>
        </w:rPr>
        <w:t>В генерална дирекция „Европейска гражданска защита и европейски операции за хуманитарна помощ“ Службата за вътрешен одит установи слабости, свързани с редовността и доброто финансово управление, при предварителния контрол преди окончателното плащане, както и при последващите одити. Ако тези слабости не бъдат отстранени своевременно, с течение на времето те могат да засегнат ефективността на стратегията за контрол.</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rPr>
      </w:pPr>
      <w:r>
        <w:rPr>
          <w:rFonts w:ascii="EC Square Sans Pro" w:hAnsi="EC Square Sans Pro"/>
          <w:noProof/>
          <w:sz w:val="20"/>
          <w:szCs w:val="20"/>
        </w:rPr>
        <w:t>Службата за инструментите в областта на външната политика финансира проекти за подпомагане на: i) граждански мисии за управление на кризи; и ii) подготвителни, последващи и спешни мерки, като например мисии по линия на общата политика за сигурност и отбрана. Тя получава увереност по отношение на изпълнението на бюджета посредством: i) система за предварителен и последващ контрол и механизми за вътрешен мониторинг; ii) задълженията, включени в споразуменията, сключени между Комисията и всяка мисия по линия на общата външна политика и политика на сигурност; и iii) конкретни мерки, като например външни одити и финансова отчетност от страна на мисиите. Одиторите установиха закъснения в приключването на мандатите на мисиите, както и неефективни мерки за намаляване на риска за изпълнението на бюджета на ЕС, делегирано на мисията без оценка по стълбове в Сомалия.</w:t>
      </w:r>
    </w:p>
    <w:p>
      <w:pPr>
        <w:pStyle w:val="ListParagraph"/>
        <w:numPr>
          <w:ilvl w:val="0"/>
          <w:numId w:val="4"/>
        </w:numPr>
        <w:spacing w:after="240" w:line="240" w:lineRule="auto"/>
        <w:ind w:left="1281" w:hanging="357"/>
        <w:contextualSpacing w:val="0"/>
        <w:jc w:val="both"/>
        <w:rPr>
          <w:rFonts w:ascii="EC Square Sans Pro" w:eastAsia="Times New Roman" w:hAnsi="EC Square Sans Pro" w:cs="Times New Roman"/>
          <w:noProof/>
          <w:sz w:val="20"/>
          <w:szCs w:val="20"/>
        </w:rPr>
      </w:pPr>
      <w:r>
        <w:rPr>
          <w:rFonts w:ascii="EC Square Sans Pro" w:hAnsi="EC Square Sans Pro"/>
          <w:noProof/>
          <w:sz w:val="20"/>
          <w:szCs w:val="20"/>
        </w:rPr>
        <w:t>И накрая, генерална дирекция „Миграция и вътрешни работи“, която изпълнява и функцията за последващ одит за генерална дирекция „Правосъдие и потребители“, като цяло е въвела необходимите процеси за управление на одитната дейност, включително уравняването на сметките. При все това съществуват слабости в организацията и планирането на одитната дейност, в изпълнението на плана за одит и в уравняването на сметките, които могат да се отразят на ефективността на тези процеси на практика. Въпреки че тези слабости не поставят под съмнение декларацията за достоверност на генералния директор, те поставят въпроса дали генералната дирекция разполага с базовия капацитет за отстраняване на тези слабости на практика при настоящата организация.</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rPr>
      </w:pPr>
      <w:bookmarkStart w:id="74" w:name="_Toc45016864"/>
      <w:r>
        <w:rPr>
          <w:rFonts w:ascii="EC Square Sans Pro" w:hAnsi="EC Square Sans Pro"/>
          <w:i/>
          <w:noProof/>
          <w:color w:val="005D95"/>
          <w:sz w:val="24"/>
          <w:szCs w:val="20"/>
        </w:rPr>
        <w:t>Процеси за управление на човешките ресурси</w:t>
      </w:r>
      <w:bookmarkEnd w:id="74"/>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През последните години Службата за вътрешен одит извърши различни одити на процесите за управление на човешките ресурси в няколко генерални дирекции и служби на Комисията. През 2018 г. тя изпрати и писмо до ръководството на генерална дирекция „Човешки ресурси и сигурност“, в което очертава общите проблеми, установени в рамките на тези одити.</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Въпреки че много важните препоръки от предишни одити в областта на човешките ресурси са изпълнени, проблемите, установени през предишни години, бяха установени и при два от трите одита в областта на човешките ресурси, извършени през 2019 г. Службата за вътрешен одит установи слабости в набелязването на задачите и на уменията, в оценката на работното натоварване и в разпределението на персонала както в генерална дирекция „Данъчно облагане и митнически съюз“, така и в Европейската служба за борба с измамите. Освен това Службата за вътрешен одит препоръча генерална дирекция „Данъчно облагане и митнически съюз“: i) да изготви обща стратегия за човешките ресурси в съответствие със своята бизнес стратегия; и ii) да приложи необходимите оперативни мерки. Европейска служба за борба с измамите вече е изготвила стратегически план за човешките ресурси. Тя трябва сега да превърне целите на този стратегически план в конкретни действия и в мерки за мониторинг, с които се осигурява ефективното изпълнение на тези действия на място с цел подпомагане на постигането на оперативните ѝ цели.</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За разлика от това, одитът в областта на човешките ресурси, извършен в генерална дирекция „Търговия“, не доведе до критични или много важни препоръки.</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Одитът на управлението на обектите на Съвместния изследователски център разкри два проблема, свързани с: i) ръководните и управленските структури; и ii) осигуряването на достатъчно персонал и експертния опит на персонала за целите на управлението на обектите и за целите на дейностите, свързани с инфраструктурата.</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И накрая, одитът на ефикасността и ефективността на дирекция „Одити и анализи в областта на здравеопазването и храните“ в генерална дирекция „Здравеопазване и безопасност на храните“ разкри слабости в: i) осигуряването на персонала за дейностите; ii) отчитането на изработените часове; и iii) мониторинга на изпълнението. Ако тези слабости не бъдат отстранени, те могат да нарушат способността за предоставяне на необходимата увереност, че системите за контрол, въведени в държавите членки и в държавите износителки, отговарят на регулаторните изисквания.</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Одитите потвърдиха, че в областта на управлението на човешките ресурси както на институционално, така и на оперативно равнище генералните дирекции и службите трябва да изпълняват своите отговорности. Генерална дирекция „Човешки ресурси и сигурност“ играе основна роля в: i) концепцията за политиките на Комисията в областта на човешките ресурси; ii) концепцията за централизирани инструменти, които все още не са разработени; и iii) предоставянето на конкретни насоки, помощ и подкрепа посредством центровете за управление на клиентски профили и посредством институционалните услуги в областта на човешките ресурси. Генералните дирекции и службите трябва да разработят и въведат подходящи стратегии за човешките ресурси, които подпомагат постигането на техните цели и премахват установените рискове. Те могат да направят това посредством целенасочени действия на тяхно равнище, вземайки предвид особеностите на генералната дирекция/службата, без да се налага да чакат действията или инструментите, инициирани на институционално равнище. Това трябва да се прави не само на равнището на генералните дирекции и службите, но и на равнището на специфичните бизнес процеси.</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rPr>
      </w:pPr>
      <w:bookmarkStart w:id="75" w:name="_Toc45016865"/>
      <w:r>
        <w:rPr>
          <w:rFonts w:ascii="EC Square Sans Pro" w:hAnsi="EC Square Sans Pro"/>
          <w:i/>
          <w:noProof/>
          <w:color w:val="005D95"/>
          <w:sz w:val="24"/>
          <w:szCs w:val="20"/>
        </w:rPr>
        <w:t>Процеси за управление на информационните технологии</w:t>
      </w:r>
      <w:bookmarkEnd w:id="75"/>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Няколко одита на информационните технологии бяха съсредоточени върху практиките за управление на проекти в областта на информационните технологии. Два одита в тази насока, извършени в генерална дирекция „Информатика“ и генерална дирекция „Образование, младеж, спорт и култура“, не установиха наличие на съществени проблеми при изпълнението. Въпреки това беше установен един проблем по отношение на управленските практики за мониторинга на програмите и проектите при одита на управлението на информационните технологии и управлението на проектите в Службата за публикации. В Европейската служба за борба с измамите Службата за вътрешен одит също установи редица слабости в контрола във връзка с инструмента на Европейската служба за борба с измамите, предназначен за управление на съдържанието, по-специално в ранните етапи на проекта за разработване на инструмента. Въпреки че постоянно се работи за отстраняване на тези слабости, Службата за вътрешен одит прецени, че те трябва да бъдат отстранени по спешност. Като цяло прилаганият контрол по отношение на практиките за управление на проекти в областта на информационните технологии в Европейската служба за борба с измамите не даде достатъчна увереност, че се намаляват рисковете, и бяха установени пет много важни слабости.</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rPr>
      </w:pPr>
      <w:bookmarkStart w:id="76" w:name="_Toc45016866"/>
      <w:r>
        <w:rPr>
          <w:rFonts w:ascii="EC Square Sans Pro" w:hAnsi="EC Square Sans Pro"/>
          <w:i/>
          <w:noProof/>
          <w:color w:val="005D95"/>
          <w:sz w:val="24"/>
          <w:szCs w:val="20"/>
        </w:rPr>
        <w:t>По-добро регулиране</w:t>
      </w:r>
      <w:bookmarkEnd w:id="76"/>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В рамките на различни одити бяха проверени няколко аспекта на по-доброто регулиране. Сред тях са: i) одит на изпълнението на принципите за по-добро регулиране при изготвянето на предложенията за политика за цифровия единен пазар от страна на генерална дирекция „Съобщителни мрежи, съдържание и технологии“; ii) одит на оценката на въздействието в генерална дирекция „Правосъдие и потребители“; iii) одит на оценката и проучванията в генерална дирекция „Действия по климата“ и генерална дирекция „Околна среда“; и iv) одит на мониторинга на прилагането на правото на ЕС в генерална дирекция „Данъчно облагане и митнически съюз“. В тези области не бяха установени съществени проблеми при изпълнението, освен в генерална дирекция „Околна среда“, към която бяха отправени препоръки: i) да засили мониторинга върху изпълнението на дейността на външните изпълнители; ii) да рационализира системата си за управление на документи и достъпа до досиетата за обществените поръчки; и iii) да подобри надзора и прегледа на качеството на документите за обществените поръчки.</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rPr>
      </w:pPr>
      <w:bookmarkStart w:id="77" w:name="_Toc45016867"/>
      <w:r>
        <w:rPr>
          <w:rFonts w:ascii="EC Square Sans Pro" w:hAnsi="EC Square Sans Pro"/>
          <w:i/>
          <w:noProof/>
          <w:color w:val="005D95"/>
          <w:sz w:val="24"/>
          <w:szCs w:val="20"/>
        </w:rPr>
        <w:t>Прегледи, при които се оценява изпълнението на новата рамка за вътрешен контрол в Комисията</w:t>
      </w:r>
      <w:bookmarkEnd w:id="77"/>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През 2019 г. Службата за вътрешен одит започна серия от ограничени прегледи (в шест генерални дирекции</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11"/>
      </w:r>
      <w:r>
        <w:rPr>
          <w:rFonts w:ascii="EC Square Sans Pro" w:hAnsi="EC Square Sans Pro"/>
          <w:noProof/>
          <w:sz w:val="20"/>
          <w:szCs w:val="20"/>
          <w:vertAlign w:val="superscript"/>
        </w:rPr>
        <w:t>)</w:t>
      </w:r>
      <w:r>
        <w:rPr>
          <w:rFonts w:ascii="EC Square Sans Pro" w:hAnsi="EC Square Sans Pro"/>
          <w:noProof/>
          <w:sz w:val="20"/>
          <w:szCs w:val="20"/>
        </w:rPr>
        <w:t>), за да оцени изпълнението на новата рамка за вътрешен контрол в Комисията. Като цяло резултатите бяха задоволителни, тъй като нито един от шестте ограничени прегледа не доведе до критични или много важни препоръки.</w:t>
      </w:r>
    </w:p>
    <w:p>
      <w:pPr>
        <w:keepNext/>
        <w:numPr>
          <w:ilvl w:val="2"/>
          <w:numId w:val="1"/>
        </w:numPr>
        <w:tabs>
          <w:tab w:val="num" w:pos="1430"/>
        </w:tabs>
        <w:spacing w:after="240" w:line="240" w:lineRule="auto"/>
        <w:ind w:left="1430"/>
        <w:jc w:val="both"/>
        <w:outlineLvl w:val="2"/>
        <w:rPr>
          <w:rFonts w:ascii="EC Square Sans Pro" w:eastAsia="Times New Roman" w:hAnsi="EC Square Sans Pro" w:cs="Times New Roman"/>
          <w:i/>
          <w:noProof/>
          <w:color w:val="005D95"/>
          <w:sz w:val="24"/>
          <w:szCs w:val="20"/>
        </w:rPr>
      </w:pPr>
      <w:bookmarkStart w:id="78" w:name="_Toc45016868"/>
      <w:r>
        <w:rPr>
          <w:rFonts w:ascii="EC Square Sans Pro" w:hAnsi="EC Square Sans Pro"/>
          <w:i/>
          <w:noProof/>
          <w:color w:val="005D95"/>
          <w:sz w:val="24"/>
          <w:szCs w:val="20"/>
        </w:rPr>
        <w:t>Други процеси</w:t>
      </w:r>
      <w:bookmarkEnd w:id="78"/>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Европейската статистика подпомага Комисията при докладването пред заинтересованите страни и при мониторинга на постигането на нейните ключови политики, цели и приоритети. Европейската статистика се използва също така в проучвания и при вземането на решения от външните заинтересовани страни. Поради това е от съществено значение европейската статистика да бъде с високо качество. Службата за вътрешен одит установи, че въпреки че първичният контрол на качеството, включен в производствените процеси, е бил осъществен по подходящ начин, функцията на Евростат за преглед на качеството не е била ефективна.</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Генерална дирекция „Здравеопазване и безопасност на храните“ управлява разходите за дейностите и програмите в областта на здравеопазването и безопасността на храните. Това включва широк кръг от дейности, свързани със здравето на животните, здравето на растенията, хуманното отношение към животните, официалния контрол и дейностите в областта на информационните технологии. Службата за вътрешен одит установи редица слабости в системата за вътрешен контрол, подпомагаща процесите за преглед на методиката за единичните разходи, използвана от държавите членки за целите на финансирането на ветеринарните програми и програмите в областта на здравето на растенията, както и на спешните мерки. Те включваха пропуски в: организацията на процеса; вътрешната консултация; предварителния анализ и оценката на въздействието на предложените промени; момента на осъществяване на вътрешната и външната комуникация; и слабостите във връзка с правилата за осигуряване на непрекъснатост на дейността.</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Генерална дирекция „Околна среда“ участва в редица международни дейности с цел: намаляване на заплахите за околната среда; насърчаване на екологосъобразните дейности; намаляване на отпечатъка на ЕС върху околната среда; създаване на еднакви условия за бизнеса на национално равнище; и създаване на възможности за дружествата от ЕС в чужбина. Поради това ефективното сътрудничество и ефективният ангажимент са от основно значение за преодоляване на тези глобални предизвикателства. Въпреки че генерална дирекция „Околна среда“ като цяло е въвела необходимите процеси за ефективно планиране и приоритизиране на международните си дейности и осъществява подходящ мониторинг и докладване по отношение на тези дейности, Службата за вътрешен одит установи, че генерална дирекция „Околна среда“ не е въвела официално: i) споразумения за доброволно партньорство и произтичащите от тях механизми за координация с генерална дирекция „Международно сътрудничество и развитие“ и ii) отговорностите за различните етапи в рамките на отделен процес за споразумение за доброволно партньорство.</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И накрая, Службата за вътрешен одит извърши втория етап на одит на управлението на нарежданията за събиране на вземания за глобите в областта на конкуренцията и на нарежданията за събиране на вземания в контекста на корективния капацитет на Комисията. Този одит беше извършен на два етапа. Първият етап включваше оценка на управлението на нарежданията за събиране на вземания на оперативно равнище в редица избрани генерални дирекции (фокус на етап 1, одитът приключи през 2017 г.), а вторият етап включваше централното равнище (фокус на етап 2, одитът приключи през 2019 г.). През втория етап на одита бяха установени слабости на централно равнище в управлението на неплатежоспособността и несъстоятелността, както и в процеса на прихващане, който дава възможност на Комисията да събира вземания чрез приспадане на плащанията от вземанията, дължими от правни субекти или от специални органи. Въпреки че тези слабости не намаляват в голяма степен ефективността на процеса на събиране на вземания, генерална дирекция „Бюджет“ трябва да ги отстрани своевременно, за да повиши в максимална степен ефикасността на процеса на събиране на вземания и в крайна сметка да гарантира, че бюджетът на ЕС продължава да бъде добре защитен.</w:t>
      </w:r>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rPr>
      </w:pPr>
      <w:bookmarkStart w:id="79" w:name="_Toc448926052"/>
      <w:bookmarkStart w:id="80" w:name="_Toc448503098"/>
      <w:bookmarkStart w:id="81" w:name="_Toc512438620"/>
      <w:bookmarkStart w:id="82" w:name="_Toc515017758"/>
      <w:bookmarkStart w:id="83" w:name="_Toc4756287"/>
      <w:bookmarkStart w:id="84" w:name="_Toc11401294"/>
      <w:bookmarkStart w:id="85" w:name="_Toc8981615"/>
      <w:bookmarkStart w:id="86" w:name="_Toc45016869"/>
      <w:bookmarkStart w:id="87" w:name="_Toc384658387"/>
      <w:r>
        <w:rPr>
          <w:rFonts w:ascii="EC Square Sans Pro" w:hAnsi="EC Square Sans Pro"/>
          <w:b/>
          <w:noProof/>
          <w:color w:val="005D95"/>
          <w:sz w:val="24"/>
          <w:szCs w:val="24"/>
        </w:rPr>
        <w:t>Ограничени заключения на Службата за вътрешен одит</w:t>
      </w:r>
      <w:bookmarkEnd w:id="79"/>
      <w:bookmarkEnd w:id="80"/>
      <w:bookmarkEnd w:id="81"/>
      <w:bookmarkEnd w:id="82"/>
      <w:bookmarkEnd w:id="83"/>
      <w:bookmarkEnd w:id="84"/>
      <w:bookmarkEnd w:id="85"/>
      <w:bookmarkEnd w:id="86"/>
    </w:p>
    <w:p>
      <w:pPr>
        <w:spacing w:after="240" w:line="240" w:lineRule="auto"/>
        <w:ind w:left="567"/>
        <w:jc w:val="both"/>
        <w:rPr>
          <w:rFonts w:ascii="EC Square Sans Pro" w:eastAsia="Times New Roman" w:hAnsi="EC Square Sans Pro" w:cs="Times New Roman"/>
          <w:noProof/>
          <w:sz w:val="20"/>
          <w:szCs w:val="20"/>
        </w:rPr>
      </w:pPr>
      <w:r>
        <w:rPr>
          <w:noProof/>
          <w:sz w:val="20"/>
          <w:szCs w:val="20"/>
        </w:rPr>
        <w:t>През февруари 2020 г. Службата за вътрешен одит изготви ограничени заключения относно състоянието на вътрешния контрол за всяка</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12"/>
      </w:r>
      <w:r>
        <w:rPr>
          <w:rFonts w:ascii="EC Square Sans Pro" w:hAnsi="EC Square Sans Pro"/>
          <w:noProof/>
          <w:sz w:val="20"/>
          <w:szCs w:val="20"/>
          <w:vertAlign w:val="superscript"/>
        </w:rPr>
        <w:t>)</w:t>
      </w:r>
      <w:r>
        <w:rPr>
          <w:rFonts w:ascii="EC Square Sans Pro" w:hAnsi="EC Square Sans Pro"/>
          <w:noProof/>
          <w:sz w:val="20"/>
          <w:szCs w:val="20"/>
        </w:rPr>
        <w:t xml:space="preserve"> генерална дирекция и за всяка служба. Тези ограничени заключения допринесоха за изготвянето на годишните отчети за дейността за 2019 г. на съответните генерални дирекции и служби. Те се основават на одитната дейност през последните 3 години и обхващат всички отворени препоръки, отправени от Службата за вътрешен одит и от бившите структури за вътрешен одит (доколкото тези препоръки са прехвърлени на Службата за вътрешен одит). Заключението на Службата за вътрешен одит относно състоянието на вътрешния контрол се ограничава до одитираните системи за управление и контрол. Заключението не обхваща системите, които не са били одитирани от Службата за вътрешен одит през последните 3 години.</w:t>
      </w:r>
    </w:p>
    <w:p>
      <w:pPr>
        <w:keepNext/>
        <w:numPr>
          <w:ilvl w:val="1"/>
          <w:numId w:val="1"/>
        </w:numPr>
        <w:autoSpaceDE w:val="0"/>
        <w:autoSpaceDN w:val="0"/>
        <w:adjustRightInd w:val="0"/>
        <w:spacing w:after="240" w:line="240" w:lineRule="auto"/>
        <w:ind w:left="1287"/>
        <w:jc w:val="both"/>
        <w:outlineLvl w:val="1"/>
        <w:rPr>
          <w:rFonts w:ascii="EC Square Sans Pro" w:eastAsia="Times New Roman" w:hAnsi="EC Square Sans Pro" w:cs="Times New Roman"/>
          <w:b/>
          <w:noProof/>
          <w:color w:val="005D95"/>
          <w:sz w:val="24"/>
          <w:szCs w:val="24"/>
        </w:rPr>
      </w:pPr>
      <w:bookmarkStart w:id="88" w:name="_Toc448503099"/>
      <w:bookmarkStart w:id="89" w:name="_Toc448926053"/>
      <w:bookmarkStart w:id="90" w:name="_Toc512438621"/>
      <w:bookmarkStart w:id="91" w:name="_Toc515017759"/>
      <w:bookmarkStart w:id="92" w:name="_Toc4756288"/>
      <w:bookmarkStart w:id="93" w:name="_Toc11401295"/>
      <w:bookmarkStart w:id="94" w:name="_Toc8981616"/>
      <w:bookmarkStart w:id="95" w:name="_Toc45016870"/>
      <w:r>
        <w:rPr>
          <w:rFonts w:ascii="EC Square Sans Pro" w:hAnsi="EC Square Sans Pro"/>
          <w:b/>
          <w:noProof/>
          <w:color w:val="005D95"/>
          <w:sz w:val="24"/>
          <w:szCs w:val="24"/>
        </w:rPr>
        <w:t xml:space="preserve">Общо становище относно финансовото управление от страна на </w:t>
      </w:r>
      <w:bookmarkEnd w:id="88"/>
      <w:r>
        <w:rPr>
          <w:rFonts w:ascii="EC Square Sans Pro" w:hAnsi="EC Square Sans Pro"/>
          <w:b/>
          <w:noProof/>
          <w:color w:val="005D95"/>
          <w:sz w:val="24"/>
          <w:szCs w:val="24"/>
        </w:rPr>
        <w:t>Комисията</w:t>
      </w:r>
      <w:bookmarkEnd w:id="87"/>
      <w:bookmarkEnd w:id="89"/>
      <w:bookmarkEnd w:id="90"/>
      <w:bookmarkEnd w:id="91"/>
      <w:bookmarkEnd w:id="92"/>
      <w:bookmarkEnd w:id="93"/>
      <w:bookmarkEnd w:id="94"/>
      <w:bookmarkEnd w:id="95"/>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Съгласно изискванията в устава за мисията си Службата за вътрешен одит изготвя годишно общо становище относно финансовото управление от страна на Комисията. Това становище се основава на одитната дейност в областта на финансовото управление в Комисията, извършена от Службата за вътрешен одит през предходните 3 години (2017—2019 г.). В общото становище също така се взема под внимание информацията от други източници, а именно докладите на Европейската сметна палата. Общото становище се изготвя едновременно с настоящия доклад и обхваща същата година.</w:t>
      </w:r>
    </w:p>
    <w:p>
      <w:pPr>
        <w:spacing w:after="240" w:line="240" w:lineRule="auto"/>
        <w:ind w:left="567"/>
        <w:jc w:val="both"/>
        <w:rPr>
          <w:rFonts w:ascii="EC Square Sans Pro" w:hAnsi="EC Square Sans Pro"/>
          <w:noProof/>
          <w:sz w:val="20"/>
          <w:szCs w:val="20"/>
        </w:rPr>
      </w:pPr>
      <w:r>
        <w:rPr>
          <w:rFonts w:ascii="EC Square Sans Pro" w:hAnsi="EC Square Sans Pro"/>
          <w:noProof/>
          <w:sz w:val="20"/>
          <w:szCs w:val="20"/>
        </w:rPr>
        <w:t>Както и в предишните издания, общото становище за 2019 г. е изготвено, като се взети под внимание резервите, посочени в декларациите за достоверност на оправомощените разпоредители с бюджетни кредити. За да достигне до общото си становище, Службата за вътрешен одит взе предвид общото въздействие на: i) сумите, за които се счита, че са изложени на риск, оповестени в годишните отчети за дейността; ii) корективния капацитет, който е виден от финансовите корекции и събиранията на вземания в миналото; и iii) прогнозните бъдещи корекции и изложени на риск суми към момента на приключването. Като се има предвид размерът на финансовите корекции и на събиранията на вземания в миналото и при допускане, че корекциите през бъдещите години ще бъдат със сходен размер, бюджетът на ЕС е като цяло защитен по подходящ начин (не непременно отделни области на политиката) и във времето (понякога няколко години напред).</w:t>
      </w:r>
    </w:p>
    <w:p>
      <w:pPr>
        <w:spacing w:after="240" w:line="240" w:lineRule="auto"/>
        <w:ind w:left="567"/>
        <w:jc w:val="both"/>
        <w:rPr>
          <w:rFonts w:ascii="EC Square Sans Pro" w:eastAsia="Times New Roman" w:hAnsi="EC Square Sans Pro" w:cs="Times New Roman"/>
          <w:noProof/>
          <w:sz w:val="20"/>
          <w:szCs w:val="20"/>
        </w:rPr>
      </w:pPr>
      <w:r>
        <w:rPr>
          <w:rFonts w:ascii="EC Square Sans Pro" w:hAnsi="EC Square Sans Pro"/>
          <w:noProof/>
          <w:sz w:val="20"/>
          <w:szCs w:val="20"/>
        </w:rPr>
        <w:t>Без да формулира допълнителни резерви в общото становище, Службата за вътрешен одит подчерта следните въпроси:</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i) Изпълнението на бюджета на ЕС в контекста на настоящата криза, предизвикана от пандемията от COVID-19: необходимост от подробна оценка на възникващите рискове и от определяне и прилагане на съответните смекчаващи мерки</w:t>
      </w:r>
    </w:p>
    <w:p>
      <w:pPr>
        <w:spacing w:after="240" w:line="240" w:lineRule="auto"/>
        <w:ind w:left="567"/>
        <w:jc w:val="both"/>
        <w:rPr>
          <w:rFonts w:ascii="EC Square Sans Pro" w:hAnsi="EC Square Sans Pro"/>
          <w:i/>
          <w:noProof/>
          <w:sz w:val="20"/>
          <w:szCs w:val="20"/>
        </w:rPr>
      </w:pPr>
      <w:r>
        <w:rPr>
          <w:rFonts w:ascii="EC Square Sans Pro" w:hAnsi="EC Square Sans Pro"/>
          <w:i/>
          <w:noProof/>
          <w:sz w:val="20"/>
          <w:szCs w:val="20"/>
        </w:rPr>
        <w:t>Ситуацията, свързана със здравето, както и социалната, икономическата и финансовата ситуация, породени от пандемията от COVID-19, водят до потенциално високи, хоризонтални рискове за институцията, що се отнася до изпълнението на бюджета на ЕС и до изпълнението на неговите приоритети на политиката.</w:t>
      </w:r>
    </w:p>
    <w:p>
      <w:pPr>
        <w:spacing w:after="240" w:line="240" w:lineRule="auto"/>
        <w:ind w:left="567"/>
        <w:jc w:val="both"/>
        <w:rPr>
          <w:rFonts w:ascii="EC Square Sans Pro" w:hAnsi="EC Square Sans Pro"/>
          <w:i/>
          <w:noProof/>
          <w:sz w:val="20"/>
          <w:szCs w:val="20"/>
        </w:rPr>
      </w:pPr>
      <w:r>
        <w:rPr>
          <w:rFonts w:ascii="EC Square Sans Pro" w:hAnsi="EC Square Sans Pro"/>
          <w:i/>
          <w:noProof/>
          <w:sz w:val="20"/>
          <w:szCs w:val="20"/>
        </w:rPr>
        <w:t>Комисията е отговорна за изпълнението на бюджета на ЕС. Това включва дейностите, извършени преди кризата (като част от многогодишната финансова рамка за периода 2014—2020 г.), за които все още не е осъществен съответният контрол (по-специално последващ контрол), и по време на самата криза — във връзка с аспектите, свързани с увереността, съответствието и изпълнението.</w:t>
      </w:r>
    </w:p>
    <w:p>
      <w:pPr>
        <w:spacing w:after="240" w:line="240" w:lineRule="auto"/>
        <w:ind w:left="567"/>
        <w:jc w:val="both"/>
        <w:rPr>
          <w:rFonts w:ascii="EC Square Sans Pro" w:hAnsi="EC Square Sans Pro"/>
          <w:i/>
          <w:noProof/>
          <w:sz w:val="20"/>
          <w:szCs w:val="20"/>
        </w:rPr>
      </w:pPr>
      <w:r>
        <w:rPr>
          <w:rFonts w:ascii="EC Square Sans Pro" w:hAnsi="EC Square Sans Pro"/>
          <w:i/>
          <w:noProof/>
          <w:sz w:val="20"/>
          <w:szCs w:val="20"/>
        </w:rPr>
        <w:t>Тъй като кризата продължава, този контекст поставя предизвикателства, по-специално по отношение на:</w:t>
      </w:r>
    </w:p>
    <w:p>
      <w:pPr>
        <w:numPr>
          <w:ilvl w:val="0"/>
          <w:numId w:val="5"/>
        </w:numPr>
        <w:spacing w:after="240" w:line="240" w:lineRule="auto"/>
        <w:jc w:val="both"/>
        <w:rPr>
          <w:rFonts w:ascii="EC Square Sans Pro" w:eastAsia="Times New Roman" w:hAnsi="EC Square Sans Pro" w:cs="Times New Roman"/>
          <w:i/>
          <w:noProof/>
          <w:sz w:val="20"/>
          <w:szCs w:val="20"/>
        </w:rPr>
      </w:pPr>
      <w:r>
        <w:rPr>
          <w:rFonts w:ascii="EC Square Sans Pro" w:hAnsi="EC Square Sans Pro"/>
          <w:i/>
          <w:noProof/>
          <w:sz w:val="20"/>
          <w:szCs w:val="20"/>
        </w:rPr>
        <w:t>изпълнението на бюджета в съответствие с приложимата правна рамка поради променящите се правила и нормативна база, процедурите по спешност, използването на извънредни мерки, трудните условия и/или ограничената наличност на финансови и човешки ресурси;</w:t>
      </w:r>
    </w:p>
    <w:p>
      <w:pPr>
        <w:numPr>
          <w:ilvl w:val="0"/>
          <w:numId w:val="5"/>
        </w:numPr>
        <w:spacing w:after="240" w:line="240" w:lineRule="auto"/>
        <w:jc w:val="both"/>
        <w:rPr>
          <w:rFonts w:ascii="EC Square Sans Pro" w:eastAsia="Times New Roman" w:hAnsi="EC Square Sans Pro" w:cs="Times New Roman"/>
          <w:i/>
          <w:noProof/>
          <w:sz w:val="20"/>
          <w:szCs w:val="20"/>
        </w:rPr>
      </w:pPr>
      <w:r>
        <w:rPr>
          <w:rFonts w:ascii="EC Square Sans Pro" w:hAnsi="EC Square Sans Pro"/>
          <w:i/>
          <w:noProof/>
          <w:sz w:val="20"/>
          <w:szCs w:val="20"/>
        </w:rPr>
        <w:t>степента, до която необходимият контрол и проверки, независимо дали са на равнището на Комисията, държавите членки, третите държави, партньорите по изпълнението и/или бенефициерите, могат да бъдат извършвани както е предвидено, поради логистични ограничения, като например пълен и своевременен достъп до информация и документация, проблеми при предприемането на командировки/проверки на място и способността на партньорите по изпълнението и на бенефициерите да продължат обичайните си дейности;</w:t>
      </w:r>
    </w:p>
    <w:p>
      <w:pPr>
        <w:numPr>
          <w:ilvl w:val="0"/>
          <w:numId w:val="5"/>
        </w:numPr>
        <w:spacing w:after="240" w:line="240" w:lineRule="auto"/>
        <w:jc w:val="both"/>
        <w:rPr>
          <w:rFonts w:ascii="EC Square Sans Pro" w:eastAsia="Times New Roman" w:hAnsi="EC Square Sans Pro" w:cs="Times New Roman"/>
          <w:i/>
          <w:noProof/>
          <w:sz w:val="20"/>
          <w:szCs w:val="20"/>
        </w:rPr>
      </w:pPr>
      <w:r>
        <w:rPr>
          <w:rFonts w:ascii="EC Square Sans Pro" w:hAnsi="EC Square Sans Pro"/>
          <w:i/>
          <w:noProof/>
          <w:sz w:val="20"/>
          <w:szCs w:val="20"/>
        </w:rPr>
        <w:t>потенциалното въздействие върху настоящия и бъдещия корективен капацитет на Комисията поради много трудната икономическа ситуация, която ще трябва да бъде преживяна както на равнището на ЕС, така и на национално равнище, включително евентуалното изпадане в несъстоятелност на крайни бенефициери, което може да затрудни събирането на недължимо платените суми.</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Увереността, предоставена по отношение на финансовото управление на бюджета на ЕС, е многогодишна по своето естество и зависи от надеждността на съответните стратегии за контрол на различните равнища. Те се основават на оценки на риска на конкретните програми и свързаните с тях бюджетни операции, на предварителния и последващия контрол на разходите, на стратегиите за надзор по отношение на третите страни, които изпълняват политиките и програмите, както и на прилагането на корективния капацитет с цел защита на бюджета на ЕС.</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За да гарантират, че бюджетът е защитен по надлежен начин в контекста на тези безпрецедентни предизвикателства, генералните дирекции и службите на Комисията трябва i) надлежно да оценяват рисковете вследствие на пандемията от COVID-19, свързани с финансовото управление от гледна точка на увереността, съответствието с правната рамка, корективния капацитет на многогодишните системи и изпълнението; и ii) да определят и прилагат подходящи смекчаващи мерки, като например коригиране или преформулиране на своите стратегии за контрол.</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ii) Стратегиите за надзор по отношение на третите страни, които изпълняват политиките и програмите</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Въпреки че Комисията остава изцяло отговорна за осигуряването на законосъобразността и редовността на разходите и за доброто финансово управление (както и за постигането на целите на политиката), тя разчита във все по-голяма степен на трети страни за изпълнението на своите програми. Това се прави най-вече чрез делегиране на изпълнението на оперативния бюджет на ЕС или на определени задачи на държави извън ЕС, международни организации или международни финансови институции, национални органи и национални агенции в държавите членки, съвместни предприятия, органи извън ЕС и децентрализирани агенции на ЕС. Освен това в определени области на политиката алтернативни механизми за финансиране, като финансовите инструменти, се (планира да се) използват във все по-голяма степен, като те са свързани със специфични предизвикателства и рискове за Комисията, както също изтъква Европейската сметна палата.</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За да изпълняват цялостните си отговорности, генералните дирекции трябва да упражняват надзор върху изпълнението на програмите и политиките и да предоставят насоки и помощ, когато е необходимо. Поради това те трябва да определят и осъществяват подходящи, ефективни и ефикасни дейности за надзор/мониторинг/докладване, за да се гарантира, че субектите, на които са делегирани задачи, и другите партньори изпълняват програмите ефективно, защитават по подходящ начин финансовите интереси на ЕС и спазват споразуменията за делегиране, когато е приложимо, както и че за разрешаването на всички потенциални проблеми, които биват идентифицирани, се предприемат мерки възможно най-бързо.</w:t>
      </w: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 xml:space="preserve">При редица одити, извършени през 2019 г., Службата за вътрешен одит продължи да препоръчва в стратегиите за контрол и механизмите за надзор на съответните генерални дирекции да бъдат по-ясно посочени приоритетите и нуждата от получаване на увереност относно доброто финансово управление в тези органи на ЕС и органи извън ЕС. Въпреки че през последните години бяха предприети действия както на равнището на централните служби, така и на равнището на съответните генерални дирекции, за да се смекчат рисковете, установени в резултат на одитната дейност, в някои области все още са необходими допълнителни подобрения. </w:t>
      </w:r>
    </w:p>
    <w:p>
      <w:pPr>
        <w:spacing w:after="240" w:line="240" w:lineRule="auto"/>
        <w:ind w:left="567"/>
        <w:jc w:val="both"/>
        <w:rPr>
          <w:noProof/>
        </w:rPr>
      </w:pPr>
      <w:r>
        <w:rPr>
          <w:rFonts w:ascii="EC Square Sans Pro" w:hAnsi="EC Square Sans Pro"/>
          <w:i/>
          <w:noProof/>
          <w:sz w:val="20"/>
          <w:szCs w:val="20"/>
        </w:rPr>
        <w:t>В този контекст генералните дирекции на Комисията следва да продължат да полагат усилия за идентифициране и оценка на рисковете, свързани с делегирането на задачи на трети страни, и да осъществяват ефективни и ефикасни дейности за надзор, като развият допълнително съответните стратегии за контрол. Това се отнася не само за дейностите, делегирани по линия на настоящата многогодишна финансова рамка за периода 2014—2020 г., но още повече с оглед на очакваното повишено използване на капиталови инструменти, гаранционни инструменти и инструменти за поделяне на риска в следващата многогодишна финансова рамка за периода 2021—2027 г.</w:t>
      </w:r>
    </w:p>
    <w:p>
      <w:pPr>
        <w:spacing w:after="240" w:line="240" w:lineRule="auto"/>
        <w:ind w:left="567"/>
        <w:jc w:val="both"/>
        <w:rPr>
          <w:noProof/>
        </w:rPr>
      </w:pPr>
    </w:p>
    <w:p>
      <w:pPr>
        <w:spacing w:after="240" w:line="240" w:lineRule="auto"/>
        <w:ind w:left="567"/>
        <w:jc w:val="both"/>
        <w:rPr>
          <w:rFonts w:ascii="EC Square Sans Pro" w:eastAsia="Times New Roman" w:hAnsi="EC Square Sans Pro" w:cs="Times New Roman"/>
          <w:i/>
          <w:noProof/>
          <w:sz w:val="20"/>
          <w:szCs w:val="20"/>
        </w:rPr>
      </w:pPr>
      <w:r>
        <w:rPr>
          <w:rFonts w:ascii="EC Square Sans Pro" w:hAnsi="EC Square Sans Pro"/>
          <w:i/>
          <w:noProof/>
          <w:sz w:val="20"/>
          <w:szCs w:val="20"/>
        </w:rPr>
        <w:t>Службата за вътрешен одит ще следи промените в ситуацията във връзка с последиците от кризата с COVID-19 и това, че се разчита на трети страни за изпълнението на програми — по линия на настоящата и новата (преразгледаната) многогодишна финансова рамка — актуализираните политически приоритети и финансовото управление от страна на Комисията. Това ще се прави като част от актуализирането на периодичните (стратегически) оценки на риска от страна на Службата за вътрешен одит и произтичащите планове за одит.</w:t>
      </w:r>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rPr>
      </w:pPr>
      <w:bookmarkStart w:id="96" w:name="_Toc416774792"/>
      <w:bookmarkStart w:id="97" w:name="_Toc381869128"/>
      <w:bookmarkStart w:id="98" w:name="_Toc381869194"/>
      <w:bookmarkStart w:id="99" w:name="_Toc381869260"/>
      <w:bookmarkStart w:id="100" w:name="_Toc381869132"/>
      <w:bookmarkStart w:id="101" w:name="_Toc381869198"/>
      <w:bookmarkStart w:id="102" w:name="_Toc381869264"/>
      <w:bookmarkStart w:id="103" w:name="_Toc381869134"/>
      <w:bookmarkStart w:id="104" w:name="_Toc381869200"/>
      <w:bookmarkStart w:id="105" w:name="_Toc381869266"/>
      <w:bookmarkStart w:id="106" w:name="_Toc381869081"/>
      <w:bookmarkStart w:id="107" w:name="_Toc381869147"/>
      <w:bookmarkStart w:id="108" w:name="_Toc381869213"/>
      <w:bookmarkStart w:id="109" w:name="_Toc381869082"/>
      <w:bookmarkStart w:id="110" w:name="_Toc381869148"/>
      <w:bookmarkStart w:id="111" w:name="_Toc381869214"/>
      <w:bookmarkStart w:id="112" w:name="_Toc381869083"/>
      <w:bookmarkStart w:id="113" w:name="_Toc381869149"/>
      <w:bookmarkStart w:id="114" w:name="_Toc381869215"/>
      <w:bookmarkStart w:id="115" w:name="_Toc381869084"/>
      <w:bookmarkStart w:id="116" w:name="_Toc381869150"/>
      <w:bookmarkStart w:id="117" w:name="_Toc381869216"/>
      <w:bookmarkStart w:id="118" w:name="_Toc381869086"/>
      <w:bookmarkStart w:id="119" w:name="_Toc381869152"/>
      <w:bookmarkStart w:id="120" w:name="_Toc381869218"/>
      <w:bookmarkStart w:id="121" w:name="_Toc381869087"/>
      <w:bookmarkStart w:id="122" w:name="_Toc381869153"/>
      <w:bookmarkStart w:id="123" w:name="_Toc381869219"/>
      <w:bookmarkStart w:id="124" w:name="_Toc416774825"/>
      <w:bookmarkStart w:id="125" w:name="_Toc416774827"/>
      <w:bookmarkStart w:id="126" w:name="_Toc416774828"/>
      <w:bookmarkStart w:id="127" w:name="_Toc416774830"/>
      <w:bookmarkStart w:id="128" w:name="_Toc416774833"/>
      <w:bookmarkStart w:id="129" w:name="_Toc416774834"/>
      <w:bookmarkStart w:id="130" w:name="_Toc416774837"/>
      <w:bookmarkStart w:id="131" w:name="_Toc384658417"/>
      <w:bookmarkStart w:id="132" w:name="_Toc448926054"/>
      <w:bookmarkStart w:id="133" w:name="_Toc448503138"/>
      <w:bookmarkStart w:id="134" w:name="_Toc512438623"/>
      <w:bookmarkStart w:id="135" w:name="_Toc515017760"/>
      <w:bookmarkStart w:id="136" w:name="_Toc4756289"/>
      <w:bookmarkStart w:id="137" w:name="_Toc8981617"/>
      <w:bookmarkStart w:id="138" w:name="_Toc11401296"/>
      <w:bookmarkStart w:id="139" w:name="_Toc45016871"/>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EC Square Sans Pro" w:hAnsi="EC Square Sans Pro"/>
          <w:b/>
          <w:smallCaps/>
          <w:noProof/>
          <w:color w:val="005D95"/>
          <w:sz w:val="24"/>
          <w:szCs w:val="20"/>
        </w:rPr>
        <w:t>Консултация с органа на Комисията за разглеждане на финансови нередности</w:t>
      </w:r>
      <w:bookmarkEnd w:id="131"/>
      <w:bookmarkEnd w:id="132"/>
      <w:bookmarkEnd w:id="133"/>
      <w:bookmarkEnd w:id="134"/>
      <w:bookmarkEnd w:id="135"/>
      <w:bookmarkEnd w:id="136"/>
      <w:bookmarkEnd w:id="137"/>
      <w:bookmarkEnd w:id="138"/>
      <w:bookmarkEnd w:id="139"/>
    </w:p>
    <w:p>
      <w:pPr>
        <w:spacing w:after="240" w:line="240" w:lineRule="auto"/>
        <w:ind w:left="482"/>
        <w:jc w:val="both"/>
        <w:rPr>
          <w:rFonts w:ascii="EC Square Sans Pro" w:hAnsi="EC Square Sans Pro"/>
          <w:noProof/>
          <w:sz w:val="20"/>
          <w:szCs w:val="20"/>
        </w:rPr>
      </w:pPr>
      <w:r>
        <w:rPr>
          <w:rFonts w:ascii="EC Square Sans Pro" w:hAnsi="EC Square Sans Pro"/>
          <w:noProof/>
          <w:sz w:val="20"/>
          <w:szCs w:val="20"/>
        </w:rPr>
        <w:t>Органът, създаден съгласно член</w:t>
      </w:r>
      <w:r>
        <w:rPr>
          <w:rFonts w:ascii="Calibri" w:hAnsi="Calibri" w:cs="Calibri"/>
          <w:noProof/>
          <w:sz w:val="20"/>
          <w:szCs w:val="20"/>
        </w:rPr>
        <w:t> </w:t>
      </w:r>
      <w:r>
        <w:rPr>
          <w:rFonts w:ascii="EC Square Sans Pro" w:hAnsi="EC Square Sans Pro"/>
          <w:noProof/>
          <w:sz w:val="20"/>
          <w:szCs w:val="20"/>
        </w:rPr>
        <w:t xml:space="preserve">143 </w:t>
      </w:r>
      <w:r>
        <w:rPr>
          <w:rFonts w:ascii="EC Square Sans Pro" w:hAnsi="EC Square Sans Pro" w:cs="EC Square Sans Pro"/>
          <w:noProof/>
          <w:sz w:val="20"/>
          <w:szCs w:val="20"/>
        </w:rPr>
        <w:t>от</w:t>
      </w:r>
      <w:r>
        <w:rPr>
          <w:rFonts w:ascii="EC Square Sans Pro" w:hAnsi="EC Square Sans Pro"/>
          <w:noProof/>
          <w:sz w:val="20"/>
          <w:szCs w:val="20"/>
        </w:rPr>
        <w:t xml:space="preserve"> </w:t>
      </w:r>
      <w:r>
        <w:rPr>
          <w:rFonts w:ascii="EC Square Sans Pro" w:hAnsi="EC Square Sans Pro" w:cs="EC Square Sans Pro"/>
          <w:noProof/>
          <w:sz w:val="20"/>
          <w:szCs w:val="20"/>
        </w:rPr>
        <w:t>Финансовия</w:t>
      </w:r>
      <w:r>
        <w:rPr>
          <w:rFonts w:ascii="EC Square Sans Pro" w:hAnsi="EC Square Sans Pro"/>
          <w:noProof/>
          <w:sz w:val="20"/>
          <w:szCs w:val="20"/>
        </w:rPr>
        <w:t xml:space="preserve"> </w:t>
      </w:r>
      <w:r>
        <w:rPr>
          <w:rFonts w:ascii="EC Square Sans Pro" w:hAnsi="EC Square Sans Pro" w:cs="EC Square Sans Pro"/>
          <w:noProof/>
          <w:sz w:val="20"/>
          <w:szCs w:val="20"/>
        </w:rPr>
        <w:t>регламент</w:t>
      </w:r>
      <w:r>
        <w:rPr>
          <w:rFonts w:ascii="EC Square Sans Pro" w:hAnsi="EC Square Sans Pro"/>
          <w:noProof/>
          <w:sz w:val="20"/>
          <w:szCs w:val="20"/>
        </w:rPr>
        <w:t>(</w:t>
      </w:r>
      <w:r>
        <w:rPr>
          <w:rFonts w:ascii="EC Square Sans Pro" w:hAnsi="EC Square Sans Pro"/>
          <w:noProof/>
          <w:sz w:val="20"/>
          <w:szCs w:val="20"/>
          <w:vertAlign w:val="superscript"/>
        </w:rPr>
        <w:footnoteReference w:id="13"/>
      </w:r>
      <w:r>
        <w:rPr>
          <w:rFonts w:ascii="EC Square Sans Pro" w:hAnsi="EC Square Sans Pro"/>
          <w:noProof/>
          <w:sz w:val="20"/>
          <w:szCs w:val="20"/>
          <w:vertAlign w:val="superscript"/>
        </w:rPr>
        <w:t>)</w:t>
      </w:r>
      <w:r>
        <w:rPr>
          <w:rFonts w:ascii="EC Square Sans Pro" w:hAnsi="EC Square Sans Pro"/>
          <w:noProof/>
          <w:sz w:val="20"/>
          <w:szCs w:val="20"/>
        </w:rPr>
        <w:t>, не докладва за наличието на системни проблеми през 2019</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в становището, което дава съгласно член 93 от Финансовия регламент.</w:t>
      </w:r>
      <w:bookmarkEnd w:id="10"/>
    </w:p>
    <w:p>
      <w:pPr>
        <w:keepNext/>
        <w:numPr>
          <w:ilvl w:val="0"/>
          <w:numId w:val="1"/>
        </w:numPr>
        <w:spacing w:after="240" w:line="240" w:lineRule="auto"/>
        <w:ind w:left="482" w:hanging="482"/>
        <w:jc w:val="both"/>
        <w:outlineLvl w:val="0"/>
        <w:rPr>
          <w:rFonts w:ascii="EC Square Sans Pro" w:eastAsia="Times New Roman" w:hAnsi="EC Square Sans Pro" w:cs="Times New Roman"/>
          <w:b/>
          <w:smallCaps/>
          <w:noProof/>
          <w:color w:val="005D95"/>
          <w:sz w:val="24"/>
          <w:szCs w:val="20"/>
        </w:rPr>
      </w:pPr>
      <w:bookmarkStart w:id="140" w:name="_Toc512438624"/>
      <w:bookmarkStart w:id="141" w:name="_Toc515017761"/>
      <w:bookmarkStart w:id="142" w:name="_Toc4756290"/>
      <w:bookmarkStart w:id="143" w:name="_Toc11401297"/>
      <w:bookmarkStart w:id="144" w:name="_Toc8981618"/>
      <w:bookmarkStart w:id="145" w:name="_Toc45016872"/>
      <w:r>
        <w:rPr>
          <w:rFonts w:ascii="EC Square Sans Pro" w:hAnsi="EC Square Sans Pro"/>
          <w:b/>
          <w:smallCaps/>
          <w:noProof/>
          <w:color w:val="005D95"/>
          <w:sz w:val="24"/>
          <w:szCs w:val="20"/>
        </w:rPr>
        <w:t>Смекчаващи мерки във връзка с потенциални конфликти на интереси (международни стандарти за вътрешен одит) — Разследване на Европейския омбудсман</w:t>
      </w:r>
      <w:bookmarkEnd w:id="140"/>
      <w:bookmarkEnd w:id="141"/>
      <w:bookmarkEnd w:id="142"/>
      <w:bookmarkEnd w:id="143"/>
      <w:bookmarkEnd w:id="144"/>
      <w:bookmarkEnd w:id="145"/>
    </w:p>
    <w:p>
      <w:pPr>
        <w:spacing w:after="240" w:line="240" w:lineRule="auto"/>
        <w:ind w:left="482"/>
        <w:jc w:val="both"/>
        <w:rPr>
          <w:rFonts w:ascii="EC Square Sans Pro" w:hAnsi="EC Square Sans Pro"/>
          <w:noProof/>
          <w:sz w:val="20"/>
          <w:szCs w:val="20"/>
        </w:rPr>
      </w:pPr>
      <w:r>
        <w:rPr>
          <w:rFonts w:ascii="EC Square Sans Pro" w:hAnsi="EC Square Sans Pro"/>
          <w:noProof/>
          <w:sz w:val="20"/>
          <w:szCs w:val="20"/>
        </w:rPr>
        <w:t>Настоящият генерален директор на Службата за вътрешен одит и вътрешен одитор на Комисията — г-н Manfred Kraff — встъпи в длъжност на 1</w:t>
      </w:r>
      <w:r>
        <w:rPr>
          <w:rFonts w:ascii="Calibri" w:hAnsi="Calibri" w:cs="Calibri"/>
          <w:noProof/>
          <w:sz w:val="20"/>
          <w:szCs w:val="20"/>
        </w:rPr>
        <w:t> </w:t>
      </w:r>
      <w:r>
        <w:rPr>
          <w:rFonts w:ascii="EC Square Sans Pro" w:hAnsi="EC Square Sans Pro" w:cs="EC Square Sans Pro"/>
          <w:noProof/>
          <w:sz w:val="20"/>
          <w:szCs w:val="20"/>
        </w:rPr>
        <w:t>март</w:t>
      </w:r>
      <w:r>
        <w:rPr>
          <w:rFonts w:ascii="Calibri" w:hAnsi="Calibri" w:cs="Calibri"/>
          <w:noProof/>
          <w:sz w:val="20"/>
          <w:szCs w:val="20"/>
        </w:rPr>
        <w:t> </w:t>
      </w:r>
      <w:r>
        <w:rPr>
          <w:rFonts w:ascii="EC Square Sans Pro" w:hAnsi="EC Square Sans Pro"/>
          <w:noProof/>
          <w:sz w:val="20"/>
          <w:szCs w:val="20"/>
        </w:rPr>
        <w:t>2017</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Преди това г-н Kraff бе заместник генерален директор и счетоводител на Комисията в генерална дирекция „Бюджет“ на Комисията.</w:t>
      </w:r>
    </w:p>
    <w:p>
      <w:pPr>
        <w:spacing w:after="240" w:line="240" w:lineRule="auto"/>
        <w:ind w:left="482"/>
        <w:jc w:val="both"/>
        <w:rPr>
          <w:rFonts w:ascii="EC Square Sans Pro" w:hAnsi="EC Square Sans Pro"/>
          <w:noProof/>
          <w:sz w:val="20"/>
          <w:szCs w:val="20"/>
        </w:rPr>
      </w:pPr>
      <w:r>
        <w:rPr>
          <w:rFonts w:ascii="EC Square Sans Pro" w:hAnsi="EC Square Sans Pro"/>
          <w:noProof/>
          <w:sz w:val="20"/>
          <w:szCs w:val="20"/>
        </w:rPr>
        <w:t>В съответствие с международните стандарти за одит(</w:t>
      </w:r>
      <w:r>
        <w:rPr>
          <w:rFonts w:ascii="EC Square Sans Pro" w:hAnsi="EC Square Sans Pro"/>
          <w:noProof/>
          <w:sz w:val="20"/>
          <w:szCs w:val="20"/>
          <w:vertAlign w:val="superscript"/>
        </w:rPr>
        <w:footnoteReference w:id="14"/>
      </w:r>
      <w:r>
        <w:rPr>
          <w:rFonts w:ascii="EC Square Sans Pro" w:hAnsi="EC Square Sans Pro"/>
          <w:noProof/>
          <w:sz w:val="20"/>
          <w:szCs w:val="20"/>
          <w:vertAlign w:val="superscript"/>
        </w:rPr>
        <w:t>)</w:t>
      </w:r>
      <w:r>
        <w:rPr>
          <w:rFonts w:ascii="EC Square Sans Pro" w:hAnsi="EC Square Sans Pro"/>
          <w:noProof/>
          <w:sz w:val="20"/>
          <w:szCs w:val="20"/>
        </w:rPr>
        <w:t xml:space="preserve"> на 7 март 2017 г., след като бе назначен за генерален директор и вътрешен одитор, г-н Kraff изготви инструкции относно механизмите, които следва да бъдат въведени с цел намаляване и/или избягване на потенциалните или предполагаеми конфликти на интереси в одитната дейност на Службата за вътрешен одит във връзка с предишните му отговорности. Срокът на тези механизми беше удължен през 2018 г. (до 1</w:t>
      </w:r>
      <w:r>
        <w:rPr>
          <w:rFonts w:ascii="Calibri" w:hAnsi="Calibri" w:cs="Calibri"/>
          <w:noProof/>
          <w:sz w:val="20"/>
          <w:szCs w:val="20"/>
        </w:rPr>
        <w:t> </w:t>
      </w:r>
      <w:r>
        <w:rPr>
          <w:rFonts w:ascii="EC Square Sans Pro" w:hAnsi="EC Square Sans Pro"/>
          <w:noProof/>
          <w:sz w:val="20"/>
          <w:szCs w:val="20"/>
        </w:rPr>
        <w:t>март</w:t>
      </w:r>
      <w:r>
        <w:rPr>
          <w:rFonts w:ascii="Calibri" w:hAnsi="Calibri" w:cs="Calibri"/>
          <w:noProof/>
          <w:sz w:val="20"/>
          <w:szCs w:val="20"/>
        </w:rPr>
        <w:t> </w:t>
      </w:r>
      <w:r>
        <w:rPr>
          <w:rFonts w:ascii="EC Square Sans Pro" w:hAnsi="EC Square Sans Pro"/>
          <w:noProof/>
          <w:sz w:val="20"/>
          <w:szCs w:val="20"/>
        </w:rPr>
        <w:t>2019 г.), през 2019 г. (до 1</w:t>
      </w:r>
      <w:r>
        <w:rPr>
          <w:rFonts w:ascii="Calibri" w:hAnsi="Calibri" w:cs="Calibri"/>
          <w:noProof/>
          <w:sz w:val="20"/>
          <w:szCs w:val="20"/>
        </w:rPr>
        <w:t> </w:t>
      </w:r>
      <w:r>
        <w:rPr>
          <w:rFonts w:ascii="EC Square Sans Pro" w:hAnsi="EC Square Sans Pro"/>
          <w:noProof/>
          <w:sz w:val="20"/>
          <w:szCs w:val="20"/>
        </w:rPr>
        <w:t>март</w:t>
      </w:r>
      <w:r>
        <w:rPr>
          <w:rFonts w:ascii="Calibri" w:hAnsi="Calibri" w:cs="Calibri"/>
          <w:noProof/>
          <w:sz w:val="20"/>
          <w:szCs w:val="20"/>
        </w:rPr>
        <w:t> </w:t>
      </w:r>
      <w:r>
        <w:rPr>
          <w:rFonts w:ascii="EC Square Sans Pro" w:hAnsi="EC Square Sans Pro"/>
          <w:noProof/>
          <w:sz w:val="20"/>
          <w:szCs w:val="20"/>
        </w:rPr>
        <w:t>2020 г.) и през 2020 г. (до 1 март 2021 г.) чрез бележки с указания до всички служители на Службата за вътрешен одит, изготвени от г-н Kraff на 1</w:t>
      </w:r>
      <w:r>
        <w:rPr>
          <w:rFonts w:ascii="Calibri" w:hAnsi="Calibri" w:cs="Calibri"/>
          <w:noProof/>
          <w:sz w:val="20"/>
          <w:szCs w:val="20"/>
        </w:rPr>
        <w:t> </w:t>
      </w:r>
      <w:r>
        <w:rPr>
          <w:rFonts w:ascii="EC Square Sans Pro" w:hAnsi="EC Square Sans Pro" w:cs="EC Square Sans Pro"/>
          <w:noProof/>
          <w:sz w:val="20"/>
          <w:szCs w:val="20"/>
        </w:rPr>
        <w:t>март</w:t>
      </w:r>
      <w:r>
        <w:rPr>
          <w:rFonts w:ascii="Calibri" w:hAnsi="Calibri" w:cs="Calibri"/>
          <w:noProof/>
          <w:sz w:val="20"/>
          <w:szCs w:val="20"/>
        </w:rPr>
        <w:t> </w:t>
      </w:r>
      <w:r>
        <w:rPr>
          <w:rFonts w:ascii="EC Square Sans Pro" w:hAnsi="EC Square Sans Pro"/>
          <w:noProof/>
          <w:sz w:val="20"/>
          <w:szCs w:val="20"/>
        </w:rPr>
        <w:t>2018</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xml:space="preserve">., </w:t>
      </w:r>
      <w:r>
        <w:rPr>
          <w:rFonts w:ascii="EC Square Sans Pro" w:hAnsi="EC Square Sans Pro" w:cs="EC Square Sans Pro"/>
          <w:noProof/>
          <w:sz w:val="20"/>
          <w:szCs w:val="20"/>
        </w:rPr>
        <w:t>на</w:t>
      </w:r>
      <w:r>
        <w:rPr>
          <w:rFonts w:ascii="EC Square Sans Pro" w:hAnsi="EC Square Sans Pro"/>
          <w:noProof/>
          <w:sz w:val="20"/>
          <w:szCs w:val="20"/>
        </w:rPr>
        <w:t xml:space="preserve"> 1 </w:t>
      </w:r>
      <w:r>
        <w:rPr>
          <w:rFonts w:ascii="EC Square Sans Pro" w:hAnsi="EC Square Sans Pro" w:cs="EC Square Sans Pro"/>
          <w:noProof/>
          <w:sz w:val="20"/>
          <w:szCs w:val="20"/>
        </w:rPr>
        <w:t>март</w:t>
      </w:r>
      <w:r>
        <w:rPr>
          <w:rFonts w:ascii="EC Square Sans Pro" w:hAnsi="EC Square Sans Pro"/>
          <w:noProof/>
          <w:sz w:val="20"/>
          <w:szCs w:val="20"/>
        </w:rPr>
        <w:t xml:space="preserve"> 2019</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xml:space="preserve">. </w:t>
      </w:r>
      <w:r>
        <w:rPr>
          <w:rFonts w:ascii="EC Square Sans Pro" w:hAnsi="EC Square Sans Pro" w:cs="EC Square Sans Pro"/>
          <w:noProof/>
          <w:sz w:val="20"/>
          <w:szCs w:val="20"/>
        </w:rPr>
        <w:t>и</w:t>
      </w:r>
      <w:r>
        <w:rPr>
          <w:rFonts w:ascii="EC Square Sans Pro" w:hAnsi="EC Square Sans Pro"/>
          <w:noProof/>
          <w:sz w:val="20"/>
          <w:szCs w:val="20"/>
        </w:rPr>
        <w:t xml:space="preserve"> </w:t>
      </w:r>
      <w:r>
        <w:rPr>
          <w:rFonts w:ascii="EC Square Sans Pro" w:hAnsi="EC Square Sans Pro" w:cs="EC Square Sans Pro"/>
          <w:noProof/>
          <w:sz w:val="20"/>
          <w:szCs w:val="20"/>
        </w:rPr>
        <w:t>на</w:t>
      </w:r>
      <w:r>
        <w:rPr>
          <w:rFonts w:ascii="EC Square Sans Pro" w:hAnsi="EC Square Sans Pro"/>
          <w:noProof/>
          <w:sz w:val="20"/>
          <w:szCs w:val="20"/>
        </w:rPr>
        <w:t xml:space="preserve"> 2</w:t>
      </w:r>
      <w:r>
        <w:rPr>
          <w:rFonts w:ascii="Calibri" w:hAnsi="Calibri" w:cs="Calibri"/>
          <w:noProof/>
          <w:sz w:val="20"/>
          <w:szCs w:val="20"/>
        </w:rPr>
        <w:t> </w:t>
      </w:r>
      <w:r>
        <w:rPr>
          <w:rFonts w:ascii="EC Square Sans Pro" w:hAnsi="EC Square Sans Pro" w:cs="EC Square Sans Pro"/>
          <w:noProof/>
          <w:sz w:val="20"/>
          <w:szCs w:val="20"/>
        </w:rPr>
        <w:t>март</w:t>
      </w:r>
      <w:r>
        <w:rPr>
          <w:rFonts w:ascii="Calibri" w:hAnsi="Calibri" w:cs="Calibri"/>
          <w:noProof/>
          <w:sz w:val="20"/>
          <w:szCs w:val="20"/>
        </w:rPr>
        <w:t> </w:t>
      </w:r>
      <w:r>
        <w:rPr>
          <w:rFonts w:ascii="EC Square Sans Pro" w:hAnsi="EC Square Sans Pro"/>
          <w:noProof/>
          <w:sz w:val="20"/>
          <w:szCs w:val="20"/>
        </w:rPr>
        <w:t>2020</w:t>
      </w:r>
      <w:r>
        <w:rPr>
          <w:rFonts w:ascii="Calibri" w:hAnsi="Calibri" w:cs="Calibri"/>
          <w:noProof/>
          <w:sz w:val="20"/>
          <w:szCs w:val="20"/>
        </w:rPr>
        <w:t> </w:t>
      </w:r>
      <w:r>
        <w:rPr>
          <w:rFonts w:ascii="EC Square Sans Pro" w:hAnsi="EC Square Sans Pro" w:cs="EC Square Sans Pro"/>
          <w:noProof/>
          <w:sz w:val="20"/>
          <w:szCs w:val="20"/>
        </w:rPr>
        <w:t>г</w:t>
      </w:r>
      <w:r>
        <w:rPr>
          <w:rFonts w:ascii="EC Square Sans Pro" w:hAnsi="EC Square Sans Pro"/>
          <w:noProof/>
          <w:sz w:val="20"/>
          <w:szCs w:val="20"/>
        </w:rPr>
        <w:t>. Съгласно механизмите г-н Kraff няма да участва в надзора на одитната дейност, свързана с операциите, за които той е отговарял, преди да постъпи в Службата за вътрешен одит. Надзорът на одитната дейност, свързана с такива операции, в крайна сметка попадна или ще попадне в обхвата на отговорността на г-н Jeff Mason — бивш изпълняващ длъжността генерален директор на Службата за вътрешен одит (от септември 2016 г. до февруари 2017 г.) и настоящ директор в Службата за вътрешен одит (IAS.B, „Одити на Комисията и изпълнителните агенции I“). В механизмите се посочва също така, че Комитетът за контрол на одитите ще бъде уведомяван за тези инструкции и за тяхното изпълнение и че г-н Mason ще се обръща към Комитета за контрол на одитите за оценката на всяка ситуация, която може да бъде изтълкувана като накърняване на независимостта или обективността на г-н Kraff. В тези случаи г-н Kraff няма да упражнява надзор върху съответната одитна дейност.</w:t>
      </w:r>
    </w:p>
    <w:p>
      <w:pPr>
        <w:spacing w:after="240" w:line="240" w:lineRule="auto"/>
        <w:ind w:left="482"/>
        <w:jc w:val="both"/>
        <w:rPr>
          <w:rFonts w:ascii="EC Square Sans Pro" w:eastAsia="Times New Roman" w:hAnsi="EC Square Sans Pro" w:cs="Times New Roman"/>
          <w:noProof/>
          <w:sz w:val="20"/>
          <w:szCs w:val="20"/>
        </w:rPr>
      </w:pPr>
      <w:r>
        <w:rPr>
          <w:rFonts w:ascii="EC Square Sans Pro" w:hAnsi="EC Square Sans Pro"/>
          <w:noProof/>
          <w:sz w:val="20"/>
          <w:szCs w:val="20"/>
        </w:rPr>
        <w:t>Въведените механизми бяха обсъдени с Комитета за контрол на одитите на заседанието му през март 2018 г. Комитетът заключи, че мерките, определени от Службата за вътрешен одит, премахват по подходящ начин риска от конфликти на интереси в съответствие с международните стандарти и най-добрите практики. Комитетът също така отбеляза със задоволство, че механизмите за гарантиране на организационна независимост са приложени на практика при съответните одити. Комитетът за контрол на одитите направи допълнителен преглед на изпълнението на тези механизми през 2018 г. на заседанията си през януари 2019 г. (подготвителна група), март 2019 г. и (подготвителна група) март 2020 г. Комитетът за контрол на одитите отбеляза със задоволство, че тези механизми са приложени на практика при редица одити, и заключи, че това е водеща практика в областта на вътрешния одит.</w:t>
      </w:r>
    </w:p>
    <w:p>
      <w:pPr>
        <w:spacing w:after="240" w:line="240" w:lineRule="auto"/>
        <w:ind w:left="482"/>
        <w:jc w:val="both"/>
        <w:rPr>
          <w:rFonts w:ascii="EC Square Sans Pro" w:eastAsia="Times New Roman" w:hAnsi="EC Square Sans Pro" w:cs="Times New Roman"/>
          <w:noProof/>
          <w:sz w:val="20"/>
          <w:szCs w:val="20"/>
        </w:rPr>
      </w:pPr>
      <w:r>
        <w:rPr>
          <w:rFonts w:ascii="EC Square Sans Pro" w:hAnsi="EC Square Sans Pro"/>
          <w:noProof/>
          <w:sz w:val="20"/>
          <w:szCs w:val="20"/>
        </w:rPr>
        <w:t>В периода 2018—2020 г., по време на изслушванията в рамките на освобождаването от отговорност за отчетната година, г-н Kraff представи въведените механизми пред Комисията по бюджетен контрол (CONT) на Европейския парламент. Тези механизми бяха публично оповестени и в годишните отчети за дейността на Службата за вътрешен одит за 2017 г., 2018 г. и 2019 г. и в годишните доклади на Комисията относно вътрешните одити от септември 2018 г., юни 2019 г. и юни 2020 г.</w:t>
      </w:r>
    </w:p>
    <w:p>
      <w:pPr>
        <w:spacing w:after="240" w:line="240" w:lineRule="auto"/>
        <w:ind w:left="482"/>
        <w:jc w:val="both"/>
        <w:rPr>
          <w:rFonts w:ascii="EC Square Sans Pro" w:eastAsia="Times New Roman" w:hAnsi="EC Square Sans Pro" w:cs="Times New Roman"/>
          <w:noProof/>
          <w:sz w:val="20"/>
          <w:szCs w:val="20"/>
        </w:rPr>
      </w:pPr>
      <w:r>
        <w:rPr>
          <w:rFonts w:ascii="EC Square Sans Pro" w:hAnsi="EC Square Sans Pro"/>
          <w:noProof/>
          <w:sz w:val="20"/>
          <w:szCs w:val="20"/>
        </w:rPr>
        <w:t>На 4 декември 2017 г. Европейският омбудсман изпрати писмо до Европейската комисия, с което я уведомява, че вследствие на жалба от гражданин ще бъде започнато разследване, за да бъде оценена целесъобразността на мерките, предприети от Комисията за предотвратяване на конфликти на интереси (или на усещането за такива конфликти) при назначаването на новия генерален директор на Службата за вътрешен одит. Службата за вътрешен одит и централните служби на Комисията отговориха на въпросите, зададени от Омбудсмана, и предоставиха всички необходими подкрепящи документи и информация, които бяха поискани.</w:t>
      </w:r>
    </w:p>
    <w:p>
      <w:pPr>
        <w:spacing w:after="240" w:line="240" w:lineRule="auto"/>
        <w:ind w:left="482"/>
        <w:jc w:val="both"/>
        <w:rPr>
          <w:noProof/>
        </w:rPr>
      </w:pPr>
      <w:r>
        <w:rPr>
          <w:rFonts w:ascii="EC Square Sans Pro" w:hAnsi="EC Square Sans Pro"/>
          <w:noProof/>
          <w:sz w:val="20"/>
          <w:szCs w:val="20"/>
        </w:rPr>
        <w:t xml:space="preserve">Омбудсманът приключи разследването на 23 юли 2019 г. </w:t>
      </w:r>
      <w:r>
        <w:rPr>
          <w:noProof/>
          <w:sz w:val="20"/>
          <w:szCs w:val="20"/>
        </w:rPr>
        <w:t>Омбудсманът приключи този случай</w:t>
      </w:r>
      <w:r>
        <w:rPr>
          <w:rFonts w:ascii="EC Square Sans Pro" w:hAnsi="EC Square Sans Pro"/>
          <w:noProof/>
          <w:sz w:val="20"/>
          <w:szCs w:val="20"/>
          <w:vertAlign w:val="superscript"/>
        </w:rPr>
        <w:t>(</w:t>
      </w:r>
      <w:r>
        <w:rPr>
          <w:rFonts w:ascii="EC Square Sans Pro" w:eastAsia="Times New Roman" w:hAnsi="EC Square Sans Pro" w:cs="Times New Roman"/>
          <w:noProof/>
          <w:sz w:val="20"/>
          <w:szCs w:val="20"/>
          <w:vertAlign w:val="superscript"/>
          <w:lang w:eastAsia="en-GB"/>
        </w:rPr>
        <w:footnoteReference w:id="15"/>
      </w:r>
      <w:r>
        <w:rPr>
          <w:rFonts w:ascii="EC Square Sans Pro" w:hAnsi="EC Square Sans Pro"/>
          <w:noProof/>
          <w:sz w:val="20"/>
          <w:szCs w:val="20"/>
          <w:vertAlign w:val="superscript"/>
        </w:rPr>
        <w:t>)</w:t>
      </w:r>
      <w:r>
        <w:rPr>
          <w:rFonts w:ascii="EC Square Sans Pro" w:hAnsi="EC Square Sans Pro"/>
          <w:noProof/>
          <w:sz w:val="20"/>
          <w:szCs w:val="20"/>
        </w:rPr>
        <w:t>, като заключи, че: i) Комисията е въвела целесъобразни мерки, за да избегне потенциални конфликти на интереси и да защити обективността на функцията на вътрешния одитор; и ii) не е било налице лошо администриране от страна на Комисията по отношение на това как е назначила генералния директор на своята Служба за вътрешен одит.</w:t>
      </w:r>
    </w:p>
    <w:sectPr>
      <w:headerReference w:type="even" r:id="rId28"/>
      <w:headerReference w:type="default" r:id="rId29"/>
      <w:footerReference w:type="even" r:id="rId30"/>
      <w:footerReference w:type="default" r:id="rId31"/>
      <w:headerReference w:type="first" r:id="rId32"/>
      <w:footerReference w:type="first" r:id="rId33"/>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sz w:val="20"/>
      </w:rPr>
    </w:pPr>
    <w:r>
      <w:rPr>
        <w:rFonts w:ascii="EC Square Sans Pro" w:hAnsi="EC Square Sans Pro"/>
        <w:sz w:val="20"/>
      </w:rPr>
      <w:fldChar w:fldCharType="begin"/>
    </w:r>
    <w:r>
      <w:rPr>
        <w:rFonts w:ascii="EC Square Sans Pro" w:hAnsi="EC Square Sans Pro"/>
        <w:sz w:val="20"/>
      </w:rPr>
      <w:instrText>PAGE   \* MERGEFORMAT</w:instrText>
    </w:r>
    <w:r>
      <w:rPr>
        <w:rFonts w:ascii="EC Square Sans Pro" w:hAnsi="EC Square Sans Pro"/>
        <w:sz w:val="20"/>
      </w:rPr>
      <w:fldChar w:fldCharType="separate"/>
    </w:r>
    <w:r>
      <w:rPr>
        <w:rFonts w:ascii="EC Square Sans Pro" w:hAnsi="EC Square Sans Pro"/>
        <w:noProof/>
        <w:sz w:val="20"/>
      </w:rPr>
      <w:t>1</w:t>
    </w:r>
    <w:r>
      <w:rPr>
        <w:rFonts w:ascii="EC Square Sans Pro" w:hAnsi="EC Square Sans Pro"/>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45517"/>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t>1</w:t>
        </w:r>
        <w: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pPr>
    <w:r>
      <w:fldChar w:fldCharType="begin"/>
    </w:r>
    <w:r>
      <w:instrText>PAGE   \* MERGEFORMAT</w:instrText>
    </w:r>
    <w:r>
      <w:fldChar w:fldCharType="separate"/>
    </w:r>
    <w: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rFonts w:ascii="EC Square Sans Pro" w:hAnsi="EC Square Sans Pro"/>
        <w:sz w:val="20"/>
      </w:rPr>
    </w:pPr>
    <w:r>
      <w:rPr>
        <w:rFonts w:ascii="EC Square Sans Pro" w:hAnsi="EC Square Sans Pro"/>
        <w:sz w:val="20"/>
      </w:rPr>
      <w:fldChar w:fldCharType="begin"/>
    </w:r>
    <w:r>
      <w:rPr>
        <w:rFonts w:ascii="EC Square Sans Pro" w:hAnsi="EC Square Sans Pro"/>
        <w:sz w:val="20"/>
      </w:rPr>
      <w:instrText>PAGE   \* MERGEFORMAT</w:instrText>
    </w:r>
    <w:r>
      <w:rPr>
        <w:rFonts w:ascii="EC Square Sans Pro" w:hAnsi="EC Square Sans Pro"/>
        <w:sz w:val="20"/>
      </w:rPr>
      <w:fldChar w:fldCharType="separate"/>
    </w:r>
    <w:r>
      <w:rPr>
        <w:rFonts w:ascii="EC Square Sans Pro" w:hAnsi="EC Square Sans Pro"/>
        <w:noProof/>
        <w:sz w:val="20"/>
      </w:rPr>
      <w:t>14</w:t>
    </w:r>
    <w:r>
      <w:rPr>
        <w:rFonts w:ascii="EC Square Sans Pro" w:hAnsi="EC Square Sans Pro"/>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80304"/>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er"/>
      </w:pPr>
      <w:r>
        <w:rPr>
          <w:vertAlign w:val="superscript"/>
        </w:rPr>
        <w:t>(</w:t>
      </w:r>
      <w:r>
        <w:rPr>
          <w:vertAlign w:val="superscript"/>
        </w:rPr>
        <w:footnoteRef/>
      </w:r>
      <w:r>
        <w:rPr>
          <w:vertAlign w:val="superscript"/>
        </w:rPr>
        <w:t>)</w:t>
      </w:r>
      <w:r>
        <w:t xml:space="preserve"> </w:t>
      </w:r>
      <w:r>
        <w:tab/>
        <w:t>Докладът не обхваща децентрализираните европейски агенции, Европейската служба за външна дейност и други органи, одитирани от Службата за вътрешен одит, които получават отделни годишни доклади.</w:t>
      </w:r>
    </w:p>
  </w:footnote>
  <w:footnote w:id="2">
    <w:p>
      <w:pPr>
        <w:pStyle w:val="Footer"/>
      </w:pPr>
      <w:r>
        <w:rPr>
          <w:vertAlign w:val="superscript"/>
        </w:rPr>
        <w:t>(</w:t>
      </w:r>
      <w:r>
        <w:rPr>
          <w:rStyle w:val="FootnoteReference"/>
          <w:vertAlign w:val="superscript"/>
        </w:rPr>
        <w:footnoteRef/>
      </w:r>
      <w:r>
        <w:rPr>
          <w:vertAlign w:val="superscript"/>
        </w:rPr>
        <w:t>)</w:t>
      </w:r>
      <w:r>
        <w:t xml:space="preserve"> </w:t>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(OВ L 193, 30.7.2018 г.).</w:t>
      </w:r>
    </w:p>
  </w:footnote>
  <w:footnote w:id="3">
    <w:p>
      <w:pPr>
        <w:pStyle w:val="Footer"/>
      </w:pPr>
      <w:r>
        <w:rPr>
          <w:vertAlign w:val="superscript"/>
        </w:rPr>
        <w:t>(</w:t>
      </w:r>
      <w:r>
        <w:rPr>
          <w:vertAlign w:val="superscript"/>
        </w:rPr>
        <w:footnoteRef/>
      </w:r>
      <w:r>
        <w:rPr>
          <w:vertAlign w:val="superscript"/>
        </w:rPr>
        <w:t>)</w:t>
      </w:r>
      <w:r>
        <w:t xml:space="preserve"> </w:t>
      </w:r>
      <w:r>
        <w:tab/>
        <w:t>Докладите за одит, изготвени през периода 1 февруари 2019 г. — 31 януари 2020 г., са включени в доклада.</w:t>
      </w:r>
    </w:p>
  </w:footnote>
  <w:footnote w:id="4">
    <w:p>
      <w:pPr>
        <w:pStyle w:val="Footer"/>
      </w:pPr>
      <w:r>
        <w:rPr>
          <w:vertAlign w:val="superscript"/>
        </w:rPr>
        <w:t>(</w:t>
      </w:r>
      <w:r>
        <w:rPr>
          <w:rStyle w:val="FootnoteReference"/>
          <w:vertAlign w:val="superscript"/>
        </w:rPr>
        <w:footnoteRef/>
      </w:r>
      <w:r>
        <w:rPr>
          <w:vertAlign w:val="superscript"/>
        </w:rPr>
        <w:t>)</w:t>
      </w:r>
      <w:r>
        <w:t xml:space="preserve"> </w:t>
      </w:r>
      <w:r>
        <w:tab/>
        <w:t>Съобщение до Комисията, Устав за мисията на Службата за вътрешен одит на Европейската Комисия, C(2020) 1760 final от 25 март 2020 г.</w:t>
      </w:r>
    </w:p>
  </w:footnote>
  <w:footnote w:id="5">
    <w:p>
      <w:pPr>
        <w:pStyle w:val="Footer"/>
      </w:pPr>
      <w:r>
        <w:rPr>
          <w:vertAlign w:val="superscript"/>
        </w:rPr>
        <w:t>(</w:t>
      </w:r>
      <w:r>
        <w:rPr>
          <w:rStyle w:val="FootnoteReference"/>
          <w:vertAlign w:val="superscript"/>
        </w:rPr>
        <w:footnoteRef/>
      </w:r>
      <w:r>
        <w:rPr>
          <w:vertAlign w:val="superscript"/>
        </w:rPr>
        <w:t>)</w:t>
      </w:r>
      <w:r>
        <w:t xml:space="preserve"> </w:t>
      </w:r>
      <w:r>
        <w:tab/>
        <w:t>В приложението, придружаващо настоящия доклад, е направен преглед на всички приключени ангажименти за одити и за последващи одити.</w:t>
      </w:r>
    </w:p>
  </w:footnote>
  <w:footnote w:id="6">
    <w:p>
      <w:pPr>
        <w:pStyle w:val="Footer"/>
      </w:pPr>
      <w:r>
        <w:rPr>
          <w:vertAlign w:val="superscript"/>
        </w:rPr>
        <w:t>(</w:t>
      </w:r>
      <w:r>
        <w:rPr>
          <w:rStyle w:val="FootnoteReference"/>
          <w:vertAlign w:val="superscript"/>
        </w:rPr>
        <w:footnoteRef/>
      </w:r>
      <w:r>
        <w:rPr>
          <w:vertAlign w:val="superscript"/>
        </w:rPr>
        <w:t>)</w:t>
      </w:r>
      <w:r>
        <w:t xml:space="preserve"> </w:t>
      </w:r>
      <w:r>
        <w:tab/>
        <w:t>Освен тези 155 ангажимента и докладите, в плана за одит за 2019 г. беше включен още един „друг“ ангажимент. Той касаеше дейността, извършена от вътрешна работна група по въпросите на иновациите и цифровото одитиране, която доведе до вътрешен доклад, адресиран до вътрешния одитор.</w:t>
      </w:r>
    </w:p>
  </w:footnote>
  <w:footnote w:id="7">
    <w:p>
      <w:pPr>
        <w:pStyle w:val="Footer"/>
      </w:pPr>
      <w:r>
        <w:rPr>
          <w:vertAlign w:val="superscript"/>
        </w:rPr>
        <w:t>(</w:t>
      </w:r>
      <w:r>
        <w:rPr>
          <w:rStyle w:val="FootnoteReference"/>
          <w:vertAlign w:val="superscript"/>
        </w:rPr>
        <w:footnoteRef/>
      </w:r>
      <w:r>
        <w:rPr>
          <w:vertAlign w:val="superscript"/>
        </w:rPr>
        <w:t>)</w:t>
      </w:r>
      <w:r>
        <w:t xml:space="preserve"> </w:t>
      </w:r>
      <w:r>
        <w:tab/>
        <w:t>Цялостен преглед на препоръките, отправени от Службата за вътрешен одит, се прави в доклада до Комитета за контрол на одитите от 27 март 2020 г. (Ares(2020)1799817).</w:t>
      </w:r>
    </w:p>
  </w:footnote>
  <w:footnote w:id="8">
    <w:p>
      <w:pPr>
        <w:pStyle w:val="Footer"/>
      </w:pPr>
      <w:r>
        <w:rPr>
          <w:vertAlign w:val="superscript"/>
        </w:rPr>
        <w:t>(</w:t>
      </w:r>
      <w:r>
        <w:rPr>
          <w:rStyle w:val="FootnoteReference"/>
          <w:vertAlign w:val="superscript"/>
        </w:rPr>
        <w:footnoteRef/>
      </w:r>
      <w:r>
        <w:rPr>
          <w:vertAlign w:val="superscript"/>
        </w:rPr>
        <w:t>)</w:t>
      </w:r>
      <w:r>
        <w:rPr>
          <w:rStyle w:val="FootnoteReference"/>
        </w:rPr>
        <w:t xml:space="preserve"> </w:t>
      </w:r>
      <w:r>
        <w:tab/>
        <w:t>От общо 1 950 препоръки, отправени в периода 2015—2019 г., 1 949 (99,9 %) са били (частично) приети от одитираните субекти (1 947 са били приети изцяло и 2 — частично приети), а една препоръка (0,1 %) е била отхвърлена.</w:t>
      </w:r>
    </w:p>
  </w:footnote>
  <w:footnote w:id="9">
    <w:p>
      <w:pPr>
        <w:pStyle w:val="Footer"/>
      </w:pPr>
      <w:r>
        <w:rPr>
          <w:vertAlign w:val="superscript"/>
        </w:rPr>
        <w:t>(</w:t>
      </w:r>
      <w:r>
        <w:rPr>
          <w:rStyle w:val="FootnoteReference"/>
          <w:vertAlign w:val="superscript"/>
        </w:rPr>
        <w:footnoteRef/>
      </w:r>
      <w:r>
        <w:rPr>
          <w:vertAlign w:val="superscript"/>
        </w:rPr>
        <w:t>)</w:t>
      </w:r>
      <w:r>
        <w:t xml:space="preserve"> </w:t>
      </w:r>
      <w:r>
        <w:tab/>
        <w:t>Диаграмата показва оценката на препоръките към крайната дата. Данните могат да се различават от оценката в първоначалния доклад, ако действията, предприети впоследствие от одитирания субект, са счетени от Службата за вътрешен одит за достатъчни за частично намаляване на установените рискове и следователно водят до понижаване на значимостта на препоръката.</w:t>
      </w:r>
    </w:p>
  </w:footnote>
  <w:footnote w:id="10">
    <w:p>
      <w:pPr>
        <w:pStyle w:val="Footer"/>
      </w:pPr>
      <w:r>
        <w:rPr>
          <w:vertAlign w:val="superscript"/>
        </w:rPr>
        <w:t>(</w:t>
      </w:r>
      <w:r>
        <w:rPr>
          <w:rStyle w:val="FootnoteReference"/>
          <w:vertAlign w:val="superscript"/>
        </w:rPr>
        <w:footnoteRef/>
      </w:r>
      <w:r>
        <w:rPr>
          <w:vertAlign w:val="superscript"/>
        </w:rPr>
        <w:t>)</w:t>
      </w:r>
      <w:r>
        <w:t xml:space="preserve"> </w:t>
      </w:r>
      <w:r>
        <w:tab/>
        <w:t>Службата за вътрешен одит извърши общо 31 одита на изпълнението и всеобхватни одита. За повече подробности вж. приложението.</w:t>
      </w:r>
    </w:p>
  </w:footnote>
  <w:footnote w:id="11">
    <w:p>
      <w:pPr>
        <w:pStyle w:val="Footer"/>
      </w:pPr>
      <w:r>
        <w:rPr>
          <w:vertAlign w:val="superscript"/>
        </w:rPr>
        <w:t>(</w:t>
      </w:r>
      <w:r>
        <w:rPr>
          <w:rStyle w:val="FootnoteReference"/>
          <w:vertAlign w:val="superscript"/>
        </w:rPr>
        <w:footnoteRef/>
      </w:r>
      <w:r>
        <w:rPr>
          <w:vertAlign w:val="superscript"/>
        </w:rPr>
        <w:t>)</w:t>
      </w:r>
      <w:r>
        <w:t xml:space="preserve"> </w:t>
      </w:r>
      <w:r>
        <w:tab/>
        <w:t>В генерална дирекция „Комуникации“, генерална дирекция „Устни преводи“, генерална дирекция „Писмени преводи“, Службата за инфраструктура и логистика в Брюксел, Службата за инфраструктура и логистика в Люксембург и Европейската служба за подбор на персонал.</w:t>
      </w:r>
    </w:p>
  </w:footnote>
  <w:footnote w:id="12">
    <w:p>
      <w:pPr>
        <w:pStyle w:val="Footer"/>
      </w:pPr>
      <w:r>
        <w:rPr>
          <w:vertAlign w:val="superscript"/>
        </w:rPr>
        <w:t>(</w:t>
      </w:r>
      <w:r>
        <w:rPr>
          <w:rStyle w:val="FootnoteReference"/>
          <w:vertAlign w:val="superscript"/>
        </w:rPr>
        <w:footnoteRef/>
      </w:r>
      <w:r>
        <w:rPr>
          <w:vertAlign w:val="superscript"/>
        </w:rPr>
        <w:t>)</w:t>
      </w:r>
      <w:r>
        <w:t xml:space="preserve"> </w:t>
      </w:r>
      <w:r>
        <w:tab/>
        <w:t>Освен за генерална дирекция „Отбранителна промишленост и космическо пространство“, за Центъра за вдъхновение, обсъждане, участие и ускоряване на действията и за Работната група за отношенията с Обединеното кралство.</w:t>
      </w:r>
    </w:p>
  </w:footnote>
  <w:footnote w:id="13">
    <w:p>
      <w:pPr>
        <w:pStyle w:val="Footer"/>
      </w:pPr>
      <w:r>
        <w:rPr>
          <w:vertAlign w:val="superscript"/>
        </w:rPr>
        <w:t>(</w:t>
      </w:r>
      <w:r>
        <w:rPr>
          <w:rStyle w:val="FootnoteReference"/>
          <w:vertAlign w:val="superscript"/>
        </w:rPr>
        <w:footnoteRef/>
      </w:r>
      <w:r>
        <w:rPr>
          <w:vertAlign w:val="superscript"/>
        </w:rPr>
        <w:t>)</w:t>
      </w:r>
      <w:r>
        <w:t xml:space="preserve"> </w:t>
      </w:r>
      <w:r>
        <w:tab/>
        <w:t>Следва да се отбележи, че след влизането в сила на новия Финансов регламент функциите на органите за разглеждане на финансови нередности на всички институции бяха прехвърлени на експертната комисия, отговаряща за системата за ранно откриване и отстраняване, по член 143 от Финансовия регламент.</w:t>
      </w:r>
    </w:p>
  </w:footnote>
  <w:footnote w:id="14">
    <w:p>
      <w:pPr>
        <w:pStyle w:val="Footer"/>
      </w:pPr>
      <w:r>
        <w:rPr>
          <w:vertAlign w:val="superscript"/>
        </w:rPr>
        <w:t>(</w:t>
      </w:r>
      <w:r>
        <w:rPr>
          <w:rStyle w:val="FootnoteReference"/>
          <w:vertAlign w:val="superscript"/>
        </w:rPr>
        <w:footnoteRef/>
      </w:r>
      <w:r>
        <w:rPr>
          <w:vertAlign w:val="superscript"/>
        </w:rPr>
        <w:t>)</w:t>
      </w:r>
      <w:r>
        <w:t xml:space="preserve"> </w:t>
      </w:r>
      <w:r>
        <w:tab/>
        <w:t>Международните стандарти за одит, които са изрично упоменати в член 98 („Назначаване на вътрешния одитор“) от Финансовия регламент, гласят следното: „Ако независимостта или обективността са реално накърнени или има съмнения за това, обстоятелствата, свързани с накърняването, задължително трябва да бъдат доведени до знанието на съответните лица. Начинът на оповестяването ще зависи от естеството на накърняването.“ (стандарт 1130 от IIA-IPPF). Освен това в стандартите се посочва, че: „вътрешните одитори трябва да се въздържат от оценяването на конкретни дейности, за които преди това са носели отговорност. Обективността се счита за накърнена, когато вътрешният одитор предоставя услуги за даване на увереност за дейност, за която вътрешният одитор е отговарял през предходната година.“ (IIA-IPPF, стандарт 1130.A1).</w:t>
      </w:r>
    </w:p>
  </w:footnote>
  <w:footnote w:id="15">
    <w:p>
      <w:pPr>
        <w:pStyle w:val="Footer"/>
      </w:pPr>
      <w:r>
        <w:rPr>
          <w:vertAlign w:val="superscript"/>
        </w:rPr>
        <w:t>(</w:t>
      </w:r>
      <w:r>
        <w:rPr>
          <w:rStyle w:val="FootnoteReference"/>
          <w:vertAlign w:val="superscript"/>
        </w:rPr>
        <w:footnoteRef/>
      </w:r>
      <w:r>
        <w:rPr>
          <w:vertAlign w:val="superscript"/>
        </w:rPr>
        <w:t>)</w:t>
      </w:r>
      <w:r>
        <w:t xml:space="preserve"> </w:t>
      </w:r>
      <w:r>
        <w:tab/>
        <w:t>Решение от 23 юли 2019 г. и за изменение на Решение от 30 октомври 2019 г., по дело 1324/2017/LM относно това как Европейската комисия е назначила генералния директор на своята Служба за вътрешен одит.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7BC0D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i w:val="0"/>
        <w:sz w:val="24"/>
        <w:szCs w:val="24"/>
      </w:rPr>
    </w:lvl>
    <w:lvl w:ilvl="3">
      <w:start w:val="1"/>
      <w:numFmt w:val="decimal"/>
      <w:lvlText w:val="%1.%2.%3.%4."/>
      <w:lvlJc w:val="left"/>
      <w:pPr>
        <w:tabs>
          <w:tab w:val="num" w:pos="2847"/>
        </w:tabs>
        <w:ind w:left="2847"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4100968"/>
    <w:multiLevelType w:val="hybridMultilevel"/>
    <w:tmpl w:val="02BC3216"/>
    <w:lvl w:ilvl="0" w:tplc="6DDE7148">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2">
    <w:nsid w:val="4A5E468D"/>
    <w:multiLevelType w:val="hybridMultilevel"/>
    <w:tmpl w:val="BF3282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7D0035D4"/>
    <w:multiLevelType w:val="hybridMultilevel"/>
    <w:tmpl w:val="A3881680"/>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
    <w:nsid w:val="7E80485B"/>
    <w:multiLevelType w:val="hybridMultilevel"/>
    <w:tmpl w:val="ED405E7C"/>
    <w:lvl w:ilvl="0" w:tplc="C908C318">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8B0B1FF6-4E4F-4642-8BC2-32EB361627AD"/>
    <w:docVar w:name="LW_COVERPAGE_TYPE" w:val="1"/>
    <w:docVar w:name="LW_CROSSREFERENCE" w:val="{SWD(2020) 117 final}"/>
    <w:docVar w:name="LW_DATE.ADOPT.CP_ISODATE" w:val="&lt;EMPTY&gt;"/>
    <w:docVar w:name="LW_DocType" w:val="NORMAL"/>
    <w:docVar w:name="LW_EMISSION" w:val="24.6.2020"/>
    <w:docVar w:name="LW_EMISSION_ISODATE" w:val="2020-06-24"/>
    <w:docVar w:name="LW_EMISSION_LOCATION" w:val="BRX"/>
    <w:docVar w:name="LW_EMISSION_PREFIX" w:val="Брюксел, "/>
    <w:docVar w:name="LW_EMISSION_SUFFIX" w:val=" \u1075?."/>
    <w:docVar w:name="LW_ID_DOCTYPE_NONLW" w:val="CP-003"/>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54? \u1045?\u1042?\u1056?\u1054?\u1055?\u1045?\u1049?\u1057?\u1050?\u1048?\u1071? \u1055?\u1040?\u1056?\u1051?\u1040?\u1052?\u1045?\u1053?\u1058?, \u1057?\u1066?\u1042?\u1045?\u1058?\u1040? \u1048? \u1057?\u1052?\u1045?\u1058?\u1053?\u1040?\u1058?\u1040? \u1055?\u1040?\u1051?\u1040?\u1058?\u1040?_x000d__x000d__x000d__x000d__x000d__x000d__x000d__x000b__x000d__x000d__x000d__x000d__x000d__x000d__x000d__x000b__x000d__x000d__x000d__x000d__x000d__x000d__x000d__x000b__x000d__x000d__x000d__x000d__x000d__x000d__x000d__x000b_&lt;FMT:Font=Calibri Cyr,Bold&gt;\u1043?\u1086?\u1076?\u1080?\u1096?\u1077?\u1085? \u1076?\u1086?\u1082?\u1083?\u1072?\u1076? \u1076?\u1086? \u1086?\u1088?\u1075?\u1072?\u1085?\u1072? \u1079?\u1072? \u1086?\u1089?\u1074?\u1086?\u1073?\u1086?\u1078?\u1076?\u1072?\u1074?\u1072?\u1085?\u1077? \u1086?\u1090? \u1086?\u1090?\u1075?\u1086?\u1074?\u1086?\u1088?\u1085?\u1086?\u1089?\u1090? \u1086?\u1090?\u1085?\u1086?\u1089?\u1085?\u1086? \u1074?\u1098?\u1090?\u1088?\u1077?\u1096?\u1085?\u1080?\u1090?\u1077? \u1086?\u1076?\u1080?\u1090?\u1080?, \u1080?\u1079?\u1074?\u1098?\u1088?\u1096?\u1077?\u1085?\u1080? \u1087?\u1088?\u1077?\u1079? 2019&lt;/FMT&gt;&lt;FMT:Font=Calibri,Bold&gt; &lt;/FMT&gt;&lt;FMT:Font=Calibri Cyr,Bold&gt;\u1075?.&lt;/FMT&gt;"/>
    <w:docVar w:name="LW_TYPE.DOC.CP" w:val="\u1044?\u1054?\u1050?\u1051?\u1040?\u1044? \u1053?\u1040? \u1050?\u1054?\u1052?\u1048?\u1057?\u1048?\u1071?\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Footer">
    <w:name w:val="footer"/>
    <w:basedOn w:val="Normal"/>
    <w:link w:val="FooterChar"/>
    <w:autoRedefine/>
    <w:uiPriority w:val="99"/>
    <w:unhideWhenUsed/>
    <w:pPr>
      <w:tabs>
        <w:tab w:val="center" w:pos="4513"/>
        <w:tab w:val="right" w:pos="9026"/>
      </w:tabs>
      <w:spacing w:after="0" w:line="240" w:lineRule="auto"/>
      <w:ind w:left="681" w:hanging="284"/>
    </w:pPr>
    <w:rPr>
      <w:rFonts w:ascii="EC Square Sans Pro" w:hAnsi="EC Square Sans Pro"/>
      <w:sz w:val="16"/>
    </w:rPr>
  </w:style>
  <w:style w:type="character" w:customStyle="1" w:styleId="FooterChar">
    <w:name w:val="Footer Char"/>
    <w:basedOn w:val="DefaultParagraphFont"/>
    <w:link w:val="Footer"/>
    <w:uiPriority w:val="99"/>
    <w:rPr>
      <w:rFonts w:ascii="EC Square Sans Pro" w:hAnsi="EC Square Sans Pro"/>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pPr>
      <w:spacing w:after="0" w:line="240" w:lineRule="auto"/>
    </w:p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Cs w:val="20"/>
      <w:lang w:eastAsia="en-GB"/>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uiPriority w:val="99"/>
    <w:qFormat/>
    <w:rPr>
      <w:rFonts w:ascii="EC Square Sans Pro" w:hAnsi="EC Square Sans Pro"/>
      <w:sz w:val="16"/>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link w:val="FootnoteReference"/>
    <w:autoRedefine/>
    <w:uiPriority w:val="99"/>
    <w:pPr>
      <w:spacing w:line="240" w:lineRule="exact"/>
      <w:ind w:left="720" w:hanging="720"/>
    </w:pPr>
    <w:rPr>
      <w:rFonts w:ascii="EC Square Sans Pro" w:hAnsi="EC Square Sans Pro"/>
      <w:sz w:val="16"/>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tabs>
        <w:tab w:val="left" w:pos="440"/>
        <w:tab w:val="right" w:leader="dot" w:pos="8931"/>
      </w:tabs>
      <w:spacing w:after="100"/>
    </w:pPr>
    <w:rPr>
      <w:color w:val="005D95"/>
    </w:rPr>
  </w:style>
  <w:style w:type="paragraph" w:styleId="TOC2">
    <w:name w:val="toc 2"/>
    <w:basedOn w:val="Normal"/>
    <w:next w:val="Normal"/>
    <w:autoRedefine/>
    <w:uiPriority w:val="39"/>
    <w:unhideWhenUsed/>
    <w:pPr>
      <w:tabs>
        <w:tab w:val="left" w:pos="880"/>
        <w:tab w:val="right" w:leader="dot" w:pos="8931"/>
      </w:tabs>
      <w:spacing w:after="100"/>
      <w:ind w:left="220"/>
    </w:pPr>
    <w:rPr>
      <w:color w:val="005D95"/>
    </w:rPr>
  </w:style>
  <w:style w:type="paragraph" w:styleId="TOC3">
    <w:name w:val="toc 3"/>
    <w:basedOn w:val="Normal"/>
    <w:next w:val="Normal"/>
    <w:autoRedefine/>
    <w:uiPriority w:val="39"/>
    <w:unhideWhenUsed/>
    <w:pPr>
      <w:tabs>
        <w:tab w:val="left" w:pos="1320"/>
        <w:tab w:val="right" w:leader="dot" w:pos="8931"/>
      </w:tabs>
      <w:spacing w:after="100"/>
      <w:ind w:left="440"/>
    </w:pPr>
    <w:rPr>
      <w:color w:val="005D95"/>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Footer">
    <w:name w:val="footer"/>
    <w:basedOn w:val="Normal"/>
    <w:link w:val="FooterChar"/>
    <w:autoRedefine/>
    <w:uiPriority w:val="99"/>
    <w:unhideWhenUsed/>
    <w:pPr>
      <w:tabs>
        <w:tab w:val="center" w:pos="4513"/>
        <w:tab w:val="right" w:pos="9026"/>
      </w:tabs>
      <w:spacing w:after="0" w:line="240" w:lineRule="auto"/>
      <w:ind w:left="681" w:hanging="284"/>
    </w:pPr>
    <w:rPr>
      <w:rFonts w:ascii="EC Square Sans Pro" w:hAnsi="EC Square Sans Pro"/>
      <w:sz w:val="16"/>
    </w:rPr>
  </w:style>
  <w:style w:type="character" w:customStyle="1" w:styleId="FooterChar">
    <w:name w:val="Footer Char"/>
    <w:basedOn w:val="DefaultParagraphFont"/>
    <w:link w:val="Footer"/>
    <w:uiPriority w:val="99"/>
    <w:rPr>
      <w:rFonts w:ascii="EC Square Sans Pro" w:hAnsi="EC Square Sans Pro"/>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Spacing">
    <w:name w:val="No Spacing"/>
    <w:uiPriority w:val="1"/>
    <w:qFormat/>
    <w:pPr>
      <w:spacing w:after="0" w:line="240" w:lineRule="auto"/>
    </w:p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Cs w:val="20"/>
      <w:lang w:eastAsia="en-GB"/>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uiPriority w:val="99"/>
    <w:qFormat/>
    <w:rPr>
      <w:rFonts w:ascii="EC Square Sans Pro" w:hAnsi="EC Square Sans Pro"/>
      <w:sz w:val="16"/>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link w:val="FootnoteReference"/>
    <w:autoRedefine/>
    <w:uiPriority w:val="99"/>
    <w:pPr>
      <w:spacing w:line="240" w:lineRule="exact"/>
      <w:ind w:left="720" w:hanging="720"/>
    </w:pPr>
    <w:rPr>
      <w:rFonts w:ascii="EC Square Sans Pro" w:hAnsi="EC Square Sans Pro"/>
      <w:sz w:val="16"/>
    </w:rPr>
  </w:style>
  <w:style w:type="paragraph" w:styleId="ListParagraph">
    <w:name w:val="List Paragraph"/>
    <w:basedOn w:val="Normal"/>
    <w:uiPriority w:val="34"/>
    <w:qFormat/>
    <w:pPr>
      <w:ind w:left="720"/>
      <w:contextualSpacing/>
    </w:pPr>
  </w:style>
  <w:style w:type="paragraph" w:styleId="TOC1">
    <w:name w:val="toc 1"/>
    <w:basedOn w:val="Normal"/>
    <w:next w:val="Normal"/>
    <w:autoRedefine/>
    <w:uiPriority w:val="39"/>
    <w:unhideWhenUsed/>
    <w:pPr>
      <w:tabs>
        <w:tab w:val="left" w:pos="440"/>
        <w:tab w:val="right" w:leader="dot" w:pos="8931"/>
      </w:tabs>
      <w:spacing w:after="100"/>
    </w:pPr>
    <w:rPr>
      <w:color w:val="005D95"/>
    </w:rPr>
  </w:style>
  <w:style w:type="paragraph" w:styleId="TOC2">
    <w:name w:val="toc 2"/>
    <w:basedOn w:val="Normal"/>
    <w:next w:val="Normal"/>
    <w:autoRedefine/>
    <w:uiPriority w:val="39"/>
    <w:unhideWhenUsed/>
    <w:pPr>
      <w:tabs>
        <w:tab w:val="left" w:pos="880"/>
        <w:tab w:val="right" w:leader="dot" w:pos="8931"/>
      </w:tabs>
      <w:spacing w:after="100"/>
      <w:ind w:left="220"/>
    </w:pPr>
    <w:rPr>
      <w:color w:val="005D95"/>
    </w:rPr>
  </w:style>
  <w:style w:type="paragraph" w:styleId="TOC3">
    <w:name w:val="toc 3"/>
    <w:basedOn w:val="Normal"/>
    <w:next w:val="Normal"/>
    <w:autoRedefine/>
    <w:uiPriority w:val="39"/>
    <w:unhideWhenUsed/>
    <w:pPr>
      <w:tabs>
        <w:tab w:val="left" w:pos="1320"/>
        <w:tab w:val="right" w:leader="dot" w:pos="8931"/>
      </w:tabs>
      <w:spacing w:after="100"/>
      <w:ind w:left="440"/>
    </w:pPr>
    <w:rPr>
      <w:color w:val="005D95"/>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4DCB68-C93E-45C9-AFC2-E0BE566E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6690</Words>
  <Characters>39072</Characters>
  <Application>Microsoft Office Word</Application>
  <DocSecurity>0</DocSecurity>
  <Lines>610</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31</cp:revision>
  <dcterms:created xsi:type="dcterms:W3CDTF">2020-06-15T13:58:00Z</dcterms:created>
  <dcterms:modified xsi:type="dcterms:W3CDTF">2020-07-08T14:58:00Z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ies>
</file>