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92A33768-E436-4FB5-8241-B7F60DC61BC2" style="width:450.75pt;height:424.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I — Приложими правни актове в областта на уменията, образованието и обучението</w:t>
      </w:r>
    </w:p>
    <w:p>
      <w:pPr>
        <w:pStyle w:val="NumPar1"/>
        <w:numPr>
          <w:ilvl w:val="0"/>
          <w:numId w:val="11"/>
        </w:numPr>
        <w:rPr>
          <w:noProof/>
        </w:rPr>
      </w:pPr>
      <w:r>
        <w:rPr>
          <w:noProof/>
        </w:rPr>
        <w:t>Решение на Съвета от 2 април 1963 г. за определяне на общи принципи за въвеждане на обща политика в областта на професионалното обучение</w:t>
      </w:r>
      <w:r>
        <w:rPr>
          <w:rStyle w:val="FootnoteReference"/>
          <w:noProof/>
        </w:rPr>
        <w:footnoteReference w:id="1"/>
      </w:r>
      <w:r>
        <w:rPr>
          <w:noProof/>
        </w:rPr>
        <w:t>.</w:t>
      </w:r>
    </w:p>
    <w:p>
      <w:pPr>
        <w:pStyle w:val="NumPar1"/>
        <w:rPr>
          <w:noProof/>
        </w:rPr>
      </w:pPr>
      <w:r>
        <w:rPr>
          <w:noProof/>
        </w:rPr>
        <w:t>В Препоръката на Съвета от 20 декември 2012 г. относно валидирането на неформалното и самостоятелното учене</w:t>
      </w:r>
      <w:r>
        <w:rPr>
          <w:rStyle w:val="FootnoteReference"/>
          <w:noProof/>
        </w:rPr>
        <w:footnoteReference w:id="2"/>
      </w:r>
      <w:r>
        <w:rPr>
          <w:noProof/>
        </w:rPr>
        <w:t xml:space="preserve"> държавите членки се призовават да въведат разпоредби за валидирането на неформалното и самостоятелното учене, които да дават на всяко лице възможността да придобие квалификации, отговарящи на установените стандарти, които са еднакви със или равностойни на стандартите за квалификациите, придобити чрез програмите за формално образование.</w:t>
      </w:r>
    </w:p>
    <w:p>
      <w:pPr>
        <w:pStyle w:val="NumPar1"/>
        <w:rPr>
          <w:noProof/>
        </w:rPr>
      </w:pPr>
      <w:r>
        <w:rPr>
          <w:noProof/>
        </w:rPr>
        <w:t>В Съвместния доклад на Съвета и на Комисията от 15 декември 2015 г. относно прилагането на стратегическата рамка за европейско сътрудничество в областта на образованието и обучението („Образование и обучение 2020“) в областта на ученето за възрастни се дава приоритет, наред с другото, на развиването на езикова и математическа грамотност и на цифрови умения, както и на предоставянето на достатъчно възможности за втори шанс, водещи до получаване на призната квалификация по ЕКР от лицата, които нямат квалификации на ниво 4 по ЕКР</w:t>
      </w:r>
      <w:r>
        <w:rPr>
          <w:rStyle w:val="FootnoteReference"/>
          <w:noProof/>
        </w:rPr>
        <w:footnoteReference w:id="3"/>
      </w:r>
      <w:r>
        <w:rPr>
          <w:noProof/>
        </w:rPr>
        <w:t>. Съвместният доклад включва и средносрочни цели за професионалното образование и обучение, една от които е подобряването на достъпа до квалификации за всички чрез по-голяма гъвкавост и пропускливост на системите за професионално образование и обучение, по-конкретно чрез предоставяне на ефективни и интегрирани услуги за професионално ориентиране и чрез осигуряване на валидиране на неформалното и информалното учене.</w:t>
      </w:r>
    </w:p>
    <w:p>
      <w:pPr>
        <w:pStyle w:val="NumPar1"/>
        <w:rPr>
          <w:noProof/>
        </w:rPr>
      </w:pPr>
      <w:r>
        <w:rPr>
          <w:noProof/>
        </w:rPr>
        <w:t>В Препоръката на Съвета от 19 декември 2016 г. относно повишаване на уменията: нови възможности за възрастните</w:t>
      </w:r>
      <w:r>
        <w:rPr>
          <w:rStyle w:val="FootnoteReference"/>
          <w:noProof/>
        </w:rPr>
        <w:footnoteReference w:id="4"/>
      </w:r>
      <w:r>
        <w:rPr>
          <w:noProof/>
        </w:rPr>
        <w:t xml:space="preserve"> държавите членки се призовават да подобрят достъпа до и използването на качествени възможности за учене, предлагани на възрастните със слаби умения, посредством три основни стъпки: оценка на уменията, предоставяне на персонализирани предложения за учене, както и валидиране и признаване на придобитите умения.</w:t>
      </w:r>
    </w:p>
    <w:p>
      <w:pPr>
        <w:pStyle w:val="NumPar1"/>
        <w:rPr>
          <w:noProof/>
        </w:rPr>
      </w:pPr>
      <w:r>
        <w:rPr>
          <w:noProof/>
        </w:rPr>
        <w:t>С Препоръката на Съвета от 22 май 2017 г. относно Европейската квалификационна рамка (ЕКР) за учене през целия живот</w:t>
      </w:r>
      <w:r>
        <w:rPr>
          <w:rStyle w:val="FootnoteReference"/>
          <w:noProof/>
        </w:rPr>
        <w:footnoteReference w:id="5"/>
      </w:r>
      <w:r>
        <w:rPr>
          <w:noProof/>
        </w:rPr>
        <w:t xml:space="preserve"> се гарантира, че спрямо квалификациите с ниво по ЕКР се прилагат общи принципи за осигуряване на качеството (приложение IV към Препоръката за ЕКР) и че когато тези квалификации се основават на кредити, се използват общи принципи за системите за кредити (приложение V към Препоръката за ЕКР). </w:t>
      </w:r>
    </w:p>
    <w:p>
      <w:pPr>
        <w:pStyle w:val="NumPar1"/>
        <w:rPr>
          <w:noProof/>
        </w:rPr>
      </w:pPr>
      <w:r>
        <w:rPr>
          <w:noProof/>
        </w:rPr>
        <w:t>В Препоръката на Съвета от 20 ноември 2017 г. относно проследяването на дипломираните лица</w:t>
      </w:r>
      <w:r>
        <w:rPr>
          <w:rStyle w:val="FootnoteReference"/>
          <w:noProof/>
        </w:rPr>
        <w:footnoteReference w:id="6"/>
      </w:r>
      <w:r>
        <w:rPr>
          <w:noProof/>
        </w:rPr>
        <w:t xml:space="preserve"> държавите членки се призовават до 2020 г. да подобрят наличността и качеството на данните за резултатите на дипломираните лица, завършили висше образование или професионално образование или обучение.</w:t>
      </w:r>
    </w:p>
    <w:p>
      <w:pPr>
        <w:pStyle w:val="NumPar1"/>
        <w:rPr>
          <w:noProof/>
        </w:rPr>
      </w:pPr>
      <w:r>
        <w:rPr>
          <w:noProof/>
        </w:rPr>
        <w:lastRenderedPageBreak/>
        <w:t>С Решение (ЕС) 2018/646 на Европейския парламент и на Съвета от 18 април 2018 г. относно обща рамка за предоставяне на по-добри услуги в областта на уменията и квалификациите („Европас“)</w:t>
      </w:r>
      <w:r>
        <w:rPr>
          <w:rStyle w:val="FootnoteReference"/>
          <w:noProof/>
        </w:rPr>
        <w:footnoteReference w:id="7"/>
      </w:r>
      <w:r>
        <w:rPr>
          <w:noProof/>
        </w:rPr>
        <w:t xml:space="preserve"> се създава платформа, подпомагаща документирането и описването на уменията и квалификациите и предоставяща на разположение на потребителите си (например търсещи работа, учащи се) електронно досие, което им позволява да съхраняват информация за уменията и квалификациите си и да създават автобиографии и заявления за работа. Платформата ще служи и като уебпортал, предлагащ информация за квалификациите и квалификационните системи, съответните насоки, валидирането, признаването и други теми, свързани с уменията и квалификациите. Новата услуга „Европас“ ще поддържа и услуги за установяване на автентичността (напр. цифрови подписи/сертификати).</w:t>
      </w:r>
    </w:p>
    <w:p>
      <w:pPr>
        <w:pStyle w:val="NumPar1"/>
        <w:rPr>
          <w:noProof/>
        </w:rPr>
      </w:pPr>
      <w:r>
        <w:rPr>
          <w:noProof/>
        </w:rPr>
        <w:t>В Препоръката на Съвета от 22 май 2018 г. относно ключовите компетентности за учене през целия живот</w:t>
      </w:r>
      <w:r>
        <w:rPr>
          <w:rStyle w:val="FootnoteReference"/>
          <w:noProof/>
        </w:rPr>
        <w:footnoteReference w:id="8"/>
      </w:r>
      <w:r>
        <w:rPr>
          <w:noProof/>
        </w:rPr>
        <w:t xml:space="preserve"> се подчертава необходимостта от предприемане на действия за развиване на ключови компетентности в перспективата на учене през целия живот и от осигуряване на подкрепа на всички нива на образование, обучение и учене, включително чрез доразвиване на първоначалното и продължаващото професионално образование и обучение.</w:t>
      </w:r>
    </w:p>
    <w:p>
      <w:pPr>
        <w:pStyle w:val="NumPar1"/>
        <w:rPr>
          <w:noProof/>
        </w:rPr>
      </w:pPr>
      <w:r>
        <w:rPr>
          <w:noProof/>
        </w:rPr>
        <w:t>В Препоръката на Съвета от 26 ноември 2018 г. относно насърчаването на автоматичното взаимно признаване на квалификациите за висше образование и за завършен гимназиален етап на средно образование и квалификациите по обучение и на резултатите от периоди на учене в чужбина</w:t>
      </w:r>
      <w:r>
        <w:rPr>
          <w:rStyle w:val="FootnoteReference"/>
          <w:noProof/>
        </w:rPr>
        <w:footnoteReference w:id="9"/>
      </w:r>
      <w:r>
        <w:rPr>
          <w:noProof/>
        </w:rPr>
        <w:t xml:space="preserve"> държавите членки се приканват да въведат необходимите мерки за постигане до 2025 г. на автоматично признаване на квалификациите за висше образование и за завършен гимназиален етап на средно образование, както и на признаване на резултатите от периодите на учене с оглед да се създаде европейско пространство за образование. В тази препоръка се подчертава необходимостта от по-нататъшно разработване на инструменти за осигуряване на качеството в професионалното образование и обучение в съответствие с Европейската референтна рамка за осигуряване на качество в професионалното образование и обучение и доразвиването ѝ с цел да се увеличи прозрачността и да се изгради взаимно доверие в системите за средно образование и обучение на отделните държави. За да се улеснят мобилността и признаването на резултатите от периодите на учене в чужбина, в Препоръката се призовава също за разширяване на използването на инструментите на ЕС, разработени в областта на професионалното образование и обучение, например инструментите, предоставени на разположение чрез онлайн платформата на „Европас“, както и чрез меморандума за разбирателство и споразумението за обучение, които са част от Европейската система за кредити в професионалното образование и обучение.</w:t>
      </w:r>
    </w:p>
    <w:p>
      <w:pPr>
        <w:pStyle w:val="NumPar1"/>
        <w:rPr>
          <w:noProof/>
        </w:rPr>
      </w:pPr>
      <w:r>
        <w:rPr>
          <w:noProof/>
        </w:rPr>
        <w:t>В заключенията на Съвета „Към визия за европейско образователно пространство“</w:t>
      </w:r>
      <w:r>
        <w:rPr>
          <w:rStyle w:val="FootnoteReference"/>
          <w:noProof/>
        </w:rPr>
        <w:footnoteReference w:id="10"/>
      </w:r>
      <w:r>
        <w:rPr>
          <w:noProof/>
        </w:rPr>
        <w:t xml:space="preserve"> се подчертава „че инициативите, включени в концепцията и бъдещите действия, които ще бъдат предложени и предприети като част от европейското образователно пространство, [...] следва да включват всички равнища и видове образование и обучение, включително образованието за възрастни и професионалното образование и обучение“.</w:t>
      </w:r>
    </w:p>
    <w:p>
      <w:pPr>
        <w:pStyle w:val="NumPar1"/>
        <w:rPr>
          <w:noProof/>
        </w:rPr>
      </w:pPr>
      <w:r>
        <w:rPr>
          <w:noProof/>
        </w:rPr>
        <w:t>В Резолюцията на Съвета относно по-нататъшното развитие на европейското пространство за образование в подкрепа на ориентирани към бъдещето системи за образование и обучение</w:t>
      </w:r>
      <w:r>
        <w:rPr>
          <w:rStyle w:val="FootnoteReference"/>
          <w:noProof/>
        </w:rPr>
        <w:footnoteReference w:id="11"/>
      </w:r>
      <w:r>
        <w:rPr>
          <w:noProof/>
        </w:rPr>
        <w:t xml:space="preserve"> се припомня, че „това пространство следва да бъде основано на процеса на учене през целия живот — от образованието и грижите в ранна детска възраст до училищното и професионалното образование и обучение, до висшето образование и ученето за възрастни“.</w:t>
      </w:r>
    </w:p>
    <w:p>
      <w:pPr>
        <w:pStyle w:val="NumPar1"/>
        <w:rPr>
          <w:noProof/>
        </w:rPr>
      </w:pPr>
      <w:r>
        <w:rPr>
          <w:noProof/>
        </w:rPr>
        <w:t>В заключенията на Съвета от 2019 г. във връзка с изпълнението на Препоръката на Съвета относно повишаване на уменията: нови възможности за възрастните</w:t>
      </w:r>
      <w:r>
        <w:rPr>
          <w:rStyle w:val="FootnoteReference"/>
          <w:noProof/>
        </w:rPr>
        <w:footnoteReference w:id="12"/>
      </w:r>
      <w:r>
        <w:rPr>
          <w:noProof/>
        </w:rPr>
        <w:t xml:space="preserve"> се подчертава необходимостта от въвеждане на устойчиви дългосрочни мерки за повишаване на уменията на възрастните и за преквалификацията им като част от един по-широк стратегически подход към развитието на уменията през целия живот.</w:t>
      </w:r>
    </w:p>
    <w:p>
      <w:pPr>
        <w:pStyle w:val="NumPar1"/>
        <w:rPr>
          <w:noProof/>
        </w:rPr>
      </w:pPr>
      <w:r>
        <w:rPr>
          <w:noProof/>
        </w:rPr>
        <w:t>В заключенията на Съвета от 2019 г. относно икономиката на благосъстоянието държавите членки се приканват също така да насърчават всеобхватните политики за учене през целия живот, както и развиването на умения и компетентности през целия живот.</w:t>
      </w:r>
    </w:p>
    <w:p>
      <w:pPr>
        <w:pStyle w:val="NumPar1"/>
        <w:ind w:left="851" w:hanging="851"/>
        <w:rPr>
          <w:noProof/>
        </w:rPr>
      </w:pPr>
      <w:r>
        <w:rPr>
          <w:noProof/>
        </w:rPr>
        <w:t>В съобщението на Комисията „Годишна стратегия за устойчив растеж за 2020 г.“</w:t>
      </w:r>
      <w:r>
        <w:rPr>
          <w:rStyle w:val="FootnoteReference"/>
          <w:noProof/>
        </w:rPr>
        <w:footnoteReference w:id="13"/>
      </w:r>
      <w:r>
        <w:rPr>
          <w:noProof/>
        </w:rPr>
        <w:t xml:space="preserve"> се определят приоритетите за превръщане на Съюза в устойчива икономика, за даване на тласък на двойния преход — към цифровизация и неутралност по отношение на климата, както и за преобразяване на нашата социална пазарна икономика, за да се гарантира, че европейските социални системи продължат да са най-усъвършенстваните в света и че Европа е динамичен център на иновации и конкурентоспособно предприемачество. В това съобщение се поставя силен акцент върху необходимостта от засилване на инвестициите в уменията и реформите на системите за образование и обучение.</w:t>
      </w:r>
    </w:p>
    <w:p>
      <w:pPr>
        <w:pStyle w:val="Text1"/>
        <w:tabs>
          <w:tab w:val="left" w:pos="1792"/>
        </w:tabs>
        <w:rPr>
          <w:noProof/>
        </w:rPr>
      </w:pPr>
      <w:r>
        <w:rPr>
          <w:noProof/>
        </w:rPr>
        <w:tab/>
      </w:r>
    </w:p>
    <w:p>
      <w:pPr>
        <w:tabs>
          <w:tab w:val="left" w:pos="1792"/>
        </w:tabs>
        <w:rPr>
          <w:noProof/>
        </w:rPr>
        <w:sectPr>
          <w:footerReference w:type="default" r:id="rId19"/>
          <w:footerReference w:type="first" r:id="rId20"/>
          <w:pgSz w:w="11907" w:h="16839"/>
          <w:pgMar w:top="1134" w:right="1417" w:bottom="1134" w:left="1417" w:header="709" w:footer="709" w:gutter="0"/>
          <w:cols w:space="720"/>
          <w:docGrid w:linePitch="360"/>
        </w:sectPr>
      </w:pPr>
      <w:r>
        <w:rPr>
          <w:noProof/>
        </w:rPr>
        <w:tab/>
      </w:r>
    </w:p>
    <w:p>
      <w:pPr>
        <w:pStyle w:val="Annexetitre"/>
        <w:rPr>
          <w:noProof/>
        </w:rPr>
      </w:pPr>
      <w:r>
        <w:rPr>
          <w:noProof/>
        </w:rPr>
        <w:t>ПРИЛОЖЕНИЕ II — Европейска референтна рамка за осигуряване на качеството в професионалното образование и обучение (EQAVET)</w:t>
      </w:r>
    </w:p>
    <w:p>
      <w:pPr>
        <w:widowControl w:val="0"/>
        <w:tabs>
          <w:tab w:val="left" w:pos="842"/>
        </w:tabs>
        <w:rPr>
          <w:rFonts w:eastAsia="Times New Roman"/>
          <w:b/>
          <w:noProof/>
          <w:szCs w:val="24"/>
        </w:rPr>
      </w:pPr>
      <w:r>
        <w:rPr>
          <w:b/>
          <w:noProof/>
          <w:szCs w:val="24"/>
        </w:rPr>
        <w:t xml:space="preserve">Част A. Примерни дескриптори на EQAVET </w:t>
      </w:r>
    </w:p>
    <w:p>
      <w:pPr>
        <w:rPr>
          <w:noProof/>
        </w:rPr>
      </w:pPr>
      <w:r>
        <w:rPr>
          <w:noProof/>
        </w:rPr>
        <w:t xml:space="preserve">Примерните дескриптори на EQAVET имат за цел да улеснят прилагането на тази рамка от държавите членки и доставчиците на ПОО. Те са структурирани по етапи от цикъла на качеството: </w:t>
      </w:r>
      <w:r>
        <w:rPr>
          <w:i/>
          <w:noProof/>
        </w:rPr>
        <w:t>планиране</w:t>
      </w:r>
      <w:r>
        <w:rPr>
          <w:noProof/>
        </w:rPr>
        <w:t xml:space="preserve"> — </w:t>
      </w:r>
      <w:r>
        <w:rPr>
          <w:i/>
          <w:noProof/>
        </w:rPr>
        <w:t>изпълнение</w:t>
      </w:r>
      <w:r>
        <w:rPr>
          <w:noProof/>
        </w:rPr>
        <w:t xml:space="preserve"> — </w:t>
      </w:r>
      <w:r>
        <w:rPr>
          <w:i/>
          <w:noProof/>
        </w:rPr>
        <w:t>оценяване</w:t>
      </w:r>
      <w:r>
        <w:rPr>
          <w:noProof/>
        </w:rPr>
        <w:t xml:space="preserve"> — </w:t>
      </w:r>
      <w:r>
        <w:rPr>
          <w:i/>
          <w:noProof/>
        </w:rPr>
        <w:t>преглед</w:t>
      </w:r>
      <w:r>
        <w:rPr>
          <w:noProof/>
        </w:rPr>
        <w:t>. Дескрипторите могат да се прилагат както за първоначалното, така и за продължаващото ПОО и да се използват за всички учебни среди: предоставяне на ПОО в училищна среда и учене в процеса на работа, включително схеми за чиракуване.</w:t>
      </w:r>
    </w:p>
    <w:tbl>
      <w:tblPr>
        <w:tblStyle w:val="TableGrid"/>
        <w:tblW w:w="5095" w:type="pct"/>
        <w:tblLook w:val="04A0" w:firstRow="1" w:lastRow="0" w:firstColumn="1" w:lastColumn="0" w:noHBand="0" w:noVBand="1"/>
      </w:tblPr>
      <w:tblGrid>
        <w:gridCol w:w="2027"/>
        <w:gridCol w:w="3841"/>
        <w:gridCol w:w="3597"/>
      </w:tblGrid>
      <w:tr>
        <w:trPr>
          <w:tblHeader/>
        </w:trPr>
        <w:tc>
          <w:tcPr>
            <w:tcW w:w="1031" w:type="pct"/>
            <w:shd w:val="clear" w:color="auto" w:fill="F2F2F2" w:themeFill="background1" w:themeFillShade="F2"/>
            <w:vAlign w:val="center"/>
          </w:tcPr>
          <w:p>
            <w:pPr>
              <w:jc w:val="center"/>
              <w:rPr>
                <w:rFonts w:eastAsia="Times New Roman"/>
                <w:b/>
                <w:noProof/>
                <w:szCs w:val="24"/>
              </w:rPr>
            </w:pPr>
            <w:r>
              <w:rPr>
                <w:b/>
                <w:noProof/>
                <w:szCs w:val="24"/>
              </w:rPr>
              <w:t>Критерии за качеството</w:t>
            </w:r>
          </w:p>
        </w:tc>
        <w:tc>
          <w:tcPr>
            <w:tcW w:w="2049" w:type="pct"/>
            <w:shd w:val="clear" w:color="auto" w:fill="F2F2F2" w:themeFill="background1" w:themeFillShade="F2"/>
            <w:vAlign w:val="center"/>
          </w:tcPr>
          <w:p>
            <w:pPr>
              <w:jc w:val="center"/>
              <w:rPr>
                <w:rFonts w:eastAsia="Times New Roman"/>
                <w:b/>
                <w:noProof/>
                <w:szCs w:val="24"/>
              </w:rPr>
            </w:pPr>
            <w:r>
              <w:rPr>
                <w:b/>
                <w:noProof/>
                <w:szCs w:val="24"/>
              </w:rPr>
              <w:t>Примерни дескриптори на равнище системи за ПОО</w:t>
            </w:r>
          </w:p>
        </w:tc>
        <w:tc>
          <w:tcPr>
            <w:tcW w:w="1920" w:type="pct"/>
            <w:shd w:val="clear" w:color="auto" w:fill="F2F2F2" w:themeFill="background1" w:themeFillShade="F2"/>
            <w:vAlign w:val="center"/>
          </w:tcPr>
          <w:p>
            <w:pPr>
              <w:jc w:val="center"/>
              <w:rPr>
                <w:rFonts w:eastAsia="Times New Roman"/>
                <w:b/>
                <w:noProof/>
                <w:szCs w:val="24"/>
              </w:rPr>
            </w:pPr>
            <w:r>
              <w:rPr>
                <w:b/>
                <w:noProof/>
                <w:szCs w:val="24"/>
              </w:rPr>
              <w:t>Примерни дескриптори на равнище доставчици на ПОО</w:t>
            </w:r>
          </w:p>
        </w:tc>
      </w:tr>
      <w:tr>
        <w:tc>
          <w:tcPr>
            <w:tcW w:w="1031" w:type="pct"/>
            <w:vAlign w:val="center"/>
          </w:tcPr>
          <w:p>
            <w:pPr>
              <w:jc w:val="left"/>
              <w:rPr>
                <w:noProof/>
              </w:rPr>
            </w:pPr>
            <w:r>
              <w:rPr>
                <w:noProof/>
              </w:rPr>
              <w:t>Планирането отразява стратегическа визия, споделяна от съответните заинтересовани страни, и включва ясни общи цели, действия и показатели</w:t>
            </w:r>
          </w:p>
        </w:tc>
        <w:tc>
          <w:tcPr>
            <w:tcW w:w="2049" w:type="pct"/>
            <w:vAlign w:val="center"/>
          </w:tcPr>
          <w:p>
            <w:pPr>
              <w:jc w:val="left"/>
              <w:rPr>
                <w:rFonts w:eastAsia="Times New Roman"/>
                <w:noProof/>
                <w:szCs w:val="24"/>
              </w:rPr>
            </w:pPr>
            <w:r>
              <w:rPr>
                <w:noProof/>
              </w:rPr>
              <w:t>Общите цели на ПОО са описани в средносрочен и дългосрочен план и са свързани с европейските цели и целите за устойчиво развитие, като се вземат предвид съображенията за екологична устойчивост</w:t>
            </w:r>
          </w:p>
          <w:p>
            <w:pPr>
              <w:jc w:val="left"/>
              <w:rPr>
                <w:rFonts w:eastAsia="Times New Roman"/>
                <w:noProof/>
                <w:szCs w:val="24"/>
              </w:rPr>
            </w:pPr>
            <w:r>
              <w:rPr>
                <w:noProof/>
              </w:rPr>
              <w:t>Социалните партньори и всички други съответни заинтересовани страни участват в определянето на общите цели на ПОО на различни равнища</w:t>
            </w:r>
          </w:p>
          <w:p>
            <w:pPr>
              <w:jc w:val="left"/>
              <w:rPr>
                <w:rFonts w:eastAsia="Times New Roman"/>
                <w:noProof/>
                <w:szCs w:val="24"/>
              </w:rPr>
            </w:pPr>
            <w:r>
              <w:rPr>
                <w:noProof/>
              </w:rPr>
              <w:t>Конкретните цели са определени и се проследяват чрез специфични показатели (критерии за успеваемостта)</w:t>
            </w:r>
          </w:p>
          <w:p>
            <w:pPr>
              <w:jc w:val="left"/>
              <w:rPr>
                <w:rFonts w:eastAsia="Times New Roman"/>
                <w:noProof/>
                <w:szCs w:val="24"/>
              </w:rPr>
            </w:pPr>
            <w:r>
              <w:rPr>
                <w:noProof/>
              </w:rPr>
              <w:t>Създадени са механизми и процедури за установяване на потребностите от обучение, съществуващи на пазара на труда и в обществото</w:t>
            </w:r>
          </w:p>
          <w:p>
            <w:pPr>
              <w:spacing w:after="240"/>
              <w:jc w:val="left"/>
              <w:rPr>
                <w:rFonts w:eastAsia="Times New Roman"/>
                <w:noProof/>
                <w:szCs w:val="24"/>
              </w:rPr>
            </w:pPr>
            <w:r>
              <w:rPr>
                <w:noProof/>
              </w:rPr>
              <w:t>Създадена е информационна политика, с която да се осигури оптимално оповестяване на резултатите по отношение на качеството, като същевременно се спазват националните/регионалните изисквания за защита на данните</w:t>
            </w:r>
          </w:p>
          <w:p>
            <w:pPr>
              <w:spacing w:after="240"/>
              <w:jc w:val="left"/>
              <w:rPr>
                <w:rFonts w:eastAsia="Times New Roman"/>
                <w:noProof/>
                <w:szCs w:val="24"/>
              </w:rPr>
            </w:pPr>
            <w:r>
              <w:rPr>
                <w:noProof/>
              </w:rPr>
              <w:t>Определени са стандарти и насоки за признаване, валидиране и сертифициране на компетенциите на лицата</w:t>
            </w:r>
          </w:p>
          <w:p>
            <w:pPr>
              <w:jc w:val="left"/>
              <w:rPr>
                <w:noProof/>
                <w:spacing w:val="-4"/>
                <w:szCs w:val="24"/>
              </w:rPr>
            </w:pPr>
            <w:r>
              <w:rPr>
                <w:noProof/>
                <w:spacing w:val="-4"/>
              </w:rPr>
              <w:t>Квалификациите по ПОО са описани чрез резултатите от ученето</w:t>
            </w:r>
          </w:p>
          <w:p>
            <w:pPr>
              <w:jc w:val="left"/>
              <w:rPr>
                <w:noProof/>
                <w:szCs w:val="24"/>
              </w:rPr>
            </w:pPr>
            <w:r>
              <w:rPr>
                <w:noProof/>
              </w:rPr>
              <w:t>Създадени са механизми за осигуряване на качеството при замислянето, оценяването и прегледа на квалификациите</w:t>
            </w:r>
          </w:p>
          <w:p>
            <w:pPr>
              <w:jc w:val="left"/>
              <w:rPr>
                <w:noProof/>
              </w:rPr>
            </w:pPr>
            <w:r>
              <w:rPr>
                <w:noProof/>
              </w:rPr>
              <w:t>Програмите за ПОО са създадени така, че да дават възможност за гъвкави процеси на учене и да реагират бързо на променящите се потребности на пазара на труда</w:t>
            </w:r>
          </w:p>
        </w:tc>
        <w:tc>
          <w:tcPr>
            <w:tcW w:w="1920" w:type="pct"/>
            <w:vAlign w:val="center"/>
          </w:tcPr>
          <w:p>
            <w:pPr>
              <w:jc w:val="left"/>
              <w:rPr>
                <w:rFonts w:eastAsia="Times New Roman"/>
                <w:noProof/>
                <w:szCs w:val="24"/>
              </w:rPr>
            </w:pPr>
            <w:r>
              <w:rPr>
                <w:noProof/>
              </w:rPr>
              <w:t>Европейските, националните и регионалните общи цели на политиката в областта на ПОО са отразени в местните конкретни цели, определени от доставчиците на ПОО</w:t>
            </w:r>
          </w:p>
          <w:p>
            <w:pPr>
              <w:jc w:val="left"/>
              <w:rPr>
                <w:rFonts w:eastAsia="Times New Roman"/>
                <w:noProof/>
                <w:szCs w:val="24"/>
              </w:rPr>
            </w:pPr>
            <w:r>
              <w:rPr>
                <w:noProof/>
              </w:rPr>
              <w:t>Определени са и се проследяват ясни общи и конкретни цели и са създадени програми за постигането им</w:t>
            </w:r>
          </w:p>
          <w:p>
            <w:pPr>
              <w:jc w:val="left"/>
              <w:rPr>
                <w:rFonts w:eastAsia="Times New Roman"/>
                <w:noProof/>
                <w:szCs w:val="24"/>
              </w:rPr>
            </w:pPr>
            <w:r>
              <w:rPr>
                <w:noProof/>
              </w:rPr>
              <w:t>Със социалните партньори и всички други съответни заинтересовани страни се провеждат постоянни консултации с цел да се установят специфичните местни/индивидуални потребности</w:t>
            </w:r>
          </w:p>
          <w:p>
            <w:pPr>
              <w:jc w:val="left"/>
              <w:rPr>
                <w:rFonts w:eastAsia="Times New Roman"/>
                <w:noProof/>
                <w:szCs w:val="24"/>
              </w:rPr>
            </w:pPr>
            <w:r>
              <w:rPr>
                <w:noProof/>
              </w:rPr>
              <w:t>Отговорностите по управлението и развитието на качеството са ясно разпределени</w:t>
            </w:r>
          </w:p>
          <w:p>
            <w:pPr>
              <w:jc w:val="left"/>
              <w:rPr>
                <w:rFonts w:eastAsia="Times New Roman"/>
                <w:noProof/>
                <w:szCs w:val="24"/>
              </w:rPr>
            </w:pPr>
            <w:r>
              <w:rPr>
                <w:noProof/>
              </w:rPr>
              <w:t>Служителите участват на ранен етап в планирането, включително по отношение на развитието на качеството</w:t>
            </w:r>
          </w:p>
          <w:p>
            <w:pPr>
              <w:jc w:val="left"/>
              <w:rPr>
                <w:rFonts w:eastAsia="Times New Roman"/>
                <w:noProof/>
                <w:szCs w:val="24"/>
              </w:rPr>
            </w:pPr>
            <w:r>
              <w:rPr>
                <w:noProof/>
              </w:rPr>
              <w:t>Доставчиците планират инициативи за сътрудничество със съответните заинтересовани страни</w:t>
            </w:r>
          </w:p>
          <w:p>
            <w:pPr>
              <w:spacing w:after="240"/>
              <w:jc w:val="left"/>
              <w:rPr>
                <w:rFonts w:eastAsia="Times New Roman"/>
                <w:noProof/>
                <w:szCs w:val="24"/>
              </w:rPr>
            </w:pPr>
            <w:r>
              <w:rPr>
                <w:noProof/>
              </w:rPr>
              <w:t>Съответните заинтересовани страни участват в процеса на анализиране на местните потребности</w:t>
            </w:r>
          </w:p>
          <w:p>
            <w:pPr>
              <w:jc w:val="left"/>
              <w:rPr>
                <w:rFonts w:eastAsia="Times New Roman"/>
                <w:noProof/>
                <w:szCs w:val="24"/>
              </w:rPr>
            </w:pPr>
            <w:r>
              <w:rPr>
                <w:noProof/>
              </w:rPr>
              <w:t>Доставчиците на ПОО разполагат с ясна и прозрачна система за осигуряване на качеството</w:t>
            </w:r>
          </w:p>
          <w:p>
            <w:pPr>
              <w:jc w:val="left"/>
              <w:rPr>
                <w:rFonts w:eastAsia="Times New Roman"/>
                <w:noProof/>
                <w:szCs w:val="24"/>
              </w:rPr>
            </w:pPr>
            <w:r>
              <w:rPr>
                <w:noProof/>
              </w:rPr>
              <w:t>Определени са мерки за спазване на правилата за защита на данните</w:t>
            </w:r>
          </w:p>
          <w:p>
            <w:pPr>
              <w:jc w:val="left"/>
              <w:rPr>
                <w:noProof/>
              </w:rPr>
            </w:pPr>
          </w:p>
        </w:tc>
      </w:tr>
      <w:tr>
        <w:tc>
          <w:tcPr>
            <w:tcW w:w="1031" w:type="pct"/>
            <w:vAlign w:val="center"/>
          </w:tcPr>
          <w:p>
            <w:pPr>
              <w:jc w:val="left"/>
              <w:rPr>
                <w:noProof/>
              </w:rPr>
            </w:pPr>
            <w:r>
              <w:rPr>
                <w:noProof/>
              </w:rPr>
              <w:t>Плановете за изпълнение са изготвени въз основа на консултации със заинтересованите страни и съдържат ясни принципи</w:t>
            </w:r>
          </w:p>
        </w:tc>
        <w:tc>
          <w:tcPr>
            <w:tcW w:w="2049" w:type="pct"/>
            <w:vAlign w:val="center"/>
          </w:tcPr>
          <w:p>
            <w:pPr>
              <w:spacing w:before="0"/>
              <w:jc w:val="left"/>
              <w:rPr>
                <w:rFonts w:eastAsia="Times New Roman"/>
                <w:noProof/>
                <w:spacing w:val="-4"/>
                <w:szCs w:val="24"/>
              </w:rPr>
            </w:pPr>
            <w:r>
              <w:rPr>
                <w:noProof/>
                <w:spacing w:val="-4"/>
              </w:rPr>
              <w:t>Плановете за изпълнение са изготвени в сътрудничество със социалните партньори, доставчиците на ПОО и други съответни заинтересовани страни на различните равнища</w:t>
            </w:r>
          </w:p>
          <w:p>
            <w:pPr>
              <w:spacing w:after="0"/>
              <w:jc w:val="left"/>
              <w:rPr>
                <w:rFonts w:eastAsia="Times New Roman"/>
                <w:noProof/>
                <w:spacing w:val="-4"/>
                <w:szCs w:val="24"/>
              </w:rPr>
            </w:pPr>
            <w:r>
              <w:rPr>
                <w:noProof/>
                <w:spacing w:val="-4"/>
              </w:rPr>
              <w:t>В плановете за изпълнение се разглеждат необходимите ресурси, възможностите на потребителите и необходимите инструменти и насоки за подкрепа</w:t>
            </w:r>
          </w:p>
          <w:p>
            <w:pPr>
              <w:spacing w:after="0"/>
              <w:jc w:val="left"/>
              <w:rPr>
                <w:rFonts w:eastAsia="Times New Roman"/>
                <w:noProof/>
                <w:spacing w:val="-4"/>
                <w:szCs w:val="24"/>
              </w:rPr>
            </w:pPr>
            <w:r>
              <w:rPr>
                <w:noProof/>
                <w:spacing w:val="-4"/>
              </w:rPr>
              <w:t>Изготвени са насоки и стандарти за изпълнението на различни равнища. Тези насоки и стандарти включват оценяването, валидирането и сертифицирането на квалификациите</w:t>
            </w:r>
          </w:p>
          <w:p>
            <w:pPr>
              <w:spacing w:after="0"/>
              <w:jc w:val="left"/>
              <w:rPr>
                <w:rFonts w:eastAsia="Times New Roman"/>
                <w:noProof/>
                <w:spacing w:val="-4"/>
                <w:szCs w:val="24"/>
              </w:rPr>
            </w:pPr>
            <w:r>
              <w:rPr>
                <w:noProof/>
                <w:spacing w:val="-4"/>
              </w:rPr>
              <w:t>Плановете за изпълнение включват специална подкрепа за обучението на преподаватели и обучители, в това число за цифрови умения и екологична устойчивост</w:t>
            </w:r>
          </w:p>
          <w:p>
            <w:pPr>
              <w:spacing w:after="0"/>
              <w:jc w:val="left"/>
              <w:rPr>
                <w:rFonts w:eastAsia="Times New Roman"/>
                <w:noProof/>
                <w:spacing w:val="-4"/>
                <w:szCs w:val="24"/>
              </w:rPr>
            </w:pPr>
            <w:r>
              <w:rPr>
                <w:noProof/>
                <w:spacing w:val="-4"/>
              </w:rPr>
              <w:t>Отговорностите на доставчиците на ПОО в процеса на изпълнение са ясно описани и прозрачни</w:t>
            </w:r>
          </w:p>
          <w:p>
            <w:pPr>
              <w:jc w:val="left"/>
              <w:rPr>
                <w:noProof/>
              </w:rPr>
            </w:pPr>
            <w:r>
              <w:rPr>
                <w:noProof/>
                <w:spacing w:val="-4"/>
              </w:rPr>
              <w:t>Създадени са национална и/или регионална рамка за осигуряване на качеството, включващи насоки и стандарти за качеството на равнище доставчици на ПОО, чиято цел е да насърчават</w:t>
            </w:r>
            <w:r>
              <w:rPr>
                <w:noProof/>
              </w:rPr>
              <w:t xml:space="preserve"> постоянното подобряване и саморегулирането</w:t>
            </w:r>
          </w:p>
        </w:tc>
        <w:tc>
          <w:tcPr>
            <w:tcW w:w="1920" w:type="pct"/>
            <w:vAlign w:val="center"/>
          </w:tcPr>
          <w:p>
            <w:pPr>
              <w:jc w:val="left"/>
              <w:rPr>
                <w:rFonts w:eastAsia="Times New Roman"/>
                <w:noProof/>
                <w:szCs w:val="24"/>
              </w:rPr>
            </w:pPr>
            <w:r>
              <w:rPr>
                <w:noProof/>
              </w:rPr>
              <w:t>Ресурсите са подходящо съобразени/разпределени на вътрешно равнище с оглед да се постигнат конкретните цели, определени в плановете за изпълнение</w:t>
            </w:r>
          </w:p>
          <w:p>
            <w:pPr>
              <w:jc w:val="left"/>
              <w:rPr>
                <w:rFonts w:eastAsia="Times New Roman"/>
                <w:noProof/>
                <w:szCs w:val="24"/>
              </w:rPr>
            </w:pPr>
            <w:r>
              <w:rPr>
                <w:noProof/>
              </w:rPr>
              <w:t>Ясно се подкрепят подходящи и приобщаващи партньорства, включително между преподавателите и обучителите, с цел изпълнение на планираните действия</w:t>
            </w:r>
          </w:p>
          <w:p>
            <w:pPr>
              <w:jc w:val="left"/>
              <w:rPr>
                <w:rFonts w:eastAsia="Times New Roman"/>
                <w:noProof/>
                <w:szCs w:val="24"/>
              </w:rPr>
            </w:pPr>
            <w:r>
              <w:rPr>
                <w:noProof/>
              </w:rPr>
              <w:t>В стратегическия план за развитие на компетенциите на служителите са посочени потребностите от обучение на преподавателите и обучителите</w:t>
            </w:r>
          </w:p>
          <w:p>
            <w:pPr>
              <w:jc w:val="left"/>
              <w:rPr>
                <w:rFonts w:eastAsia="Times New Roman"/>
                <w:noProof/>
                <w:szCs w:val="24"/>
              </w:rPr>
            </w:pPr>
            <w:r>
              <w:rPr>
                <w:noProof/>
              </w:rPr>
              <w:t>Служителите участват в редовни обучения и развиват сътрудничество със съответни външни заинтересовани страни с цел да се подкрепят изграждането на капацитет и подобряването на качеството и да се подобри работата</w:t>
            </w:r>
          </w:p>
          <w:p>
            <w:pPr>
              <w:spacing w:after="240"/>
              <w:jc w:val="left"/>
              <w:rPr>
                <w:noProof/>
                <w:szCs w:val="24"/>
              </w:rPr>
            </w:pPr>
            <w:r>
              <w:rPr>
                <w:noProof/>
              </w:rPr>
              <w:t>Програмите на доставчиците на ПОО дават възможност на учащите се да постигат очакваните резултати от ученето и да се включат в учебния процес</w:t>
            </w:r>
          </w:p>
          <w:p>
            <w:pPr>
              <w:jc w:val="left"/>
              <w:rPr>
                <w:noProof/>
                <w:szCs w:val="24"/>
              </w:rPr>
            </w:pPr>
            <w:r>
              <w:rPr>
                <w:noProof/>
              </w:rPr>
              <w:t>Доставчиците на ПОО отговарят на потребностите от учене на отделните лица, като използват ориентиран към учащите се подход, който им дава възможност да постигат очакваните резултати от ученето</w:t>
            </w:r>
          </w:p>
          <w:p>
            <w:pPr>
              <w:jc w:val="left"/>
              <w:rPr>
                <w:noProof/>
                <w:szCs w:val="24"/>
              </w:rPr>
            </w:pPr>
            <w:r>
              <w:rPr>
                <w:noProof/>
              </w:rPr>
              <w:t>Доставчиците на ПОО насърчават иновациите в методите на преподаване и учене, както в училищата, така и на работното място, подкрепени чрез използване на цифрови технологии и на инструменти за учене онлайн</w:t>
            </w:r>
          </w:p>
          <w:p>
            <w:pPr>
              <w:jc w:val="left"/>
              <w:rPr>
                <w:noProof/>
              </w:rPr>
            </w:pPr>
            <w:r>
              <w:rPr>
                <w:noProof/>
              </w:rPr>
              <w:t>Доставчиците на ПОО използват валидни, точни и надеждни методи за оценяване на резултатите от ученето, постигнати от отделните лица</w:t>
            </w:r>
          </w:p>
        </w:tc>
      </w:tr>
      <w:tr>
        <w:tc>
          <w:tcPr>
            <w:tcW w:w="1031" w:type="pct"/>
            <w:vAlign w:val="center"/>
          </w:tcPr>
          <w:p>
            <w:pPr>
              <w:jc w:val="left"/>
              <w:rPr>
                <w:rFonts w:eastAsia="Times New Roman"/>
                <w:noProof/>
                <w:szCs w:val="24"/>
              </w:rPr>
            </w:pPr>
            <w:r>
              <w:rPr>
                <w:noProof/>
              </w:rPr>
              <w:t>Извършва се редовно оценяване на резултатите и процесите,</w:t>
            </w:r>
          </w:p>
          <w:p>
            <w:pPr>
              <w:jc w:val="left"/>
              <w:rPr>
                <w:noProof/>
              </w:rPr>
            </w:pPr>
            <w:r>
              <w:rPr>
                <w:noProof/>
              </w:rPr>
              <w:t>подкрепено от измерване</w:t>
            </w:r>
          </w:p>
        </w:tc>
        <w:tc>
          <w:tcPr>
            <w:tcW w:w="2049" w:type="pct"/>
            <w:vAlign w:val="center"/>
          </w:tcPr>
          <w:p>
            <w:pPr>
              <w:jc w:val="left"/>
              <w:rPr>
                <w:rFonts w:eastAsia="Times New Roman"/>
                <w:noProof/>
                <w:szCs w:val="24"/>
              </w:rPr>
            </w:pPr>
            <w:r>
              <w:rPr>
                <w:noProof/>
              </w:rPr>
              <w:t>Създадена е методика за оценяване, включваща вътрешно и външно оценяване</w:t>
            </w:r>
          </w:p>
          <w:p>
            <w:pPr>
              <w:jc w:val="left"/>
              <w:rPr>
                <w:rFonts w:eastAsia="Times New Roman"/>
                <w:noProof/>
                <w:szCs w:val="24"/>
              </w:rPr>
            </w:pPr>
            <w:r>
              <w:rPr>
                <w:noProof/>
              </w:rPr>
              <w:t>Участието на заинтересованите страни в процеса на проследяване и оценяване е одобрено и ясно описано</w:t>
            </w:r>
          </w:p>
          <w:p>
            <w:pPr>
              <w:jc w:val="left"/>
              <w:rPr>
                <w:rFonts w:eastAsia="Times New Roman"/>
                <w:noProof/>
                <w:szCs w:val="24"/>
              </w:rPr>
            </w:pPr>
            <w:r>
              <w:rPr>
                <w:noProof/>
              </w:rPr>
              <w:t>Националните/регионалните стандарти и процеси за осигуряване и подобряване на качеството съответстват и са пропорционални на потребностите на сектора</w:t>
            </w:r>
          </w:p>
          <w:p>
            <w:pPr>
              <w:jc w:val="left"/>
              <w:rPr>
                <w:rFonts w:eastAsia="Times New Roman"/>
                <w:noProof/>
                <w:szCs w:val="24"/>
              </w:rPr>
            </w:pPr>
            <w:r>
              <w:rPr>
                <w:noProof/>
              </w:rPr>
              <w:t>Системите подлежат на самооценка и на вътрешен и външен преглед в зависимост от нуждите</w:t>
            </w:r>
          </w:p>
          <w:p>
            <w:pPr>
              <w:jc w:val="left"/>
              <w:rPr>
                <w:rFonts w:eastAsia="Times New Roman"/>
                <w:noProof/>
                <w:szCs w:val="24"/>
              </w:rPr>
            </w:pPr>
            <w:r>
              <w:rPr>
                <w:noProof/>
              </w:rPr>
              <w:t>Прилагат се системи за ранно предупреждение</w:t>
            </w:r>
          </w:p>
          <w:p>
            <w:pPr>
              <w:jc w:val="left"/>
              <w:rPr>
                <w:rFonts w:eastAsia="Times New Roman"/>
                <w:noProof/>
                <w:szCs w:val="24"/>
              </w:rPr>
            </w:pPr>
            <w:r>
              <w:rPr>
                <w:noProof/>
              </w:rPr>
              <w:t>Прилагат се показатели за работата</w:t>
            </w:r>
          </w:p>
          <w:p>
            <w:pPr>
              <w:jc w:val="left"/>
              <w:rPr>
                <w:noProof/>
              </w:rPr>
            </w:pPr>
            <w:r>
              <w:rPr>
                <w:noProof/>
              </w:rPr>
              <w:t>Събират се редовно и съгласувано релевантни данни, за да се измери успеваемостта и да се определят областите за подобрение. Създадени са подходящи методи за събиране на данни, например въпросници и показатели/измерими критерии</w:t>
            </w:r>
          </w:p>
        </w:tc>
        <w:tc>
          <w:tcPr>
            <w:tcW w:w="1920" w:type="pct"/>
            <w:vAlign w:val="center"/>
          </w:tcPr>
          <w:p>
            <w:pPr>
              <w:jc w:val="left"/>
              <w:rPr>
                <w:rFonts w:eastAsia="Times New Roman"/>
                <w:noProof/>
                <w:szCs w:val="24"/>
              </w:rPr>
            </w:pPr>
            <w:r>
              <w:rPr>
                <w:noProof/>
              </w:rPr>
              <w:t>Извършва се периодично самооценяване съгласно националните и регионалните нормативни уредби/рамки или по инициатива на доставчиците на ПОО, което обхваща също така цифровата подготвеност и екологичната устойчивост на институциите за ПОО</w:t>
            </w:r>
          </w:p>
          <w:p>
            <w:pPr>
              <w:jc w:val="left"/>
              <w:rPr>
                <w:rFonts w:eastAsia="Times New Roman"/>
                <w:noProof/>
                <w:spacing w:val="-4"/>
                <w:szCs w:val="24"/>
              </w:rPr>
            </w:pPr>
            <w:r>
              <w:rPr>
                <w:noProof/>
                <w:spacing w:val="-4"/>
              </w:rPr>
              <w:t>Оценяването и прегледът обхващат процесите и резултатите от образованието и обучението, в това число оценяването на удовлетворението на учащите се, както и на работата и удовлетворението на служителите</w:t>
            </w:r>
          </w:p>
          <w:p>
            <w:pPr>
              <w:jc w:val="left"/>
              <w:rPr>
                <w:rFonts w:eastAsia="Times New Roman"/>
                <w:noProof/>
                <w:szCs w:val="24"/>
              </w:rPr>
            </w:pPr>
            <w:r>
              <w:rPr>
                <w:noProof/>
              </w:rPr>
              <w:t>Оценяването и прегледът включват събиране и използване на данни, както и адекватни и ефективни механизми за приобщаване на вътрешните и външните заинтересовани страни</w:t>
            </w:r>
          </w:p>
          <w:p>
            <w:pPr>
              <w:jc w:val="left"/>
              <w:rPr>
                <w:noProof/>
              </w:rPr>
            </w:pPr>
            <w:r>
              <w:rPr>
                <w:noProof/>
              </w:rPr>
              <w:t>Прилагат се системи за ранно предупреждение</w:t>
            </w:r>
          </w:p>
        </w:tc>
      </w:tr>
      <w:tr>
        <w:tc>
          <w:tcPr>
            <w:tcW w:w="1031" w:type="pct"/>
            <w:vAlign w:val="center"/>
          </w:tcPr>
          <w:p>
            <w:pPr>
              <w:jc w:val="left"/>
              <w:rPr>
                <w:noProof/>
                <w:szCs w:val="24"/>
              </w:rPr>
            </w:pPr>
            <w:r>
              <w:rPr>
                <w:noProof/>
              </w:rPr>
              <w:t>Преглед</w:t>
            </w:r>
          </w:p>
        </w:tc>
        <w:tc>
          <w:tcPr>
            <w:tcW w:w="2049" w:type="pct"/>
            <w:vAlign w:val="center"/>
          </w:tcPr>
          <w:p>
            <w:pPr>
              <w:tabs>
                <w:tab w:val="left" w:pos="1047"/>
              </w:tabs>
              <w:jc w:val="left"/>
              <w:rPr>
                <w:rFonts w:eastAsia="Times New Roman"/>
                <w:noProof/>
                <w:szCs w:val="24"/>
              </w:rPr>
            </w:pPr>
            <w:r>
              <w:rPr>
                <w:noProof/>
              </w:rPr>
              <w:t>Определени са и се използват процедури, механизми и инструменти за извършване на прегледи с цел подобряване на качеството на предоставяне на всички равнища</w:t>
            </w:r>
          </w:p>
          <w:p>
            <w:pPr>
              <w:jc w:val="left"/>
              <w:rPr>
                <w:rFonts w:eastAsia="Times New Roman"/>
                <w:noProof/>
                <w:szCs w:val="24"/>
              </w:rPr>
            </w:pPr>
            <w:r>
              <w:rPr>
                <w:noProof/>
              </w:rPr>
              <w:t>Процесите се подлагат периодично на преглед и се създават планове за действие с цел извършване на промени. Системите се коригират по съответния начин</w:t>
            </w:r>
          </w:p>
          <w:p>
            <w:pPr>
              <w:jc w:val="left"/>
              <w:rPr>
                <w:noProof/>
                <w:szCs w:val="24"/>
              </w:rPr>
            </w:pPr>
            <w:r>
              <w:rPr>
                <w:noProof/>
              </w:rPr>
              <w:t>Оповестява се публично информация относно резултатите от оценяването</w:t>
            </w:r>
          </w:p>
        </w:tc>
        <w:tc>
          <w:tcPr>
            <w:tcW w:w="1920" w:type="pct"/>
            <w:vAlign w:val="center"/>
          </w:tcPr>
          <w:p>
            <w:pPr>
              <w:tabs>
                <w:tab w:val="left" w:pos="1047"/>
              </w:tabs>
              <w:jc w:val="left"/>
              <w:rPr>
                <w:rFonts w:eastAsia="Times New Roman"/>
                <w:noProof/>
                <w:szCs w:val="24"/>
              </w:rPr>
            </w:pPr>
            <w:r>
              <w:rPr>
                <w:noProof/>
              </w:rPr>
              <w:t>Събират се отзиви на учащите се относно индивидуалните им впечатления от ученето и относно средата на учене и преподаване. Заедно с отзивите на преподавателите, на обучителите и на всички други съответни заинтересовани страни те се използват за определяне на допълнителни действия</w:t>
            </w:r>
          </w:p>
          <w:p>
            <w:pPr>
              <w:tabs>
                <w:tab w:val="left" w:pos="1047"/>
              </w:tabs>
              <w:jc w:val="left"/>
              <w:rPr>
                <w:rFonts w:eastAsia="Times New Roman"/>
                <w:noProof/>
                <w:szCs w:val="24"/>
              </w:rPr>
            </w:pPr>
            <w:r>
              <w:rPr>
                <w:noProof/>
              </w:rPr>
              <w:t>На обществеността се предоставя широк достъп до информацията за резултатите от прегледа</w:t>
            </w:r>
          </w:p>
          <w:p>
            <w:pPr>
              <w:tabs>
                <w:tab w:val="left" w:pos="1047"/>
              </w:tabs>
              <w:jc w:val="left"/>
              <w:rPr>
                <w:noProof/>
                <w:szCs w:val="24"/>
              </w:rPr>
            </w:pPr>
            <w:r>
              <w:rPr>
                <w:noProof/>
              </w:rPr>
              <w:t>Процедурите за обратна връзка и преглед са част от стратегически учебен процес в организацията, подпомагат разработването на висококачествено предоставяне на ПОО и подобряват възможностите за учащите се</w:t>
            </w:r>
          </w:p>
          <w:p>
            <w:pPr>
              <w:jc w:val="left"/>
              <w:rPr>
                <w:noProof/>
              </w:rPr>
            </w:pPr>
            <w:r>
              <w:rPr>
                <w:noProof/>
              </w:rPr>
              <w:t>Резултатите от процеса на оценяване се обсъждат със съответните заинтересувани страни и се изготвят подходящи планове за действие</w:t>
            </w:r>
          </w:p>
        </w:tc>
      </w:tr>
    </w:tbl>
    <w:p>
      <w:pPr>
        <w:pageBreakBefore/>
        <w:widowControl w:val="0"/>
        <w:tabs>
          <w:tab w:val="left" w:pos="842"/>
        </w:tabs>
        <w:rPr>
          <w:rFonts w:eastAsia="Times New Roman"/>
          <w:b/>
          <w:noProof/>
          <w:szCs w:val="24"/>
        </w:rPr>
      </w:pPr>
      <w:r>
        <w:rPr>
          <w:b/>
          <w:noProof/>
          <w:szCs w:val="24"/>
        </w:rPr>
        <w:t>Част Б. Референтен набор от показатели по EQAVET</w:t>
      </w:r>
    </w:p>
    <w:p>
      <w:pPr>
        <w:widowControl w:val="0"/>
        <w:tabs>
          <w:tab w:val="left" w:pos="842"/>
        </w:tabs>
        <w:rPr>
          <w:rFonts w:eastAsia="Times New Roman"/>
          <w:noProof/>
          <w:szCs w:val="24"/>
        </w:rPr>
      </w:pPr>
      <w:r>
        <w:rPr>
          <w:noProof/>
        </w:rPr>
        <w:t>В тази част се определя набор от референтни показатели, които могат да бъдат използвани за оценяване и подобряване на качеството на националните/регионалните системи за ПОО и/или доставчиците на ПОО при прилагането на рамката EQAVET.</w:t>
      </w:r>
    </w:p>
    <w:tbl>
      <w:tblPr>
        <w:tblStyle w:val="TableGrid"/>
        <w:tblW w:w="9289" w:type="dxa"/>
        <w:tblLayout w:type="fixed"/>
        <w:tblLook w:val="04A0" w:firstRow="1" w:lastRow="0" w:firstColumn="1" w:lastColumn="0" w:noHBand="0" w:noVBand="1"/>
      </w:tblPr>
      <w:tblGrid>
        <w:gridCol w:w="3652"/>
        <w:gridCol w:w="2216"/>
        <w:gridCol w:w="3421"/>
      </w:tblGrid>
      <w:tr>
        <w:trPr>
          <w:trHeight w:val="20"/>
          <w:tblHeader/>
        </w:trPr>
        <w:tc>
          <w:tcPr>
            <w:tcW w:w="3652" w:type="dxa"/>
            <w:shd w:val="clear" w:color="auto" w:fill="F2F2F2" w:themeFill="background1" w:themeFillShade="F2"/>
            <w:vAlign w:val="center"/>
          </w:tcPr>
          <w:p>
            <w:pPr>
              <w:jc w:val="center"/>
              <w:rPr>
                <w:b/>
                <w:bCs/>
                <w:noProof/>
                <w:szCs w:val="24"/>
              </w:rPr>
            </w:pPr>
            <w:r>
              <w:rPr>
                <w:b/>
                <w:noProof/>
                <w:szCs w:val="24"/>
              </w:rPr>
              <w:t>Показател</w:t>
            </w:r>
          </w:p>
        </w:tc>
        <w:tc>
          <w:tcPr>
            <w:tcW w:w="2216" w:type="dxa"/>
            <w:shd w:val="clear" w:color="auto" w:fill="F2F2F2" w:themeFill="background1" w:themeFillShade="F2"/>
            <w:vAlign w:val="center"/>
          </w:tcPr>
          <w:p>
            <w:pPr>
              <w:jc w:val="center"/>
              <w:rPr>
                <w:b/>
                <w:bCs/>
                <w:noProof/>
                <w:szCs w:val="24"/>
              </w:rPr>
            </w:pPr>
            <w:r>
              <w:rPr>
                <w:b/>
                <w:noProof/>
                <w:szCs w:val="24"/>
              </w:rPr>
              <w:t>Вид на показателя</w:t>
            </w:r>
          </w:p>
        </w:tc>
        <w:tc>
          <w:tcPr>
            <w:tcW w:w="3421" w:type="dxa"/>
            <w:shd w:val="clear" w:color="auto" w:fill="F2F2F2" w:themeFill="background1" w:themeFillShade="F2"/>
            <w:vAlign w:val="center"/>
          </w:tcPr>
          <w:p>
            <w:pPr>
              <w:jc w:val="center"/>
              <w:rPr>
                <w:b/>
                <w:bCs/>
                <w:noProof/>
                <w:szCs w:val="24"/>
              </w:rPr>
            </w:pPr>
            <w:r>
              <w:rPr>
                <w:b/>
                <w:noProof/>
                <w:szCs w:val="24"/>
              </w:rPr>
              <w:t>Цел на политиката</w:t>
            </w:r>
          </w:p>
        </w:tc>
      </w:tr>
      <w:tr>
        <w:trPr>
          <w:trHeight w:val="20"/>
        </w:trPr>
        <w:tc>
          <w:tcPr>
            <w:tcW w:w="9289" w:type="dxa"/>
            <w:gridSpan w:val="3"/>
            <w:vAlign w:val="center"/>
          </w:tcPr>
          <w:p>
            <w:pPr>
              <w:jc w:val="left"/>
              <w:rPr>
                <w:b/>
                <w:bCs/>
                <w:noProof/>
                <w:szCs w:val="24"/>
              </w:rPr>
            </w:pPr>
            <w:r>
              <w:rPr>
                <w:b/>
                <w:noProof/>
                <w:szCs w:val="24"/>
              </w:rPr>
              <w:t>Общи показатели за осигуряването на качеството</w:t>
            </w:r>
          </w:p>
        </w:tc>
      </w:tr>
      <w:tr>
        <w:trPr>
          <w:trHeight w:val="20"/>
        </w:trPr>
        <w:tc>
          <w:tcPr>
            <w:tcW w:w="9289" w:type="dxa"/>
            <w:gridSpan w:val="3"/>
            <w:vAlign w:val="center"/>
          </w:tcPr>
          <w:p>
            <w:pPr>
              <w:jc w:val="left"/>
              <w:rPr>
                <w:rFonts w:cstheme="minorBidi"/>
                <w:b/>
                <w:i/>
                <w:noProof/>
              </w:rPr>
            </w:pPr>
            <w:r>
              <w:rPr>
                <w:b/>
                <w:i/>
                <w:noProof/>
              </w:rPr>
              <w:t>Номер 1</w:t>
            </w:r>
          </w:p>
        </w:tc>
      </w:tr>
      <w:tr>
        <w:trPr>
          <w:trHeight w:val="20"/>
        </w:trPr>
        <w:tc>
          <w:tcPr>
            <w:tcW w:w="3652" w:type="dxa"/>
            <w:vAlign w:val="center"/>
          </w:tcPr>
          <w:p>
            <w:pPr>
              <w:tabs>
                <w:tab w:val="left" w:pos="1047"/>
              </w:tabs>
              <w:jc w:val="left"/>
              <w:rPr>
                <w:rFonts w:eastAsia="Times New Roman"/>
                <w:noProof/>
                <w:szCs w:val="24"/>
              </w:rPr>
            </w:pPr>
            <w:r>
              <w:rPr>
                <w:noProof/>
              </w:rPr>
              <w:t>Релевантност на системите за осигуряване на качеството за доставчиците на ПОО:</w:t>
            </w:r>
          </w:p>
          <w:p>
            <w:pPr>
              <w:tabs>
                <w:tab w:val="left" w:pos="426"/>
              </w:tabs>
              <w:ind w:left="426" w:hanging="426"/>
              <w:jc w:val="left"/>
              <w:rPr>
                <w:rFonts w:eastAsia="Times New Roman"/>
                <w:noProof/>
                <w:szCs w:val="24"/>
              </w:rPr>
            </w:pPr>
            <w:r>
              <w:rPr>
                <w:noProof/>
              </w:rPr>
              <w:t>а)</w:t>
            </w:r>
            <w:r>
              <w:rPr>
                <w:noProof/>
              </w:rPr>
              <w:tab/>
              <w:t>дял на доставчиците на ПОО, прилагащи вътрешни системи за осигуряване на качеството, определени със закон/по собствена инициатива</w:t>
            </w:r>
          </w:p>
          <w:p>
            <w:pPr>
              <w:tabs>
                <w:tab w:val="left" w:pos="426"/>
              </w:tabs>
              <w:ind w:left="426" w:hanging="426"/>
              <w:jc w:val="left"/>
              <w:rPr>
                <w:rFonts w:eastAsia="Times New Roman"/>
                <w:noProof/>
                <w:szCs w:val="24"/>
              </w:rPr>
            </w:pPr>
            <w:r>
              <w:rPr>
                <w:noProof/>
              </w:rPr>
              <w:t>б)</w:t>
            </w:r>
            <w:r>
              <w:rPr>
                <w:noProof/>
              </w:rPr>
              <w:tab/>
              <w:t>дял на акредитираните доставчици на ПОО</w:t>
            </w:r>
          </w:p>
        </w:tc>
        <w:tc>
          <w:tcPr>
            <w:tcW w:w="2216" w:type="dxa"/>
            <w:vAlign w:val="center"/>
          </w:tcPr>
          <w:p>
            <w:pPr>
              <w:jc w:val="left"/>
              <w:rPr>
                <w:noProof/>
                <w:w w:val="105"/>
                <w:szCs w:val="24"/>
              </w:rPr>
            </w:pPr>
            <w:r>
              <w:rPr>
                <w:noProof/>
              </w:rPr>
              <w:t>Контекстен/входен показател</w:t>
            </w:r>
          </w:p>
        </w:tc>
        <w:tc>
          <w:tcPr>
            <w:tcW w:w="3421" w:type="dxa"/>
            <w:vAlign w:val="center"/>
          </w:tcPr>
          <w:p>
            <w:pPr>
              <w:jc w:val="left"/>
              <w:rPr>
                <w:rFonts w:eastAsia="Times New Roman"/>
                <w:noProof/>
                <w:szCs w:val="24"/>
              </w:rPr>
            </w:pPr>
            <w:r>
              <w:rPr>
                <w:noProof/>
              </w:rPr>
              <w:t>Насърчаване на култура на подобряване на качеството на равнище доставчици на ПОО</w:t>
            </w:r>
          </w:p>
          <w:p>
            <w:pPr>
              <w:jc w:val="left"/>
              <w:rPr>
                <w:rFonts w:eastAsia="Times New Roman"/>
                <w:noProof/>
                <w:szCs w:val="24"/>
              </w:rPr>
            </w:pPr>
            <w:r>
              <w:rPr>
                <w:noProof/>
              </w:rPr>
              <w:t>Повишаване на прозрачността на качеството на обучението</w:t>
            </w:r>
          </w:p>
          <w:p>
            <w:pPr>
              <w:jc w:val="left"/>
              <w:rPr>
                <w:noProof/>
                <w:w w:val="105"/>
                <w:szCs w:val="24"/>
              </w:rPr>
            </w:pPr>
            <w:r>
              <w:rPr>
                <w:noProof/>
              </w:rPr>
              <w:t>Подобряване на взаимното доверие в предоставянето на обучение</w:t>
            </w:r>
          </w:p>
        </w:tc>
      </w:tr>
      <w:tr>
        <w:trPr>
          <w:trHeight w:val="20"/>
        </w:trPr>
        <w:tc>
          <w:tcPr>
            <w:tcW w:w="9289" w:type="dxa"/>
            <w:gridSpan w:val="3"/>
            <w:vAlign w:val="center"/>
          </w:tcPr>
          <w:p>
            <w:pPr>
              <w:jc w:val="left"/>
              <w:rPr>
                <w:rFonts w:cstheme="minorBidi"/>
                <w:b/>
                <w:i/>
                <w:noProof/>
              </w:rPr>
            </w:pPr>
            <w:r>
              <w:rPr>
                <w:b/>
                <w:i/>
                <w:noProof/>
              </w:rPr>
              <w:t>Номер 2</w:t>
            </w:r>
          </w:p>
        </w:tc>
      </w:tr>
      <w:tr>
        <w:trPr>
          <w:trHeight w:val="20"/>
        </w:trPr>
        <w:tc>
          <w:tcPr>
            <w:tcW w:w="3652" w:type="dxa"/>
            <w:vAlign w:val="center"/>
          </w:tcPr>
          <w:p>
            <w:pPr>
              <w:jc w:val="left"/>
              <w:rPr>
                <w:rFonts w:eastAsia="Times New Roman"/>
                <w:noProof/>
                <w:szCs w:val="24"/>
              </w:rPr>
            </w:pPr>
            <w:r>
              <w:rPr>
                <w:noProof/>
              </w:rPr>
              <w:t>Инвестиции в обучението на преподаватели и обучители:</w:t>
            </w:r>
          </w:p>
          <w:p>
            <w:pPr>
              <w:ind w:left="426" w:hanging="426"/>
              <w:jc w:val="left"/>
              <w:rPr>
                <w:rFonts w:eastAsia="Times New Roman"/>
                <w:noProof/>
                <w:szCs w:val="24"/>
              </w:rPr>
            </w:pPr>
            <w:r>
              <w:rPr>
                <w:noProof/>
              </w:rPr>
              <w:t>а)</w:t>
            </w:r>
            <w:r>
              <w:rPr>
                <w:noProof/>
              </w:rPr>
              <w:tab/>
              <w:t>дял на преподавателите и обучителите, участващи в допълнително обучение</w:t>
            </w:r>
          </w:p>
          <w:p>
            <w:pPr>
              <w:ind w:left="426" w:hanging="426"/>
              <w:jc w:val="left"/>
              <w:rPr>
                <w:rFonts w:eastAsia="Times New Roman"/>
                <w:noProof/>
                <w:szCs w:val="24"/>
                <w:lang w:bidi="en-US"/>
              </w:rPr>
            </w:pPr>
          </w:p>
          <w:p>
            <w:pPr>
              <w:ind w:left="426" w:hanging="426"/>
              <w:jc w:val="left"/>
              <w:rPr>
                <w:rFonts w:eastAsia="Times New Roman"/>
                <w:noProof/>
                <w:szCs w:val="24"/>
              </w:rPr>
            </w:pPr>
            <w:r>
              <w:rPr>
                <w:noProof/>
              </w:rPr>
              <w:t>б)</w:t>
            </w:r>
            <w:r>
              <w:rPr>
                <w:noProof/>
              </w:rPr>
              <w:tab/>
              <w:t>размер на инвестираните средства, включително за цифрови умения</w:t>
            </w:r>
          </w:p>
        </w:tc>
        <w:tc>
          <w:tcPr>
            <w:tcW w:w="2216" w:type="dxa"/>
            <w:vAlign w:val="center"/>
          </w:tcPr>
          <w:p>
            <w:pPr>
              <w:jc w:val="left"/>
              <w:rPr>
                <w:noProof/>
                <w:szCs w:val="24"/>
              </w:rPr>
            </w:pPr>
            <w:r>
              <w:rPr>
                <w:noProof/>
              </w:rPr>
              <w:t>Входен/процесен показател</w:t>
            </w:r>
          </w:p>
        </w:tc>
        <w:tc>
          <w:tcPr>
            <w:tcW w:w="3421" w:type="dxa"/>
            <w:vAlign w:val="center"/>
          </w:tcPr>
          <w:p>
            <w:pPr>
              <w:jc w:val="left"/>
              <w:rPr>
                <w:rFonts w:eastAsia="Times New Roman"/>
                <w:noProof/>
                <w:szCs w:val="24"/>
              </w:rPr>
            </w:pPr>
            <w:r>
              <w:rPr>
                <w:noProof/>
              </w:rPr>
              <w:t>Насърчаване на ангажираността на преподавателите и обучителите с процеса на развиване на качеството на ПОО</w:t>
            </w:r>
          </w:p>
          <w:p>
            <w:pPr>
              <w:jc w:val="left"/>
              <w:rPr>
                <w:rFonts w:eastAsia="Times New Roman"/>
                <w:noProof/>
                <w:szCs w:val="24"/>
              </w:rPr>
            </w:pPr>
            <w:r>
              <w:rPr>
                <w:noProof/>
              </w:rPr>
              <w:t>Подобряване на способността на ПОО да отговорят на променящите се потребности на пазара на труда</w:t>
            </w:r>
          </w:p>
          <w:p>
            <w:pPr>
              <w:jc w:val="left"/>
              <w:rPr>
                <w:rFonts w:eastAsia="Times New Roman"/>
                <w:noProof/>
                <w:szCs w:val="24"/>
              </w:rPr>
            </w:pPr>
            <w:r>
              <w:rPr>
                <w:noProof/>
              </w:rPr>
              <w:t>Повишаване на индивидуалния капацитет за учене</w:t>
            </w:r>
          </w:p>
          <w:p>
            <w:pPr>
              <w:jc w:val="left"/>
              <w:rPr>
                <w:noProof/>
                <w:szCs w:val="24"/>
              </w:rPr>
            </w:pPr>
            <w:r>
              <w:rPr>
                <w:noProof/>
              </w:rPr>
              <w:t>Подобряване на постиженията на учащите се</w:t>
            </w:r>
          </w:p>
        </w:tc>
      </w:tr>
      <w:tr>
        <w:trPr>
          <w:trHeight w:val="20"/>
        </w:trPr>
        <w:tc>
          <w:tcPr>
            <w:tcW w:w="9289" w:type="dxa"/>
            <w:gridSpan w:val="3"/>
            <w:vAlign w:val="center"/>
          </w:tcPr>
          <w:p>
            <w:pPr>
              <w:jc w:val="left"/>
              <w:rPr>
                <w:b/>
                <w:bCs/>
                <w:noProof/>
                <w:szCs w:val="24"/>
              </w:rPr>
            </w:pPr>
            <w:r>
              <w:rPr>
                <w:b/>
                <w:noProof/>
                <w:szCs w:val="24"/>
              </w:rPr>
              <w:t>Показатели в подкрепа на целите по отношение на качеството за политиките в областта на ПОО</w:t>
            </w:r>
          </w:p>
        </w:tc>
      </w:tr>
      <w:tr>
        <w:trPr>
          <w:trHeight w:val="20"/>
        </w:trPr>
        <w:tc>
          <w:tcPr>
            <w:tcW w:w="9289" w:type="dxa"/>
            <w:gridSpan w:val="3"/>
            <w:vAlign w:val="center"/>
          </w:tcPr>
          <w:p>
            <w:pPr>
              <w:jc w:val="left"/>
              <w:rPr>
                <w:rFonts w:cstheme="minorBidi"/>
                <w:b/>
                <w:i/>
                <w:noProof/>
              </w:rPr>
            </w:pPr>
            <w:r>
              <w:rPr>
                <w:b/>
                <w:i/>
                <w:noProof/>
              </w:rPr>
              <w:t>Номер 3</w:t>
            </w:r>
          </w:p>
        </w:tc>
      </w:tr>
      <w:tr>
        <w:trPr>
          <w:trHeight w:val="20"/>
        </w:trPr>
        <w:tc>
          <w:tcPr>
            <w:tcW w:w="3652" w:type="dxa"/>
            <w:vAlign w:val="center"/>
          </w:tcPr>
          <w:p>
            <w:pPr>
              <w:jc w:val="left"/>
              <w:rPr>
                <w:rFonts w:eastAsia="Times New Roman"/>
                <w:noProof/>
                <w:szCs w:val="24"/>
              </w:rPr>
            </w:pPr>
            <w:r>
              <w:rPr>
                <w:noProof/>
              </w:rPr>
              <w:t>Равнище на участието в програмите за ПОО:</w:t>
            </w:r>
          </w:p>
          <w:p>
            <w:pPr>
              <w:jc w:val="left"/>
              <w:rPr>
                <w:rFonts w:eastAsia="Times New Roman"/>
                <w:noProof/>
                <w:szCs w:val="24"/>
              </w:rPr>
            </w:pPr>
            <w:r>
              <w:rPr>
                <w:noProof/>
              </w:rPr>
              <w:t>Брой на участниците в програмите за ПОО</w:t>
            </w:r>
            <w:r>
              <w:rPr>
                <w:rStyle w:val="FootnoteReference"/>
                <w:noProof/>
              </w:rPr>
              <w:footnoteReference w:id="14"/>
            </w:r>
            <w:r>
              <w:rPr>
                <w:noProof/>
              </w:rPr>
              <w:t xml:space="preserve"> по вид програма и по индивидуални критерии</w:t>
            </w:r>
            <w:r>
              <w:rPr>
                <w:rStyle w:val="FootnoteReference"/>
                <w:noProof/>
              </w:rPr>
              <w:footnoteReference w:id="15"/>
            </w:r>
          </w:p>
        </w:tc>
        <w:tc>
          <w:tcPr>
            <w:tcW w:w="2216" w:type="dxa"/>
            <w:vAlign w:val="center"/>
          </w:tcPr>
          <w:p>
            <w:pPr>
              <w:jc w:val="left"/>
              <w:rPr>
                <w:rFonts w:eastAsia="Times New Roman"/>
                <w:noProof/>
                <w:szCs w:val="24"/>
              </w:rPr>
            </w:pPr>
            <w:r>
              <w:rPr>
                <w:noProof/>
              </w:rPr>
              <w:t>Входен/процесен/</w:t>
            </w:r>
            <w:r>
              <w:rPr>
                <w:noProof/>
              </w:rPr>
              <w:br/>
              <w:t>изходен показател</w:t>
            </w:r>
          </w:p>
        </w:tc>
        <w:tc>
          <w:tcPr>
            <w:tcW w:w="3421" w:type="dxa"/>
            <w:vAlign w:val="center"/>
          </w:tcPr>
          <w:p>
            <w:pPr>
              <w:jc w:val="left"/>
              <w:rPr>
                <w:rFonts w:eastAsia="Times New Roman"/>
                <w:noProof/>
                <w:szCs w:val="24"/>
              </w:rPr>
            </w:pPr>
            <w:r>
              <w:rPr>
                <w:noProof/>
              </w:rPr>
              <w:t>Получаване на основна информация на равнище системи за ПОО и доставчици на ПОО относно привлекателността на ПОО</w:t>
            </w:r>
          </w:p>
          <w:p>
            <w:pPr>
              <w:jc w:val="left"/>
              <w:rPr>
                <w:rFonts w:eastAsia="Times New Roman"/>
                <w:noProof/>
                <w:szCs w:val="24"/>
              </w:rPr>
            </w:pPr>
            <w:r>
              <w:rPr>
                <w:noProof/>
              </w:rPr>
              <w:t>Целева подкрепа за увеличаване на достъпа до ПОО, включително на групите в неравностойно положение</w:t>
            </w:r>
          </w:p>
        </w:tc>
      </w:tr>
      <w:tr>
        <w:trPr>
          <w:trHeight w:val="20"/>
        </w:trPr>
        <w:tc>
          <w:tcPr>
            <w:tcW w:w="9289" w:type="dxa"/>
            <w:gridSpan w:val="3"/>
            <w:vAlign w:val="center"/>
          </w:tcPr>
          <w:p>
            <w:pPr>
              <w:jc w:val="left"/>
              <w:rPr>
                <w:rFonts w:cstheme="minorBidi"/>
                <w:b/>
                <w:i/>
                <w:noProof/>
              </w:rPr>
            </w:pPr>
            <w:r>
              <w:rPr>
                <w:b/>
                <w:i/>
                <w:noProof/>
              </w:rPr>
              <w:t>Номер 4</w:t>
            </w:r>
          </w:p>
        </w:tc>
      </w:tr>
      <w:tr>
        <w:trPr>
          <w:trHeight w:val="20"/>
        </w:trPr>
        <w:tc>
          <w:tcPr>
            <w:tcW w:w="3652" w:type="dxa"/>
            <w:vAlign w:val="center"/>
          </w:tcPr>
          <w:p>
            <w:pPr>
              <w:jc w:val="left"/>
              <w:rPr>
                <w:rFonts w:eastAsia="Times New Roman"/>
                <w:noProof/>
                <w:szCs w:val="24"/>
              </w:rPr>
            </w:pPr>
            <w:r>
              <w:rPr>
                <w:noProof/>
              </w:rPr>
              <w:t>Равнище на завършването на програмите за ПОО:</w:t>
            </w:r>
          </w:p>
          <w:p>
            <w:pPr>
              <w:jc w:val="left"/>
              <w:rPr>
                <w:rFonts w:eastAsia="Times New Roman"/>
                <w:noProof/>
                <w:szCs w:val="24"/>
              </w:rPr>
            </w:pPr>
            <w:r>
              <w:rPr>
                <w:noProof/>
              </w:rPr>
              <w:t>Брой на лицата, завършили успешно/напуснали програми за ПОО, по вид програма и по индивидуални критерии</w:t>
            </w:r>
          </w:p>
        </w:tc>
        <w:tc>
          <w:tcPr>
            <w:tcW w:w="2216" w:type="dxa"/>
            <w:vAlign w:val="center"/>
          </w:tcPr>
          <w:p>
            <w:pPr>
              <w:jc w:val="left"/>
              <w:rPr>
                <w:rFonts w:eastAsia="Times New Roman"/>
                <w:noProof/>
                <w:szCs w:val="24"/>
              </w:rPr>
            </w:pPr>
            <w:r>
              <w:rPr>
                <w:noProof/>
              </w:rPr>
              <w:t>Процесен показател/изходен показател/</w:t>
            </w:r>
            <w:r>
              <w:rPr>
                <w:noProof/>
              </w:rPr>
              <w:br/>
              <w:t>показател за резултатите</w:t>
            </w:r>
          </w:p>
        </w:tc>
        <w:tc>
          <w:tcPr>
            <w:tcW w:w="3421" w:type="dxa"/>
            <w:vAlign w:val="center"/>
          </w:tcPr>
          <w:p>
            <w:pPr>
              <w:jc w:val="left"/>
              <w:rPr>
                <w:rFonts w:eastAsia="Times New Roman"/>
                <w:noProof/>
                <w:szCs w:val="24"/>
              </w:rPr>
            </w:pPr>
            <w:r>
              <w:rPr>
                <w:noProof/>
              </w:rPr>
              <w:t>Получаване на основна информация относно образователните постижения и качеството на процесите на обучение</w:t>
            </w:r>
          </w:p>
          <w:p>
            <w:pPr>
              <w:jc w:val="left"/>
              <w:rPr>
                <w:rFonts w:eastAsia="Times New Roman"/>
                <w:noProof/>
                <w:szCs w:val="24"/>
              </w:rPr>
            </w:pPr>
            <w:r>
              <w:rPr>
                <w:noProof/>
              </w:rPr>
              <w:t>Изчисляване на равнището на отпадналите от обучението лица в сравнение с равнището на участие</w:t>
            </w:r>
          </w:p>
          <w:p>
            <w:pPr>
              <w:jc w:val="left"/>
              <w:rPr>
                <w:rFonts w:eastAsia="Times New Roman"/>
                <w:noProof/>
                <w:szCs w:val="24"/>
              </w:rPr>
            </w:pPr>
            <w:r>
              <w:rPr>
                <w:noProof/>
              </w:rPr>
              <w:t>Подкрепа за успешното завършване като една от основните цели по отношение на качеството на ПОО</w:t>
            </w:r>
          </w:p>
          <w:p>
            <w:pPr>
              <w:jc w:val="left"/>
              <w:rPr>
                <w:rFonts w:eastAsia="Times New Roman"/>
                <w:noProof/>
                <w:szCs w:val="24"/>
              </w:rPr>
            </w:pPr>
            <w:r>
              <w:rPr>
                <w:noProof/>
              </w:rPr>
              <w:t>Подкрепа за предоставяне на адаптирано обучение, включително за групите в неравностойно положение</w:t>
            </w:r>
          </w:p>
        </w:tc>
      </w:tr>
      <w:tr>
        <w:trPr>
          <w:trHeight w:val="20"/>
        </w:trPr>
        <w:tc>
          <w:tcPr>
            <w:tcW w:w="9289" w:type="dxa"/>
            <w:gridSpan w:val="3"/>
            <w:vAlign w:val="center"/>
          </w:tcPr>
          <w:p>
            <w:pPr>
              <w:jc w:val="left"/>
              <w:rPr>
                <w:rFonts w:cstheme="minorBidi"/>
                <w:b/>
                <w:i/>
                <w:noProof/>
              </w:rPr>
            </w:pPr>
            <w:r>
              <w:rPr>
                <w:b/>
                <w:i/>
                <w:noProof/>
              </w:rPr>
              <w:t>Номер 5</w:t>
            </w:r>
          </w:p>
        </w:tc>
      </w:tr>
      <w:tr>
        <w:trPr>
          <w:trHeight w:val="20"/>
        </w:trPr>
        <w:tc>
          <w:tcPr>
            <w:tcW w:w="3652" w:type="dxa"/>
            <w:vAlign w:val="center"/>
          </w:tcPr>
          <w:p>
            <w:pPr>
              <w:jc w:val="left"/>
              <w:rPr>
                <w:rFonts w:eastAsia="Times New Roman"/>
                <w:noProof/>
                <w:szCs w:val="24"/>
              </w:rPr>
            </w:pPr>
            <w:r>
              <w:rPr>
                <w:noProof/>
              </w:rPr>
              <w:t>Равнище на постъпилите на работа по програмите за ПОО:</w:t>
            </w:r>
          </w:p>
          <w:p>
            <w:pPr>
              <w:ind w:left="426" w:hanging="426"/>
              <w:jc w:val="left"/>
              <w:rPr>
                <w:rFonts w:eastAsia="Times New Roman"/>
                <w:noProof/>
                <w:szCs w:val="24"/>
              </w:rPr>
            </w:pPr>
            <w:r>
              <w:rPr>
                <w:noProof/>
              </w:rPr>
              <w:t>а)</w:t>
            </w:r>
            <w:r>
              <w:rPr>
                <w:noProof/>
              </w:rPr>
              <w:tab/>
              <w:t>положение на учащите се в ПОО в определен момент след завършване на обучението по вид програма и по индивидуални критерии</w:t>
            </w:r>
            <w:r>
              <w:rPr>
                <w:rStyle w:val="FootnoteReference"/>
                <w:noProof/>
              </w:rPr>
              <w:footnoteReference w:id="16"/>
            </w:r>
          </w:p>
          <w:p>
            <w:pPr>
              <w:ind w:left="426" w:hanging="426"/>
              <w:jc w:val="left"/>
              <w:rPr>
                <w:rFonts w:eastAsia="Times New Roman"/>
                <w:noProof/>
                <w:szCs w:val="24"/>
              </w:rPr>
            </w:pPr>
            <w:r>
              <w:rPr>
                <w:noProof/>
              </w:rPr>
              <w:t>б)</w:t>
            </w:r>
            <w:r>
              <w:rPr>
                <w:noProof/>
              </w:rPr>
              <w:tab/>
              <w:t>дял на учащите се, постъпили на работа, в определен момент след завършване на обучението по вид програма и по индивидуални критерии</w:t>
            </w:r>
          </w:p>
        </w:tc>
        <w:tc>
          <w:tcPr>
            <w:tcW w:w="2216" w:type="dxa"/>
            <w:vAlign w:val="center"/>
          </w:tcPr>
          <w:p>
            <w:pPr>
              <w:jc w:val="left"/>
              <w:rPr>
                <w:noProof/>
                <w:w w:val="105"/>
                <w:szCs w:val="24"/>
              </w:rPr>
            </w:pPr>
            <w:r>
              <w:rPr>
                <w:noProof/>
              </w:rPr>
              <w:t>Показател за резултатите</w:t>
            </w:r>
          </w:p>
        </w:tc>
        <w:tc>
          <w:tcPr>
            <w:tcW w:w="3421" w:type="dxa"/>
            <w:vAlign w:val="center"/>
          </w:tcPr>
          <w:p>
            <w:pPr>
              <w:jc w:val="left"/>
              <w:rPr>
                <w:rFonts w:eastAsia="Times New Roman"/>
                <w:noProof/>
                <w:szCs w:val="24"/>
              </w:rPr>
            </w:pPr>
            <w:r>
              <w:rPr>
                <w:noProof/>
              </w:rPr>
              <w:t>Подкрепа за пригодността за заетост</w:t>
            </w:r>
          </w:p>
          <w:p>
            <w:pPr>
              <w:jc w:val="left"/>
              <w:rPr>
                <w:rFonts w:eastAsia="Times New Roman"/>
                <w:noProof/>
                <w:szCs w:val="24"/>
              </w:rPr>
            </w:pPr>
            <w:r>
              <w:rPr>
                <w:noProof/>
              </w:rPr>
              <w:t>Подобряване на способността на ПОО да отговорят на променящите се потребности на пазара на труда</w:t>
            </w:r>
          </w:p>
          <w:p>
            <w:pPr>
              <w:jc w:val="left"/>
              <w:rPr>
                <w:noProof/>
                <w:szCs w:val="24"/>
              </w:rPr>
            </w:pPr>
            <w:r>
              <w:rPr>
                <w:noProof/>
              </w:rPr>
              <w:t>Подкрепа за предоставяне на адаптирано обучение, включително за групите в неравностойно положение</w:t>
            </w:r>
          </w:p>
        </w:tc>
      </w:tr>
      <w:tr>
        <w:trPr>
          <w:trHeight w:val="20"/>
        </w:trPr>
        <w:tc>
          <w:tcPr>
            <w:tcW w:w="9289" w:type="dxa"/>
            <w:gridSpan w:val="3"/>
            <w:vAlign w:val="center"/>
          </w:tcPr>
          <w:p>
            <w:pPr>
              <w:jc w:val="left"/>
              <w:rPr>
                <w:rFonts w:cstheme="minorBidi"/>
                <w:b/>
                <w:i/>
                <w:noProof/>
              </w:rPr>
            </w:pPr>
            <w:r>
              <w:rPr>
                <w:b/>
                <w:i/>
                <w:noProof/>
              </w:rPr>
              <w:t>Номер 6</w:t>
            </w:r>
          </w:p>
        </w:tc>
      </w:tr>
      <w:tr>
        <w:trPr>
          <w:trHeight w:val="20"/>
        </w:trPr>
        <w:tc>
          <w:tcPr>
            <w:tcW w:w="3652" w:type="dxa"/>
            <w:vAlign w:val="center"/>
          </w:tcPr>
          <w:p>
            <w:pPr>
              <w:ind w:left="426" w:hanging="426"/>
              <w:jc w:val="left"/>
              <w:rPr>
                <w:rFonts w:eastAsia="Times New Roman"/>
                <w:noProof/>
                <w:szCs w:val="24"/>
              </w:rPr>
            </w:pPr>
            <w:r>
              <w:rPr>
                <w:noProof/>
              </w:rPr>
              <w:t>Използване на придобитите умения на работното място:</w:t>
            </w:r>
          </w:p>
          <w:p>
            <w:pPr>
              <w:ind w:left="426" w:hanging="426"/>
              <w:jc w:val="left"/>
              <w:rPr>
                <w:rFonts w:eastAsia="Times New Roman"/>
                <w:noProof/>
                <w:szCs w:val="24"/>
              </w:rPr>
            </w:pPr>
            <w:r>
              <w:rPr>
                <w:noProof/>
              </w:rPr>
              <w:t>а)</w:t>
            </w:r>
            <w:r>
              <w:rPr>
                <w:noProof/>
              </w:rPr>
              <w:tab/>
              <w:t>информация относно работата, на която са постъпили лицата след завършване на обучението, по вид обучение и по индивидуални критерии</w:t>
            </w:r>
          </w:p>
          <w:p>
            <w:pPr>
              <w:ind w:left="426" w:hanging="426"/>
              <w:jc w:val="left"/>
              <w:rPr>
                <w:rFonts w:eastAsia="Times New Roman"/>
                <w:noProof/>
                <w:szCs w:val="24"/>
              </w:rPr>
            </w:pPr>
            <w:r>
              <w:rPr>
                <w:noProof/>
              </w:rPr>
              <w:t>б)</w:t>
            </w:r>
            <w:r>
              <w:rPr>
                <w:noProof/>
              </w:rPr>
              <w:tab/>
              <w:t>степен на удовлетворение на лицата и на работодателите от придобитите умения/компетенции</w:t>
            </w:r>
          </w:p>
        </w:tc>
        <w:tc>
          <w:tcPr>
            <w:tcW w:w="2216" w:type="dxa"/>
            <w:vAlign w:val="center"/>
          </w:tcPr>
          <w:p>
            <w:pPr>
              <w:jc w:val="left"/>
              <w:rPr>
                <w:rFonts w:eastAsia="Times New Roman"/>
                <w:noProof/>
                <w:szCs w:val="24"/>
              </w:rPr>
            </w:pPr>
            <w:r>
              <w:rPr>
                <w:noProof/>
              </w:rPr>
              <w:t>Показател за резултатите</w:t>
            </w:r>
          </w:p>
          <w:p>
            <w:pPr>
              <w:jc w:val="left"/>
              <w:rPr>
                <w:b/>
                <w:bCs/>
                <w:noProof/>
                <w:szCs w:val="24"/>
              </w:rPr>
            </w:pPr>
            <w:r>
              <w:rPr>
                <w:noProof/>
              </w:rPr>
              <w:t>(комбинация от качествени и количествени данни)</w:t>
            </w:r>
          </w:p>
        </w:tc>
        <w:tc>
          <w:tcPr>
            <w:tcW w:w="3421" w:type="dxa"/>
            <w:vAlign w:val="center"/>
          </w:tcPr>
          <w:p>
            <w:pPr>
              <w:jc w:val="left"/>
              <w:rPr>
                <w:rFonts w:eastAsia="Times New Roman"/>
                <w:noProof/>
                <w:szCs w:val="24"/>
              </w:rPr>
            </w:pPr>
            <w:r>
              <w:rPr>
                <w:noProof/>
              </w:rPr>
              <w:t>Увеличаване на пригодността за заетост</w:t>
            </w:r>
          </w:p>
          <w:p>
            <w:pPr>
              <w:jc w:val="left"/>
              <w:rPr>
                <w:rFonts w:eastAsia="Times New Roman"/>
                <w:noProof/>
                <w:szCs w:val="24"/>
              </w:rPr>
            </w:pPr>
            <w:r>
              <w:rPr>
                <w:noProof/>
              </w:rPr>
              <w:t>Подобряване на способността на ПОО да отговарят на променящите се потребности на пазара на труда</w:t>
            </w:r>
          </w:p>
          <w:p>
            <w:pPr>
              <w:jc w:val="left"/>
              <w:rPr>
                <w:b/>
                <w:bCs/>
                <w:noProof/>
                <w:szCs w:val="24"/>
              </w:rPr>
            </w:pPr>
            <w:r>
              <w:rPr>
                <w:noProof/>
              </w:rPr>
              <w:t>Подкрепа за предоставяне на адаптирано обучение, включително за групите в неравностойно положение</w:t>
            </w:r>
          </w:p>
        </w:tc>
      </w:tr>
      <w:tr>
        <w:trPr>
          <w:trHeight w:val="20"/>
        </w:trPr>
        <w:tc>
          <w:tcPr>
            <w:tcW w:w="9289" w:type="dxa"/>
            <w:gridSpan w:val="3"/>
            <w:vAlign w:val="center"/>
          </w:tcPr>
          <w:p>
            <w:pPr>
              <w:jc w:val="left"/>
              <w:rPr>
                <w:b/>
                <w:bCs/>
                <w:noProof/>
                <w:szCs w:val="24"/>
              </w:rPr>
            </w:pPr>
            <w:r>
              <w:rPr>
                <w:b/>
                <w:noProof/>
                <w:szCs w:val="24"/>
              </w:rPr>
              <w:t>Информация за контекста</w:t>
            </w:r>
          </w:p>
        </w:tc>
      </w:tr>
      <w:tr>
        <w:trPr>
          <w:trHeight w:val="20"/>
        </w:trPr>
        <w:tc>
          <w:tcPr>
            <w:tcW w:w="9289" w:type="dxa"/>
            <w:gridSpan w:val="3"/>
            <w:vAlign w:val="center"/>
          </w:tcPr>
          <w:p>
            <w:pPr>
              <w:jc w:val="left"/>
              <w:rPr>
                <w:rFonts w:cstheme="minorBidi"/>
                <w:b/>
                <w:i/>
                <w:noProof/>
              </w:rPr>
            </w:pPr>
            <w:r>
              <w:rPr>
                <w:b/>
                <w:i/>
                <w:noProof/>
              </w:rPr>
              <w:t>Номер 7</w:t>
            </w:r>
          </w:p>
        </w:tc>
      </w:tr>
      <w:tr>
        <w:trPr>
          <w:trHeight w:val="20"/>
        </w:trPr>
        <w:tc>
          <w:tcPr>
            <w:tcW w:w="3652" w:type="dxa"/>
            <w:vAlign w:val="center"/>
          </w:tcPr>
          <w:p>
            <w:pPr>
              <w:jc w:val="left"/>
              <w:rPr>
                <w:rFonts w:eastAsia="Times New Roman"/>
                <w:noProof/>
                <w:szCs w:val="24"/>
              </w:rPr>
            </w:pPr>
            <w:r>
              <w:rPr>
                <w:noProof/>
              </w:rPr>
              <w:t>Равнище на безработицата</w:t>
            </w:r>
            <w:r>
              <w:rPr>
                <w:rStyle w:val="FootnoteReference"/>
                <w:noProof/>
              </w:rPr>
              <w:footnoteReference w:id="17"/>
            </w:r>
            <w:r>
              <w:rPr>
                <w:noProof/>
              </w:rPr>
              <w:t xml:space="preserve"> по индивидуални критерии</w:t>
            </w:r>
          </w:p>
        </w:tc>
        <w:tc>
          <w:tcPr>
            <w:tcW w:w="2216" w:type="dxa"/>
            <w:vAlign w:val="center"/>
          </w:tcPr>
          <w:p>
            <w:pPr>
              <w:jc w:val="left"/>
              <w:rPr>
                <w:noProof/>
                <w:w w:val="105"/>
                <w:szCs w:val="24"/>
              </w:rPr>
            </w:pPr>
            <w:r>
              <w:rPr>
                <w:noProof/>
              </w:rPr>
              <w:t>Контекстен показател</w:t>
            </w:r>
          </w:p>
        </w:tc>
        <w:tc>
          <w:tcPr>
            <w:tcW w:w="3421" w:type="dxa"/>
            <w:vAlign w:val="center"/>
          </w:tcPr>
          <w:p>
            <w:pPr>
              <w:jc w:val="left"/>
              <w:rPr>
                <w:noProof/>
                <w:szCs w:val="24"/>
              </w:rPr>
            </w:pPr>
            <w:r>
              <w:rPr>
                <w:noProof/>
              </w:rPr>
              <w:t>Обща информация за процеса на вземане на свързани с политиката решения на равнище системи за ПОО</w:t>
            </w:r>
          </w:p>
        </w:tc>
      </w:tr>
      <w:tr>
        <w:trPr>
          <w:trHeight w:val="20"/>
        </w:trPr>
        <w:tc>
          <w:tcPr>
            <w:tcW w:w="9289" w:type="dxa"/>
            <w:gridSpan w:val="3"/>
            <w:vAlign w:val="center"/>
          </w:tcPr>
          <w:p>
            <w:pPr>
              <w:jc w:val="left"/>
              <w:rPr>
                <w:rFonts w:cstheme="minorBidi"/>
                <w:b/>
                <w:i/>
                <w:noProof/>
              </w:rPr>
            </w:pPr>
            <w:r>
              <w:rPr>
                <w:b/>
                <w:i/>
                <w:noProof/>
              </w:rPr>
              <w:t>Номер 8</w:t>
            </w:r>
          </w:p>
        </w:tc>
      </w:tr>
      <w:tr>
        <w:trPr>
          <w:trHeight w:val="20"/>
        </w:trPr>
        <w:tc>
          <w:tcPr>
            <w:tcW w:w="3652" w:type="dxa"/>
            <w:vAlign w:val="center"/>
          </w:tcPr>
          <w:p>
            <w:pPr>
              <w:jc w:val="left"/>
              <w:rPr>
                <w:rFonts w:eastAsia="Times New Roman"/>
                <w:noProof/>
                <w:szCs w:val="24"/>
              </w:rPr>
            </w:pPr>
            <w:r>
              <w:rPr>
                <w:noProof/>
              </w:rPr>
              <w:t>Дял на уязвимите групи:</w:t>
            </w:r>
          </w:p>
          <w:p>
            <w:pPr>
              <w:ind w:left="426" w:hanging="426"/>
              <w:jc w:val="left"/>
              <w:rPr>
                <w:rFonts w:eastAsia="Times New Roman"/>
                <w:noProof/>
                <w:szCs w:val="24"/>
              </w:rPr>
            </w:pPr>
            <w:r>
              <w:rPr>
                <w:noProof/>
              </w:rPr>
              <w:t>а)</w:t>
            </w:r>
            <w:r>
              <w:rPr>
                <w:noProof/>
              </w:rPr>
              <w:tab/>
              <w:t>процент на участниците в ПОО, определени като групи в неравностойно положение (в определен регион или район на заетост), по възраст и по пол</w:t>
            </w:r>
          </w:p>
          <w:p>
            <w:pPr>
              <w:ind w:left="426" w:hanging="426"/>
              <w:jc w:val="left"/>
              <w:rPr>
                <w:rFonts w:eastAsia="Times New Roman"/>
                <w:noProof/>
                <w:szCs w:val="24"/>
              </w:rPr>
            </w:pPr>
            <w:r>
              <w:rPr>
                <w:noProof/>
              </w:rPr>
              <w:t>б)</w:t>
            </w:r>
            <w:r>
              <w:rPr>
                <w:noProof/>
              </w:rPr>
              <w:tab/>
              <w:t>степен на успеваемост на групите в неравностойно положение по възраст и по пол</w:t>
            </w:r>
          </w:p>
        </w:tc>
        <w:tc>
          <w:tcPr>
            <w:tcW w:w="2216" w:type="dxa"/>
            <w:vAlign w:val="center"/>
          </w:tcPr>
          <w:p>
            <w:pPr>
              <w:jc w:val="left"/>
              <w:rPr>
                <w:rFonts w:eastAsia="Times New Roman"/>
                <w:noProof/>
                <w:szCs w:val="24"/>
              </w:rPr>
            </w:pPr>
            <w:r>
              <w:rPr>
                <w:noProof/>
              </w:rPr>
              <w:t>Контекстен показател</w:t>
            </w:r>
          </w:p>
        </w:tc>
        <w:tc>
          <w:tcPr>
            <w:tcW w:w="3421" w:type="dxa"/>
            <w:vAlign w:val="center"/>
          </w:tcPr>
          <w:p>
            <w:pPr>
              <w:jc w:val="left"/>
              <w:rPr>
                <w:rFonts w:eastAsia="Times New Roman"/>
                <w:noProof/>
                <w:szCs w:val="24"/>
              </w:rPr>
            </w:pPr>
            <w:r>
              <w:rPr>
                <w:noProof/>
              </w:rPr>
              <w:t>Обща информация за процеса на вземане на свързани с политиката решения на равнище системи за ПОО</w:t>
            </w:r>
          </w:p>
          <w:p>
            <w:pPr>
              <w:jc w:val="left"/>
              <w:rPr>
                <w:rFonts w:eastAsia="Times New Roman"/>
                <w:noProof/>
                <w:szCs w:val="24"/>
              </w:rPr>
            </w:pPr>
            <w:r>
              <w:rPr>
                <w:noProof/>
              </w:rPr>
              <w:t>Подкрепа за достъпа</w:t>
            </w:r>
            <w:r>
              <w:rPr>
                <w:noProof/>
              </w:rPr>
              <w:tab/>
              <w:t>на групите в неравностойно положение до ПОО</w:t>
            </w:r>
          </w:p>
          <w:p>
            <w:pPr>
              <w:jc w:val="left"/>
              <w:rPr>
                <w:noProof/>
                <w:szCs w:val="24"/>
              </w:rPr>
            </w:pPr>
            <w:r>
              <w:rPr>
                <w:noProof/>
              </w:rPr>
              <w:t>Подкрепа за предоставяне на адаптирано обучение за групите в неравностойно положение</w:t>
            </w:r>
          </w:p>
        </w:tc>
      </w:tr>
      <w:tr>
        <w:trPr>
          <w:trHeight w:val="20"/>
        </w:trPr>
        <w:tc>
          <w:tcPr>
            <w:tcW w:w="9289" w:type="dxa"/>
            <w:gridSpan w:val="3"/>
            <w:vAlign w:val="center"/>
          </w:tcPr>
          <w:p>
            <w:pPr>
              <w:jc w:val="left"/>
              <w:rPr>
                <w:rFonts w:cstheme="minorBidi"/>
                <w:b/>
                <w:i/>
                <w:noProof/>
              </w:rPr>
            </w:pPr>
            <w:r>
              <w:rPr>
                <w:b/>
                <w:i/>
                <w:noProof/>
              </w:rPr>
              <w:t>Номер 9</w:t>
            </w:r>
          </w:p>
        </w:tc>
      </w:tr>
      <w:tr>
        <w:trPr>
          <w:trHeight w:val="20"/>
        </w:trPr>
        <w:tc>
          <w:tcPr>
            <w:tcW w:w="3652" w:type="dxa"/>
            <w:vAlign w:val="center"/>
          </w:tcPr>
          <w:p>
            <w:pPr>
              <w:jc w:val="left"/>
              <w:rPr>
                <w:rFonts w:eastAsia="Times New Roman"/>
                <w:noProof/>
                <w:szCs w:val="24"/>
              </w:rPr>
            </w:pPr>
            <w:r>
              <w:rPr>
                <w:noProof/>
              </w:rPr>
              <w:t>Механизми за определяне на потребностите от обучение на пазара на труда:</w:t>
            </w:r>
          </w:p>
          <w:p>
            <w:pPr>
              <w:numPr>
                <w:ilvl w:val="0"/>
                <w:numId w:val="2"/>
              </w:numPr>
              <w:spacing w:before="0" w:after="0"/>
              <w:ind w:left="426" w:hanging="426"/>
              <w:contextualSpacing/>
              <w:jc w:val="left"/>
              <w:rPr>
                <w:rFonts w:eastAsia="Times New Roman"/>
                <w:noProof/>
                <w:szCs w:val="24"/>
              </w:rPr>
            </w:pPr>
            <w:r>
              <w:rPr>
                <w:noProof/>
              </w:rPr>
              <w:t>информация относно механизмите, създадени с цел установяване на променящите се потребности на различни равнища</w:t>
            </w:r>
          </w:p>
          <w:p>
            <w:pPr>
              <w:numPr>
                <w:ilvl w:val="0"/>
                <w:numId w:val="2"/>
              </w:numPr>
              <w:spacing w:before="0" w:after="0"/>
              <w:ind w:left="426" w:hanging="426"/>
              <w:contextualSpacing/>
              <w:jc w:val="left"/>
              <w:rPr>
                <w:rFonts w:eastAsia="Times New Roman"/>
                <w:noProof/>
                <w:szCs w:val="24"/>
              </w:rPr>
            </w:pPr>
            <w:r>
              <w:rPr>
                <w:noProof/>
              </w:rPr>
              <w:t>доказателства за използването на такива механизми и за тяхната ефективност</w:t>
            </w:r>
          </w:p>
        </w:tc>
        <w:tc>
          <w:tcPr>
            <w:tcW w:w="2216" w:type="dxa"/>
            <w:vAlign w:val="center"/>
          </w:tcPr>
          <w:p>
            <w:pPr>
              <w:jc w:val="left"/>
              <w:rPr>
                <w:noProof/>
                <w:w w:val="105"/>
                <w:szCs w:val="24"/>
              </w:rPr>
            </w:pPr>
            <w:r>
              <w:rPr>
                <w:noProof/>
              </w:rPr>
              <w:t>Контекстен/входен показател (качествена информация)</w:t>
            </w:r>
          </w:p>
        </w:tc>
        <w:tc>
          <w:tcPr>
            <w:tcW w:w="3421" w:type="dxa"/>
            <w:vAlign w:val="center"/>
          </w:tcPr>
          <w:p>
            <w:pPr>
              <w:jc w:val="left"/>
              <w:rPr>
                <w:rFonts w:eastAsia="Times New Roman"/>
                <w:noProof/>
                <w:szCs w:val="24"/>
              </w:rPr>
            </w:pPr>
            <w:r>
              <w:rPr>
                <w:noProof/>
              </w:rPr>
              <w:t>Подобряване на способността на ПОО да отговарят на променящите се потребности на пазара на труда</w:t>
            </w:r>
          </w:p>
          <w:p>
            <w:pPr>
              <w:jc w:val="left"/>
              <w:rPr>
                <w:noProof/>
                <w:szCs w:val="24"/>
              </w:rPr>
            </w:pPr>
            <w:r>
              <w:rPr>
                <w:noProof/>
              </w:rPr>
              <w:t>Подкрепа за пригодността за заетост</w:t>
            </w:r>
          </w:p>
        </w:tc>
      </w:tr>
      <w:tr>
        <w:trPr>
          <w:trHeight w:val="387"/>
        </w:trPr>
        <w:tc>
          <w:tcPr>
            <w:tcW w:w="9289" w:type="dxa"/>
            <w:gridSpan w:val="3"/>
            <w:vAlign w:val="center"/>
          </w:tcPr>
          <w:p>
            <w:pPr>
              <w:jc w:val="left"/>
              <w:rPr>
                <w:rFonts w:cstheme="minorBidi"/>
                <w:b/>
                <w:i/>
                <w:noProof/>
              </w:rPr>
            </w:pPr>
            <w:r>
              <w:rPr>
                <w:b/>
                <w:i/>
                <w:noProof/>
              </w:rPr>
              <w:t>Номер 10</w:t>
            </w:r>
          </w:p>
        </w:tc>
      </w:tr>
      <w:tr>
        <w:trPr>
          <w:trHeight w:val="2138"/>
        </w:trPr>
        <w:tc>
          <w:tcPr>
            <w:tcW w:w="3652" w:type="dxa"/>
            <w:vAlign w:val="center"/>
          </w:tcPr>
          <w:p>
            <w:pPr>
              <w:jc w:val="left"/>
              <w:rPr>
                <w:rFonts w:eastAsia="Times New Roman"/>
                <w:noProof/>
                <w:szCs w:val="24"/>
              </w:rPr>
            </w:pPr>
            <w:r>
              <w:rPr>
                <w:noProof/>
              </w:rPr>
              <w:t>Схеми, използвани за насърчаване на по-добрия достъп до ПОО и за предоставяне на професионално ориентиране за (потенциалните) учащи се в ПОО:</w:t>
            </w:r>
          </w:p>
          <w:p>
            <w:pPr>
              <w:ind w:left="426" w:hanging="426"/>
              <w:jc w:val="left"/>
              <w:rPr>
                <w:rFonts w:eastAsia="Times New Roman"/>
                <w:noProof/>
                <w:szCs w:val="24"/>
              </w:rPr>
            </w:pPr>
            <w:r>
              <w:rPr>
                <w:noProof/>
              </w:rPr>
              <w:t>а)</w:t>
            </w:r>
            <w:r>
              <w:rPr>
                <w:noProof/>
              </w:rPr>
              <w:tab/>
              <w:t>информация относно схемите, съществуващи на различни равнища</w:t>
            </w:r>
          </w:p>
          <w:p>
            <w:pPr>
              <w:ind w:left="426" w:hanging="426"/>
              <w:jc w:val="left"/>
              <w:rPr>
                <w:rFonts w:eastAsia="Times New Roman"/>
                <w:noProof/>
                <w:szCs w:val="24"/>
              </w:rPr>
            </w:pPr>
            <w:r>
              <w:rPr>
                <w:noProof/>
              </w:rPr>
              <w:t>б)</w:t>
            </w:r>
            <w:r>
              <w:rPr>
                <w:noProof/>
              </w:rPr>
              <w:tab/>
              <w:t>доказателства за тяхната ефективност</w:t>
            </w:r>
          </w:p>
        </w:tc>
        <w:tc>
          <w:tcPr>
            <w:tcW w:w="2216" w:type="dxa"/>
            <w:vAlign w:val="center"/>
          </w:tcPr>
          <w:p>
            <w:pPr>
              <w:jc w:val="left"/>
              <w:rPr>
                <w:noProof/>
                <w:szCs w:val="24"/>
              </w:rPr>
            </w:pPr>
            <w:r>
              <w:rPr>
                <w:noProof/>
              </w:rPr>
              <w:t>Процесен показател (качествена информация)</w:t>
            </w:r>
          </w:p>
        </w:tc>
        <w:tc>
          <w:tcPr>
            <w:tcW w:w="3421" w:type="dxa"/>
            <w:vAlign w:val="center"/>
          </w:tcPr>
          <w:p>
            <w:pPr>
              <w:jc w:val="left"/>
              <w:rPr>
                <w:rFonts w:eastAsia="Times New Roman"/>
                <w:noProof/>
                <w:szCs w:val="24"/>
              </w:rPr>
            </w:pPr>
            <w:r>
              <w:rPr>
                <w:noProof/>
              </w:rPr>
              <w:t>Насърчаване на достъпа до ПОО, включително за групите в неравностойно положение</w:t>
            </w:r>
          </w:p>
          <w:p>
            <w:pPr>
              <w:jc w:val="left"/>
              <w:rPr>
                <w:rFonts w:eastAsia="Times New Roman"/>
                <w:noProof/>
                <w:szCs w:val="24"/>
              </w:rPr>
            </w:pPr>
            <w:r>
              <w:rPr>
                <w:noProof/>
              </w:rPr>
              <w:t xml:space="preserve">Предоставяне на професионално ориентиране за (потенциалните) учащи се в ПОО </w:t>
            </w:r>
          </w:p>
          <w:p>
            <w:pPr>
              <w:jc w:val="left"/>
              <w:rPr>
                <w:noProof/>
                <w:szCs w:val="24"/>
              </w:rPr>
            </w:pPr>
            <w:r>
              <w:rPr>
                <w:noProof/>
              </w:rPr>
              <w:t>Подкрепа за предоставяне на адаптирано обучение</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63, 20.4.1963 г.</w:t>
      </w:r>
    </w:p>
  </w:footnote>
  <w:footnote w:id="2">
    <w:p>
      <w:pPr>
        <w:pStyle w:val="FootnoteText"/>
      </w:pPr>
      <w:r>
        <w:rPr>
          <w:rStyle w:val="FootnoteReference"/>
        </w:rPr>
        <w:footnoteRef/>
      </w:r>
      <w:r>
        <w:tab/>
        <w:t>ОВ C 398, 22.12.2012 г.</w:t>
      </w:r>
    </w:p>
  </w:footnote>
  <w:footnote w:id="3">
    <w:p>
      <w:pPr>
        <w:pStyle w:val="FootnoteText"/>
      </w:pPr>
      <w:r>
        <w:rPr>
          <w:rStyle w:val="FootnoteReference"/>
        </w:rPr>
        <w:footnoteRef/>
      </w:r>
      <w:r>
        <w:tab/>
        <w:t>Вж. приложение II към ЕКР „Дескриптори, които описват нивата в Европейската квалификационна рамка (ЕКР)“.</w:t>
      </w:r>
    </w:p>
  </w:footnote>
  <w:footnote w:id="4">
    <w:p>
      <w:pPr>
        <w:pStyle w:val="FootnoteText"/>
      </w:pPr>
      <w:r>
        <w:rPr>
          <w:rStyle w:val="FootnoteReference"/>
        </w:rPr>
        <w:footnoteRef/>
      </w:r>
      <w:r>
        <w:tab/>
        <w:t xml:space="preserve">ОВ C 484, 24.12.2016 г. </w:t>
      </w:r>
    </w:p>
  </w:footnote>
  <w:footnote w:id="5">
    <w:p>
      <w:pPr>
        <w:pStyle w:val="FootnoteText"/>
      </w:pPr>
      <w:r>
        <w:rPr>
          <w:rStyle w:val="FootnoteReference"/>
        </w:rPr>
        <w:footnoteRef/>
      </w:r>
      <w:r>
        <w:tab/>
        <w:t>ОВ C 189, 15.6.2017 г.</w:t>
      </w:r>
    </w:p>
  </w:footnote>
  <w:footnote w:id="6">
    <w:p>
      <w:pPr>
        <w:pStyle w:val="FootnoteText"/>
      </w:pPr>
      <w:r>
        <w:rPr>
          <w:rStyle w:val="FootnoteReference"/>
        </w:rPr>
        <w:footnoteRef/>
      </w:r>
      <w:r>
        <w:tab/>
        <w:t>ОВ C 423, 9.12.2017 г.</w:t>
      </w:r>
    </w:p>
  </w:footnote>
  <w:footnote w:id="7">
    <w:p>
      <w:pPr>
        <w:pStyle w:val="FootnoteText"/>
      </w:pPr>
      <w:r>
        <w:rPr>
          <w:rStyle w:val="FootnoteReference"/>
        </w:rPr>
        <w:footnoteRef/>
      </w:r>
      <w:r>
        <w:tab/>
        <w:t>ОВ L 112, 2.5.2018 г.</w:t>
      </w:r>
    </w:p>
  </w:footnote>
  <w:footnote w:id="8">
    <w:p>
      <w:pPr>
        <w:pStyle w:val="FootnoteText"/>
      </w:pPr>
      <w:r>
        <w:rPr>
          <w:rStyle w:val="FootnoteReference"/>
        </w:rPr>
        <w:footnoteRef/>
      </w:r>
      <w:r>
        <w:tab/>
        <w:t>ОВ C 189, 4.6.2018 г.</w:t>
      </w:r>
    </w:p>
  </w:footnote>
  <w:footnote w:id="9">
    <w:p>
      <w:pPr>
        <w:pStyle w:val="FootnoteText"/>
      </w:pPr>
      <w:r>
        <w:rPr>
          <w:rStyle w:val="FootnoteReference"/>
        </w:rPr>
        <w:footnoteRef/>
      </w:r>
      <w:r>
        <w:tab/>
        <w:t>ОВ C 444, 10.12.2018 г.</w:t>
      </w:r>
    </w:p>
  </w:footnote>
  <w:footnote w:id="10">
    <w:p>
      <w:pPr>
        <w:pStyle w:val="FootnoteText"/>
      </w:pPr>
      <w:r>
        <w:rPr>
          <w:rStyle w:val="FootnoteReference"/>
        </w:rPr>
        <w:footnoteRef/>
      </w:r>
      <w:r>
        <w:tab/>
        <w:t>ОВ C 195, 7.6.2018 г., стр. 7.</w:t>
      </w:r>
    </w:p>
  </w:footnote>
  <w:footnote w:id="11">
    <w:p>
      <w:pPr>
        <w:pStyle w:val="FootnoteText"/>
      </w:pPr>
      <w:r>
        <w:rPr>
          <w:rStyle w:val="FootnoteReference"/>
        </w:rPr>
        <w:footnoteRef/>
      </w:r>
      <w:r>
        <w:tab/>
        <w:t>ОВ C 389, 18.11.2019 г., стр. 1.</w:t>
      </w:r>
    </w:p>
  </w:footnote>
  <w:footnote w:id="12">
    <w:p>
      <w:pPr>
        <w:pStyle w:val="FootnoteText"/>
      </w:pPr>
      <w:r>
        <w:rPr>
          <w:rStyle w:val="FootnoteReference"/>
        </w:rPr>
        <w:footnoteRef/>
      </w:r>
      <w:r>
        <w:tab/>
        <w:t>ОВ C 189, 5.6.2019 г.</w:t>
      </w:r>
    </w:p>
  </w:footnote>
  <w:footnote w:id="13">
    <w:p>
      <w:pPr>
        <w:pStyle w:val="FootnoteText"/>
      </w:pPr>
      <w:r>
        <w:rPr>
          <w:rStyle w:val="FootnoteReference"/>
        </w:rPr>
        <w:footnoteRef/>
      </w:r>
      <w:r>
        <w:tab/>
        <w:t>COM(2019) 650 final.</w:t>
      </w:r>
    </w:p>
  </w:footnote>
  <w:footnote w:id="14">
    <w:p>
      <w:pPr>
        <w:pStyle w:val="FootnoteText"/>
      </w:pPr>
      <w:r>
        <w:rPr>
          <w:rStyle w:val="FootnoteReference"/>
        </w:rPr>
        <w:footnoteRef/>
      </w:r>
      <w:r>
        <w:tab/>
        <w:t>За първоначалното професионално обучение: за да може учащият се да се счита за участник, се изискват поне 6 седмици обучение. За ученето през целия живот: процент на лицата, приети във формални програми за ПОО.</w:t>
      </w:r>
    </w:p>
  </w:footnote>
  <w:footnote w:id="15">
    <w:p>
      <w:pPr>
        <w:pStyle w:val="FootnoteText"/>
      </w:pPr>
      <w:r>
        <w:rPr>
          <w:rStyle w:val="FootnoteReference"/>
        </w:rPr>
        <w:footnoteRef/>
      </w:r>
      <w:r>
        <w:tab/>
        <w:t>Освен основната информация за пола и възрастта, могат да бъдат прилагани и други социални критерии, например лица, напуснали рано училище, най-високо образователно постижение, мигранти, лица с увреждания, продължителност на периода на безработица.</w:t>
      </w:r>
    </w:p>
  </w:footnote>
  <w:footnote w:id="16">
    <w:p>
      <w:pPr>
        <w:pStyle w:val="FootnoteText"/>
      </w:pPr>
      <w:r>
        <w:rPr>
          <w:rStyle w:val="FootnoteReference"/>
        </w:rPr>
        <w:footnoteRef/>
      </w:r>
      <w:r>
        <w:tab/>
        <w:t>За първоначалното професионално обучение: включително информация за положението на отпадналите от обучението.</w:t>
      </w:r>
    </w:p>
  </w:footnote>
  <w:footnote w:id="17">
    <w:p>
      <w:pPr>
        <w:pStyle w:val="FootnoteText"/>
      </w:pPr>
      <w:r>
        <w:rPr>
          <w:rStyle w:val="FootnoteReference"/>
        </w:rPr>
        <w:footnoteRef/>
      </w:r>
      <w:r>
        <w:tab/>
        <w:t>Определение според МОТ: лица на възраст 15—74 години, които са без работа, търсят активно работа и са готови да започнат работа.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F2A9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1FC52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90C7F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89A74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4292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F049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FEEC94A"/>
    <w:lvl w:ilvl="0">
      <w:start w:val="1"/>
      <w:numFmt w:val="decimal"/>
      <w:pStyle w:val="ListNumber"/>
      <w:lvlText w:val="%1."/>
      <w:lvlJc w:val="left"/>
      <w:pPr>
        <w:tabs>
          <w:tab w:val="num" w:pos="360"/>
        </w:tabs>
        <w:ind w:left="360" w:hanging="360"/>
      </w:pPr>
    </w:lvl>
  </w:abstractNum>
  <w:abstractNum w:abstractNumId="7">
    <w:nsid w:val="FFFFFF89"/>
    <w:multiLevelType w:val="singleLevel"/>
    <w:tmpl w:val="FA3C94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1AB7459"/>
    <w:multiLevelType w:val="hybridMultilevel"/>
    <w:tmpl w:val="E61A0F7C"/>
    <w:lvl w:ilvl="0" w:tplc="21C29A64">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0F3096"/>
    <w:multiLevelType w:val="hybridMultilevel"/>
    <w:tmpl w:val="5D6A270C"/>
    <w:lvl w:ilvl="0" w:tplc="586823CE">
      <w:start w:val="1"/>
      <w:numFmt w:val="decimal"/>
      <w:pStyle w:val="NumPar0"/>
      <w:lvlText w:val="%1)"/>
      <w:lvlJc w:val="left"/>
      <w:pPr>
        <w:ind w:left="2062" w:hanging="360"/>
      </w:p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8"/>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3"/>
  </w:num>
  <w:num w:numId="14">
    <w:abstractNumId w:val="22"/>
  </w:num>
  <w:num w:numId="15">
    <w:abstractNumId w:val="12"/>
  </w:num>
  <w:num w:numId="16">
    <w:abstractNumId w:val="14"/>
  </w:num>
  <w:num w:numId="17">
    <w:abstractNumId w:val="10"/>
  </w:num>
  <w:num w:numId="18">
    <w:abstractNumId w:val="21"/>
  </w:num>
  <w:num w:numId="19">
    <w:abstractNumId w:val="9"/>
  </w:num>
  <w:num w:numId="20">
    <w:abstractNumId w:val="15"/>
  </w:num>
  <w:num w:numId="21">
    <w:abstractNumId w:val="18"/>
  </w:num>
  <w:num w:numId="22">
    <w:abstractNumId w:val="19"/>
  </w:num>
  <w:num w:numId="23">
    <w:abstractNumId w:val="11"/>
  </w:num>
  <w:num w:numId="24">
    <w:abstractNumId w:val="17"/>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activeWritingStyle w:appName="MSWord" w:lang="pt-PT" w:vendorID="64" w:dllVersion="131078"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9 18:59: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u1055?\u1088?\u1077?\u1076?\u1083?\u1086?\u1078?\u1077?\u1085?\u1080?\u1077? \u1079?\u1072?"/>
    <w:docVar w:name="LW_ACCOMPAGNANT.CP" w:val="\u1082?\u1098?\u1084? \u1055?\u1088?\u1077?\u1076?\u1083?\u1086?\u1078?\u1077?\u1085?\u1080?\u1077? \u1079?\u1072?"/>
    <w:docVar w:name="LW_ANNEX_NBR_FIRST" w:val="1"/>
    <w:docVar w:name="LW_ANNEX_NBR_LAST" w:val="2"/>
    <w:docVar w:name="LW_ANNEX_UNIQUE" w:val="0"/>
    <w:docVar w:name="LW_CORRIGENDUM" w:val="&lt;UNUSED&gt;"/>
    <w:docVar w:name="LW_COVERPAGE_EXISTS" w:val="True"/>
    <w:docVar w:name="LW_COVERPAGE_GUID" w:val="92A33768-E436-4FB5-8241-B7F60DC61BC2"/>
    <w:docVar w:name="LW_COVERPAGE_TYPE" w:val="1"/>
    <w:docVar w:name="LW_CROSSREFERENCE" w:val="{SWD(2020) 123 final}"/>
    <w:docVar w:name="LW_DocType" w:val="ANNEX"/>
    <w:docVar w:name="LW_EMISSION" w:val="1.7.2020"/>
    <w:docVar w:name="LW_EMISSION_ISODATE" w:val="2020-07-01"/>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Bold&gt;\u1086?\u1090?\u1085?\u1086?\u1089?\u1085?\u1086? \u1087?\u1088?\u1086?\u1092?\u1077?\u1089?\u1080?\u1086?\u1085?\u1072?\u1083?\u1085?\u1086?\u1090?\u1086? \u1086?\u1073?\u1088?\u1072?\u1079?\u1086?\u1074?\u1072?\u1085?\u1080?\u1077? \u1080? \u1086?\u1073?\u1091?\u1095?\u1077?\u1085?\u1080?\u1077? (\u1055?\u1054?\u1054?) \u1079?\u1072? \u1087?\u1086?\u1089?\u1090?\u1080?\u1075?\u1072?\u1085?\u1077? \u1085?\u1072? \u1091?\u1089?\u1090?\u1086?\u1081?\u1095?\u1080?\u1074?\u1072? \u1082?\u1086?\u1085?\u1082?\u1091?\u1088?\u1077?\u1085?\u1090?\u1086?\u1089?\u1087?\u1086?\u1089?\u1086?\u1073?\u1085?\u1086?\u1089?\u1090?, \u1089?\u1086?\u1094?\u1080?\u1072?\u1083?\u1085?\u1072? \u1089?\u1087?\u1088?\u1072?\u1074?\u1077?\u1076?\u1083?\u1080?\u1074?\u1086?\u1089?\u1090? \u1080? \u1080?\u1079?\u1076?\u1088?\u1098?\u1078?\u1083?\u1080?\u1074?\u1086?\u1089?\u1090?&lt;/FMT&gt;_x000d__x000d__x000d__x000d__x000d__x000d__x000d__x000d__x000d__x000d__x000d__x000d__x000b_"/>
    <w:docVar w:name="LW_OBJETACTEPRINCIPAL.CP" w:val="&lt;FMT:Bold&gt;\u1086?\u1090?\u1085?\u1086?\u1089?\u1085?\u1086? \u1087?\u1088?\u1086?\u1092?\u1077?\u1089?\u1080?\u1086?\u1085?\u1072?\u1083?\u1085?\u1086?\u1090?\u1086? \u1086?\u1073?\u1088?\u1072?\u1079?\u1086?\u1074?\u1072?\u1085?\u1080?\u1077? \u1080? \u1086?\u1073?\u1091?\u1095?\u1077?\u1085?\u1080?\u1077? (\u1055?\u1054?\u1054?) \u1079?\u1072? \u1087?\u1086?\u1089?\u1090?\u1080?\u1075?\u1072?\u1085?\u1077? \u1085?\u1072? \u1091?\u1089?\u1090?\u1086?\u1081?\u1095?\u1080?\u1074?\u1072? \u1082?\u1086?\u1085?\u1082?\u1091?\u1088?\u1077?\u1085?\u1090?\u1086?\u1089?\u1087?\u1086?\u1089?\u1086?\u1073?\u1085?\u1086?\u1089?\u1090?, \u1089?\u1086?\u1094?\u1080?\u1072?\u1083?\u1085?\u1072? \u1089?\u1087?\u1088?\u1072?\u1074?\u1077?\u1076?\u1083?\u1080?\u1074?\u1086?\u1089?\u1090? \u1080? \u1080?\u1079?\u1076?\u1088?\u1098?\u1078?\u1083?\u1080?\u1074?\u1086?\u1089?\u1090?&lt;/FMT&gt;_x000d__x000d__x000d__x000d__x000d__x000d__x000d__x000d__x000d__x000d__x000d__x000d__x000b_"/>
    <w:docVar w:name="LW_PART_NBR" w:val="&lt;UNUSED&gt;"/>
    <w:docVar w:name="LW_PART_NBR_TOTAL" w:val="&lt;UNUSED&gt;"/>
    <w:docVar w:name="LW_REF.INST.NEW" w:val="COM"/>
    <w:docVar w:name="LW_REF.INST.NEW_ADOPTED" w:val="final"/>
    <w:docVar w:name="LW_REF.INST.NEW_TEXT" w:val="(2020) 2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56?\u1045?\u1055?\u1054?\u1056?\u1066?\u1050?\u1040? \u1053?\u1040? \u1057?\u1066?\u1042?\u1045?\u1058?\u1040?_x000b_"/>
    <w:docVar w:name="LW_TYPEACTEPRINCIPAL.CP" w:val="\u1055?\u1056?\u1045?\u1055?\u1054?\u1056?\u1066?\u1050?\u1040?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NumPar0">
    <w:name w:val="NumPar 0"/>
    <w:basedOn w:val="Normal"/>
    <w:pPr>
      <w:numPr>
        <w:numId w:val="1"/>
      </w:numPr>
      <w:spacing w:before="0" w:after="200" w:line="276" w:lineRule="auto"/>
      <w:ind w:left="567" w:hanging="567"/>
      <w:jc w:val="left"/>
    </w:pPr>
    <w:rPr>
      <w:lang w:bidi="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NumPar0">
    <w:name w:val="NumPar 0"/>
    <w:basedOn w:val="Normal"/>
    <w:pPr>
      <w:numPr>
        <w:numId w:val="1"/>
      </w:numPr>
      <w:spacing w:before="0" w:after="200" w:line="276" w:lineRule="auto"/>
      <w:ind w:left="567" w:hanging="567"/>
      <w:jc w:val="left"/>
    </w:pPr>
    <w:rPr>
      <w:lang w:bidi="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0607588f-e8fc-4f62-89a5-2b63ec5058da">EN</EC_Collab_DocumentLanguage>
    <EC_Collab_Status xmlns="0607588f-e8fc-4f62-89a5-2b63ec5058da">Not Started</EC_Collab_Status>
    <EC_Collab_Reference xmlns="0607588f-e8fc-4f62-89a5-2b63ec5058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A497FD42E47274BB8C9F216EABFADD9" ma:contentTypeVersion="8" ma:contentTypeDescription="Create a new document in this library." ma:contentTypeScope="" ma:versionID="e95cf22ec94fa30968592f30d9b476e4">
  <xsd:schema xmlns:xsd="http://www.w3.org/2001/XMLSchema" xmlns:xs="http://www.w3.org/2001/XMLSchema" xmlns:p="http://schemas.microsoft.com/office/2006/metadata/properties" xmlns:ns3="0607588f-e8fc-4f62-89a5-2b63ec5058da" targetNamespace="http://schemas.microsoft.com/office/2006/metadata/properties" ma:root="true" ma:fieldsID="30171a0791002974d7eb4f17f59606ef" ns3:_="">
    <xsd:import namespace="0607588f-e8fc-4f62-89a5-2b63ec5058d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7588f-e8fc-4f62-89a5-2b63ec5058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E09F76A-D2CF-40D4-A043-D853F6B2EF9F}">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0607588f-e8fc-4f62-89a5-2b63ec5058da"/>
    <ds:schemaRef ds:uri="http://www.w3.org/XML/1998/namespace"/>
  </ds:schemaRefs>
</ds:datastoreItem>
</file>

<file path=customXml/itemProps2.xml><?xml version="1.0" encoding="utf-8"?>
<ds:datastoreItem xmlns:ds="http://schemas.openxmlformats.org/officeDocument/2006/customXml" ds:itemID="{C1B42879-A0A1-455F-9BE8-8E119801D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7588f-e8fc-4f62-89a5-2b63ec505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68535-CAB2-47E1-8BAA-A4C43545C37C}">
  <ds:schemaRefs>
    <ds:schemaRef ds:uri="http://schemas.microsoft.com/sharepoint/v3/contenttype/forms"/>
  </ds:schemaRefs>
</ds:datastoreItem>
</file>

<file path=customXml/itemProps4.xml><?xml version="1.0" encoding="utf-8"?>
<ds:datastoreItem xmlns:ds="http://schemas.openxmlformats.org/officeDocument/2006/customXml" ds:itemID="{E1242A61-1D71-474C-B34A-73388856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12</Pages>
  <Words>2971</Words>
  <Characters>17946</Characters>
  <Application>Microsoft Office Word</Application>
  <DocSecurity>0</DocSecurity>
  <Lines>690</Lines>
  <Paragraphs>185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2020-07-07T13:01:00Z</dcterms:created>
  <dcterms:modified xsi:type="dcterms:W3CDTF">2020-07-09T16:59:00Z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First annex">
    <vt:lpwstr>1</vt:lpwstr>
  </property>
  <property fmtid="{D5CDD505-2E9C-101B-9397-08002B2CF9AE}" pid="5" name="Last annex">
    <vt:lpwstr>2</vt:lpwstr>
  </property>
  <property fmtid="{D5CDD505-2E9C-101B-9397-08002B2CF9AE}" pid="6" name="Unique annex">
    <vt:lpwstr>0</vt:lpwstr>
  </property>
  <property fmtid="{D5CDD505-2E9C-101B-9397-08002B2CF9AE}" pid="7" name="Part">
    <vt:lpwstr>&lt;UNUSED&gt;</vt:lpwstr>
  </property>
  <property fmtid="{D5CDD505-2E9C-101B-9397-08002B2CF9AE}" pid="8" name="Total parts">
    <vt:lpwstr>&lt;UNUSED&gt;</vt:lpwstr>
  </property>
  <property fmtid="{D5CDD505-2E9C-101B-9397-08002B2CF9AE}" pid="9" name="LWTemplateID">
    <vt:lpwstr>SG-017</vt:lpwstr>
  </property>
  <property fmtid="{D5CDD505-2E9C-101B-9397-08002B2CF9AE}" pid="10" name="ContentTypeId">
    <vt:lpwstr>0x010100258AA79CEB83498886A3A0868112325000FA497FD42E47274BB8C9F216EABFADD9</vt:lpwstr>
  </property>
  <property fmtid="{D5CDD505-2E9C-101B-9397-08002B2CF9AE}" pid="11" name="DQCStatus">
    <vt:lpwstr>Green (DQC version 03)</vt:lpwstr>
  </property>
  <property fmtid="{D5CDD505-2E9C-101B-9397-08002B2CF9AE}" pid="12" name="Category">
    <vt:lpwstr>COM/ANNEX</vt:lpwstr>
  </property>
</Properties>
</file>