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6C3A446-BB87-484F-BBEB-BA04511BC0E8" style="width:450.85pt;height:407.1pt">
            <v:imagedata r:id="rId12" o:title=""/>
          </v:shape>
        </w:pict>
      </w:r>
    </w:p>
    <w:bookmarkEnd w:id="0"/>
    <w:bookmarkEnd w:id="1"/>
    <w:bookmarkEnd w:id="2"/>
    <w:bookmarkEnd w:id="3"/>
    <w:bookmarkEnd w:id="4"/>
    <w:p>
      <w:pPr>
        <w:spacing w:after="0" w:line="240" w:lineRule="auto"/>
        <w:rPr>
          <w:rFonts w:ascii="Times New Roman" w:hAnsi="Times New Roman"/>
          <w:noProof/>
          <w:sz w:val="24"/>
          <w:szCs w:val="24"/>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299"/>
        </w:sectPr>
      </w:pPr>
    </w:p>
    <w:p>
      <w:pPr>
        <w:keepNext/>
        <w:keepLines/>
        <w:spacing w:line="640" w:lineRule="atLeast"/>
        <w:jc w:val="right"/>
        <w:outlineLvl w:val="1"/>
        <w:rPr>
          <w:rFonts w:ascii="Times New Roman" w:hAnsi="Times New Roman"/>
          <w:b/>
          <w:bCs/>
          <w:noProof/>
          <w:sz w:val="24"/>
          <w:szCs w:val="24"/>
          <w:highlight w:val="yellow"/>
        </w:rPr>
      </w:pPr>
      <w:bookmarkStart w:id="5" w:name="_Toc485222998"/>
      <w:bookmarkStart w:id="6" w:name="_GoBack"/>
      <w:bookmarkEnd w:id="6"/>
      <w:r>
        <w:rPr>
          <w:rFonts w:ascii="Times New Roman" w:hAnsi="Times New Roman"/>
          <w:b/>
          <w:bCs/>
          <w:noProof/>
          <w:sz w:val="24"/>
          <w:szCs w:val="24"/>
        </w:rPr>
        <w:lastRenderedPageBreak/>
        <w:t xml:space="preserve">Приложение </w:t>
      </w:r>
      <w:bookmarkEnd w:id="5"/>
      <w:r>
        <w:rPr>
          <w:rFonts w:ascii="Times New Roman" w:hAnsi="Times New Roman"/>
          <w:b/>
          <w:bCs/>
          <w:noProof/>
          <w:sz w:val="24"/>
          <w:szCs w:val="24"/>
        </w:rPr>
        <w:t>1</w:t>
      </w:r>
    </w:p>
    <w:p>
      <w:pPr>
        <w:spacing w:line="270" w:lineRule="atLeast"/>
        <w:rPr>
          <w:rFonts w:ascii="Times New Roman" w:hAnsi="Times New Roman"/>
          <w:b/>
          <w:noProof/>
          <w:szCs w:val="24"/>
        </w:rPr>
      </w:pPr>
      <w:r>
        <w:rPr>
          <w:rFonts w:ascii="Times New Roman" w:hAnsi="Times New Roman"/>
          <w:b/>
          <w:noProof/>
          <w:szCs w:val="24"/>
        </w:rPr>
        <w:t>Кодовете по Хармонизираната система (ХС) на основните внесени през 2018 г. изделия по FLEGT</w:t>
      </w:r>
    </w:p>
    <w:tbl>
      <w:tblPr>
        <w:tblStyle w:val="TableGrid6"/>
        <w:tblW w:w="5047" w:type="pct"/>
        <w:tblInd w:w="28" w:type="dxa"/>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1379"/>
        <w:gridCol w:w="12813"/>
      </w:tblGrid>
      <w:tr>
        <w:trPr>
          <w:tblHeader/>
        </w:trPr>
        <w:tc>
          <w:tcPr>
            <w:tcW w:w="486" w:type="pct"/>
            <w:tcBorders>
              <w:top w:val="single" w:sz="4" w:space="0" w:color="auto"/>
              <w:left w:val="nil"/>
              <w:bottom w:val="single" w:sz="4" w:space="0" w:color="auto"/>
              <w:right w:val="single" w:sz="4" w:space="0" w:color="auto"/>
            </w:tcBorders>
            <w:shd w:val="clear" w:color="auto" w:fill="6C8911"/>
            <w:hideMark/>
          </w:tcPr>
          <w:p>
            <w:pPr>
              <w:autoSpaceDE w:val="0"/>
              <w:autoSpaceDN w:val="0"/>
              <w:adjustRightInd w:val="0"/>
              <w:spacing w:after="60" w:line="240" w:lineRule="auto"/>
              <w:rPr>
                <w:rFonts w:ascii="Times New Roman" w:eastAsiaTheme="minorHAnsi" w:hAnsi="Times New Roman" w:cs="Times New Roman"/>
                <w:noProof/>
                <w:color w:val="FFFFFF" w:themeColor="background1"/>
                <w:sz w:val="16"/>
                <w:szCs w:val="16"/>
              </w:rPr>
            </w:pPr>
            <w:r>
              <w:rPr>
                <w:rFonts w:ascii="Times New Roman" w:hAnsi="Times New Roman"/>
                <w:noProof/>
                <w:color w:val="FFFFFF" w:themeColor="background1"/>
                <w:sz w:val="16"/>
                <w:szCs w:val="16"/>
              </w:rPr>
              <w:t>Код по ХС</w:t>
            </w:r>
          </w:p>
        </w:tc>
        <w:tc>
          <w:tcPr>
            <w:tcW w:w="4514" w:type="pct"/>
            <w:tcBorders>
              <w:top w:val="single" w:sz="4" w:space="0" w:color="auto"/>
              <w:left w:val="single" w:sz="4" w:space="0" w:color="auto"/>
              <w:bottom w:val="single" w:sz="4" w:space="0" w:color="auto"/>
              <w:right w:val="nil"/>
            </w:tcBorders>
            <w:shd w:val="clear" w:color="auto" w:fill="6C8911"/>
            <w:hideMark/>
          </w:tcPr>
          <w:p>
            <w:pPr>
              <w:autoSpaceDE w:val="0"/>
              <w:autoSpaceDN w:val="0"/>
              <w:adjustRightInd w:val="0"/>
              <w:spacing w:after="60" w:line="240" w:lineRule="auto"/>
              <w:rPr>
                <w:rFonts w:ascii="Times New Roman" w:eastAsiaTheme="minorHAnsi" w:hAnsi="Times New Roman" w:cs="Times New Roman"/>
                <w:noProof/>
                <w:color w:val="FFFFFF" w:themeColor="background1"/>
                <w:sz w:val="16"/>
                <w:szCs w:val="16"/>
              </w:rPr>
            </w:pPr>
            <w:r>
              <w:rPr>
                <w:rFonts w:ascii="Times New Roman" w:hAnsi="Times New Roman"/>
                <w:noProof/>
                <w:color w:val="FFFFFF" w:themeColor="background1"/>
                <w:sz w:val="16"/>
                <w:szCs w:val="16"/>
              </w:rPr>
              <w:t xml:space="preserve">Подробности </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hAnsi="Times New Roman" w:cs="Times New Roman"/>
                <w:noProof/>
                <w:sz w:val="16"/>
                <w:szCs w:val="16"/>
              </w:rPr>
            </w:pPr>
            <w:r>
              <w:rPr>
                <w:rFonts w:ascii="Times New Roman" w:hAnsi="Times New Roman"/>
                <w:noProof/>
                <w:sz w:val="16"/>
                <w:szCs w:val="16"/>
              </w:rPr>
              <w:t xml:space="preserve">Дървен материал, нарязан или бичен надлъжно, цепен или кръгообразно нарязан, рендосан, шлифован или клинозъбно съединен, с дебелина над 6 mm  </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4407.25</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Тропически дървесни видове; дървен материал от тъмночервено меранти, светлочервено меранти и меранти бакау, нарязан или бичен надлъжно, цепен или кръгообразно нарязан, дори рендосан, шлифован или клинозъбно съединен, с дебелина, по-голяма от 6 mm</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4407.29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Тропически дървесни видове; тиково дърво, нарязано или бичено надлъжно, цепено или кръгообразно нарязано, дори рендосано, шлифовано или клинозъбно съединено, с дебелина над 6 mm</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ръба или страни, дори рендосан, шлифован или клинозъбно съединен</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4409.22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Дървен материал; тропически дървесни видове (включително паркетни дъски и фризи), профилирани по дължината на един или на няколко ръбове или страни, дори рендосани, шлифовани или клинозъбно съединени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4409.29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ръба или страни, дори рендосан, шлифован или клинозъбно съединен, различен от иглолистния (не от ратан)</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sz w:val="16"/>
                <w:szCs w:val="16"/>
              </w:rPr>
              <w:t>4412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color w:val="007C9A"/>
                <w:sz w:val="16"/>
                <w:szCs w:val="16"/>
              </w:rPr>
            </w:pPr>
            <w:r>
              <w:rPr>
                <w:rFonts w:ascii="Times New Roman" w:hAnsi="Times New Roman"/>
                <w:noProof/>
                <w:sz w:val="16"/>
                <w:szCs w:val="16"/>
              </w:rPr>
              <w:t>Шперплат, фурнировани плоскости и подобен слоест дървен материал</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4412.31</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Шперплат; съставен само от дървесни листове (различни от бамбука), с единична дебелина 6 mm или по-малко, с най-малко един външен пласт от тропически дървесни видове</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4412.39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Шперплат; съставен само от дървесни листове (различни от бамбука), с единична дебелина 6 mm или по-малко, с два външни пласта от иглолистен дървен материал</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4412.94</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imes New Roman" w:hAnsi="Times New Roman" w:cs="Times New Roman"/>
                <w:noProof/>
                <w:sz w:val="16"/>
                <w:szCs w:val="16"/>
              </w:rPr>
            </w:pPr>
            <w:r>
              <w:rPr>
                <w:rFonts w:ascii="Times New Roman" w:hAnsi="Times New Roman"/>
                <w:noProof/>
                <w:sz w:val="16"/>
                <w:szCs w:val="16"/>
              </w:rPr>
              <w:t>с дъсчена, летвена или лентова сърцевина (не от бамбук и различна от шперплат, съставен само от дървесни листове, с единична дебелина 6 mm или по-малко)</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sz w:val="16"/>
                <w:szCs w:val="16"/>
              </w:rPr>
            </w:pPr>
            <w:r>
              <w:rPr>
                <w:rFonts w:ascii="Times New Roman" w:hAnsi="Times New Roman"/>
                <w:noProof/>
                <w:sz w:val="16"/>
                <w:szCs w:val="16"/>
              </w:rPr>
              <w:t>4412.99</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sz w:val="16"/>
                <w:szCs w:val="16"/>
              </w:rPr>
            </w:pPr>
            <w:r>
              <w:rPr>
                <w:rFonts w:ascii="Times New Roman" w:hAnsi="Times New Roman"/>
                <w:noProof/>
                <w:color w:val="000000"/>
                <w:sz w:val="16"/>
                <w:szCs w:val="16"/>
              </w:rPr>
              <w:t>Шперплат; несъставен само от дървесни листове, несъдържащ външен пласт от дървен материал, различен от иглолистния, несъдържащ пласт от тропически дървесни видове, несъдържащ пласт от плочи от дървесни частици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Дърводелски изделия и части за конструкции от дърво, включително порести дървесни плочи, съединени плочи за подови настилки и покривни шиндри („shingles“ и „shakes“), от дървен материал</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4418.20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Дървен материал; врати и техните каси и прагове</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4418.99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Дървен материал; дърводелски изделия и части за конструкции от дърво, различно от бамбук, некласифицирани другаде в позиция 4418</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Хартии и картони, непокрити, от видовете, използвани за писане, печатане или други графични цели, и хартии и картони за карти или за ленти за перфориране, на роли или на листа, различни от хартиите от позиции 4801 или 4803; хартии и картони, произведени на отделни листа (ръчно отлята хартия)</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4802.56</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Непокрити хартии и картони (различни от позиция 4801 или 4803); използвани за печатане, писане или графични цели, с 10 % или по-малко тегловно механично или химико-механично обработено влакно, с тегло 40—150 g/m2, на листове с размери 435 mm или по-малко на 297 mm или по-малко (несгънати)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4802.57</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Непокрити хартии и картони (различни от позиция 4801 или 4803); използвани за печатане, писане или графични цели, с 10 % или по-малко тегловно механично или химико-механично обработено влакно, с тегло 40—150 g/m2, некласифицирани другаде в позиция 4802.55 или 4802.56</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4803</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Хартии от видовете, използвани за направа на салфетки за почистване на грим, на хартии за подсушаване на ръцете, на салфетки или на подобни; за домакинска или хигиенна употреба, целулозна вата и платна от целулозни влакна, на роли с ширина над 36 cm или листове с правоъгълна форма, като едната им страна надвишава 36 cm, когато не са сгънати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4803.00</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Хартии от видовете, използвани за направа на салфетки за почистване на грим, на хартии за подсушаване на ръцете, на салфетки или на подобни; за домакинска или хигиенна употреба, целулозна вата и платна от целулозни влакна, на роли с ширина над 36 cm или листове с правоъгълна форма, като едната им страна надвишава 36 cm, когато не са сгънати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4804</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Крафтхартии и крафткартони, непромазани, на роли или на листове, различни от тези в позиция 4802 или 4803</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4810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Хартии и картони, на които едната или двете страни са покрити с каолин или други неорганични вещества, със или без свързващи материали, с 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 (с изключение на недървесни и рециклирани материали)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4810.29</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Хартии и картони; покрити само с каолин или други неорганични вещества, със съдържание на механично обработени влакна, превишаващо 10 % (с изключение на леката грундирана хартия), използвани за писане, печатане или други графични цели, на роли или на листове</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9401</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Мебели за сядане (с изключение на тези от позиция 9402), дори превръщащи се на легла, и техните части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9401.69</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Мебели за сядане; с рамки от дърво, нетапицирани (с изключение на медицинска, хирургическа, стоматологична, ветеринарна или фризьорска мебел)</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Други мебели и техните части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9403.50</w:t>
            </w:r>
          </w:p>
        </w:tc>
        <w:tc>
          <w:tcPr>
            <w:tcW w:w="4514" w:type="pct"/>
            <w:tcBorders>
              <w:top w:val="single" w:sz="4" w:space="0" w:color="auto"/>
              <w:left w:val="single" w:sz="4" w:space="0" w:color="auto"/>
              <w:bottom w:val="single" w:sz="4" w:space="0" w:color="auto"/>
              <w:right w:val="nil"/>
            </w:tcBorders>
            <w:hideMark/>
          </w:tcPr>
          <w:p>
            <w:pPr>
              <w:spacing w:after="0" w:line="240" w:lineRule="auto"/>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Мебели; от дървен материал, предназначени за използване в спални</w:t>
            </w:r>
          </w:p>
        </w:tc>
      </w:tr>
      <w:tr>
        <w:tc>
          <w:tcPr>
            <w:tcW w:w="486" w:type="pct"/>
            <w:tcBorders>
              <w:top w:val="single" w:sz="4" w:space="0" w:color="auto"/>
              <w:left w:val="nil"/>
              <w:bottom w:val="single" w:sz="4" w:space="0" w:color="auto"/>
              <w:right w:val="single" w:sz="4" w:space="0" w:color="auto"/>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9403.60</w:t>
            </w:r>
          </w:p>
        </w:tc>
        <w:tc>
          <w:tcPr>
            <w:tcW w:w="4514" w:type="pct"/>
            <w:tcBorders>
              <w:top w:val="single" w:sz="4" w:space="0" w:color="auto"/>
              <w:left w:val="single" w:sz="4" w:space="0" w:color="auto"/>
              <w:bottom w:val="single" w:sz="4" w:space="0" w:color="auto"/>
              <w:right w:val="nil"/>
            </w:tcBorders>
            <w:hideMark/>
          </w:tcPr>
          <w:p>
            <w:pPr>
              <w:autoSpaceDE w:val="0"/>
              <w:autoSpaceDN w:val="0"/>
              <w:adjustRightInd w:val="0"/>
              <w:spacing w:after="60" w:line="240" w:lineRule="auto"/>
              <w:rPr>
                <w:rFonts w:ascii="Times New Roman" w:eastAsiaTheme="minorHAnsi" w:hAnsi="Times New Roman" w:cs="Times New Roman"/>
                <w:noProof/>
                <w:color w:val="000000"/>
                <w:sz w:val="16"/>
                <w:szCs w:val="16"/>
              </w:rPr>
            </w:pPr>
            <w:r>
              <w:rPr>
                <w:rFonts w:ascii="Times New Roman" w:hAnsi="Times New Roman"/>
                <w:noProof/>
                <w:color w:val="000000"/>
                <w:sz w:val="16"/>
                <w:szCs w:val="16"/>
              </w:rPr>
              <w:t>Мебели; от дървен материал, които не са предназначени за използване в офиси, кухни или спални</w:t>
            </w:r>
          </w:p>
        </w:tc>
      </w:tr>
    </w:tbl>
    <w:p>
      <w:pPr>
        <w:spacing w:line="270" w:lineRule="atLeast"/>
        <w:jc w:val="right"/>
        <w:rPr>
          <w:rFonts w:ascii="Times New Roman" w:hAnsi="Times New Roman"/>
          <w:noProof/>
          <w:sz w:val="16"/>
        </w:rPr>
      </w:pPr>
    </w:p>
    <w:sectPr>
      <w:headerReference w:type="even" r:id="rId19"/>
      <w:headerReference w:type="default" r:id="rId20"/>
      <w:footerReference w:type="even" r:id="rId21"/>
      <w:footerReference w:type="default" r:id="rId22"/>
      <w:headerReference w:type="first" r:id="rId23"/>
      <w:footerReference w:type="first" r:id="rId24"/>
      <w:pgSz w:w="16838" w:h="11906" w:orient="landscape"/>
      <w:pgMar w:top="1417" w:right="1417" w:bottom="1417" w:left="1417"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B6C3A446-BB87-484F-BBEB-BA04511BC0E8"/>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43?\u1086?\u1076?\u1080?\u1096?\u1077?\u1085? \u1086?\u1073?\u1086?\u1073?\u1097?\u1077?\u1085? \u1076?\u1086?\u1082?\u1083?\u1072?\u1076? \u1079?\u1072? 2018 \u1075?. \u1086?\u1090?\u1085?\u1086?\u1089?\u1085?\u1086? \u1087?\u1088?\u1080?\u1083?\u1072?\u1075?\u1072?\u1085?\u1077?\u1090?\u1086? \u1085?\u1072? \u1089?\u1093?\u1077?\u1084?\u1072?\u1090?\u1072? \u1085?\u1072? \u1088?\u1072?\u1079?\u1088?\u1077?\u1096?\u1080?\u1090?\u1077?\u1083?\u1085?\u1080? FLEGT, \u1087?\u1088?\u1077?\u1076?\u1074?\u1080?\u1076?\u1077?\u1085?\u1072? \u1074? \u1056?\u1077?\u1075?\u1083?\u1072?\u1084?\u1077?\u1085?\u1090? (\u1045?\u1054?) \u8470? 2173/2005 \u1086?\u1090? 20 \u1076?\u1077?\u1082?\u1077?\u1084?\u1074?\u1088?\u1080? 2005 \u1075?. \u1079?\u1072? \u1091?\u1089?\u1090?\u1072?\u1085?\u1086?\u1074?\u1103?\u1074?\u1072?\u1085?\u1077?\u1090?\u1086? \u1085?\u1072? \u1089?\u1093?\u1077?\u1084?\u1072? \u1085?\u1072? \u1088?\u1072?\u1079?\u1088?\u1077?\u1096?\u1080?\u1090?\u1077?\u1083?\u1085?\u1080? FLEGT \u1079?\u1072? \u1074?\u1085?\u1086?\u1089?\u1072? \u1085?\u1072? \u1076?\u1098?\u1088?\u1074?\u1077?\u1089?\u1080?\u1085?\u1072? \u1074? \u1045?\u1074?\u1088?\u1086?\u1087?\u1077?\u1081?\u1089?\u1082?\u1072?\u1090?\u1072? \u1086?\u1073?\u1097?\u1085?\u1086?\u1089?\u1090?&lt;/FMT&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YPE.DOC.CP" w:val="\u1055?\u1056?\u1048?\u1051?\u1054?\u1046?\u1045?\u1053?\u1048?\u1045?_x000b_"/>
    <w:docVar w:name="LW_TYPEACTEPRINCIPAL.CP" w:val="\u1044?\u1054?\u1050?\u1051?\u1040?\u1044? \u1053?\u1040? \u1050?\u1054?\u1052?\u1048?\u1057?\u1048?\u1071?\u1058?\u1040? "/>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bg-BG"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bg-BG"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bg-BG"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bg-BG"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bg-BG"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3.xml><?xml version="1.0" encoding="utf-8"?>
<ds:datastoreItem xmlns:ds="http://schemas.openxmlformats.org/officeDocument/2006/customXml" ds:itemID="{02852ABE-64C2-4D02-B0AA-C40CCA8790F4}">
  <ds:schemaRefs>
    <ds:schemaRef ds:uri="http://purl.org/dc/elements/1.1/"/>
    <ds:schemaRef ds:uri="http://schemas.microsoft.com/office/2006/metadata/properties"/>
    <ds:schemaRef ds:uri="f72b8e7e-327c-4d7a-a8f6-826e6d5225a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8d86cc-71b3-48cf-8a07-5ecfc0d8012d"/>
    <ds:schemaRef ds:uri="http://www.w3.org/XML/1998/namespace"/>
    <ds:schemaRef ds:uri="http://purl.org/dc/dcmitype/"/>
  </ds:schemaRefs>
</ds:datastoreItem>
</file>

<file path=customXml/itemProps4.xml><?xml version="1.0" encoding="utf-8"?>
<ds:datastoreItem xmlns:ds="http://schemas.openxmlformats.org/officeDocument/2006/customXml" ds:itemID="{0860F2D3-A885-4E40-97B0-6CC3685E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843</Words>
  <Characters>4784</Characters>
  <Application>Microsoft Office Word</Application>
  <DocSecurity>0</DocSecurity>
  <Lines>77</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 Argyro (ENV)</dc:creator>
  <cp:lastModifiedBy>WES PDFC Administrator</cp:lastModifiedBy>
  <cp:revision>26</cp:revision>
  <cp:lastPrinted>2020-03-11T11:19:00Z</cp:lastPrinted>
  <dcterms:created xsi:type="dcterms:W3CDTF">2020-04-14T17:28:00Z</dcterms:created>
  <dcterms:modified xsi:type="dcterms:W3CDTF">2020-07-03T08:28:00Z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CP-039</vt:lpwstr>
  </property>
  <property fmtid="{D5CDD505-2E9C-101B-9397-08002B2CF9AE}" pid="10" name="First annex">
    <vt:lpwstr>1</vt:lpwstr>
  </property>
  <property fmtid="{D5CDD505-2E9C-101B-9397-08002B2CF9AE}" pid="11" name="Last annex">
    <vt:lpwstr>1</vt:lpwstr>
  </property>
  <property fmtid="{D5CDD505-2E9C-101B-9397-08002B2CF9AE}" pid="12" name="Unique annex">
    <vt:lpwstr>0</vt:lpwstr>
  </property>
  <property fmtid="{D5CDD505-2E9C-101B-9397-08002B2CF9AE}" pid="13" name="_LW_INVALIDATED__LW_INVALIDATED__LW_INVALIDATED__LW_INVALIDATED__LW_INVALIDATED__LW_INVALIDATED__LW_INVALIDATED__LW_INVALIDATED__LW_INVALIDATED__LW_INVALIDATED_ContentTypeId">
    <vt:lpwstr>0x0101004459BEA1F633F0438E1D0F79AB518DAB</vt:lpwstr>
  </property>
</Properties>
</file>