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485222989"/>
      <w:bookmarkStart w:id="1" w:name="_Toc394048479"/>
      <w:bookmarkStart w:id="2" w:name="_Toc369271376"/>
      <w:bookmarkStart w:id="3" w:name="_Toc332353732"/>
      <w:bookmarkStart w:id="4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0E7E4C5-A01E-4603-B325-DF47082F7281" style="width:450.85pt;height:407.1pt">
            <v:imagedata r:id="rId12" o:title=""/>
          </v:shape>
        </w:pict>
      </w:r>
    </w:p>
    <w:bookmarkEnd w:id="0"/>
    <w:bookmarkEnd w:id="1"/>
    <w:bookmarkEnd w:id="2"/>
    <w:bookmarkEnd w:id="3"/>
    <w:bookmarkEnd w:id="4"/>
    <w:p>
      <w:pPr>
        <w:tabs>
          <w:tab w:val="left" w:pos="360"/>
        </w:tabs>
        <w:jc w:val="both"/>
        <w:rPr>
          <w:rFonts w:ascii="Times New Roman" w:hAnsi="Times New Roman"/>
          <w:noProof/>
          <w:sz w:val="24"/>
          <w:szCs w:val="24"/>
          <w:highlight w:val="yellow"/>
          <w:lang w:eastAsia="en-GB"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0"/>
          <w:cols w:space="720"/>
          <w:docGrid w:linePitch="299"/>
        </w:sectPr>
      </w:pPr>
    </w:p>
    <w:p>
      <w:pPr>
        <w:spacing w:line="270" w:lineRule="atLeast"/>
        <w:jc w:val="right"/>
        <w:rPr>
          <w:rFonts w:ascii="Times New Roman" w:hAnsi="Times New Roman"/>
          <w:b/>
          <w:bCs/>
          <w:noProof/>
          <w:sz w:val="24"/>
          <w:szCs w:val="24"/>
        </w:rPr>
      </w:pPr>
      <w:bookmarkStart w:id="5" w:name="_GoBack"/>
      <w:bookmarkEnd w:id="5"/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Приложение 2</w:t>
      </w:r>
    </w:p>
    <w:p>
      <w:pPr>
        <w:spacing w:line="270" w:lineRule="atLeast"/>
        <w:rPr>
          <w:rFonts w:ascii="Times New Roman" w:hAnsi="Times New Roman"/>
          <w:b/>
          <w:noProof/>
          <w:szCs w:val="20"/>
        </w:rPr>
      </w:pPr>
      <w:r>
        <w:rPr>
          <w:rFonts w:ascii="Times New Roman" w:hAnsi="Times New Roman"/>
          <w:b/>
          <w:bCs/>
          <w:noProof/>
          <w:szCs w:val="20"/>
        </w:rPr>
        <w:t>Таблица 1:</w:t>
      </w:r>
      <w:r>
        <w:rPr>
          <w:rFonts w:ascii="Times New Roman" w:hAnsi="Times New Roman"/>
          <w:b/>
          <w:noProof/>
          <w:szCs w:val="20"/>
        </w:rPr>
        <w:t xml:space="preserve"> Критерии, използвани за определяне на необходимостта от допълнителна проверка на разрешително FLEGT, когато са докладвани от държавите членки</w:t>
      </w:r>
    </w:p>
    <w:tbl>
      <w:tblPr>
        <w:tblW w:w="529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1965"/>
        <w:gridCol w:w="905"/>
        <w:gridCol w:w="851"/>
        <w:gridCol w:w="1134"/>
        <w:gridCol w:w="991"/>
        <w:gridCol w:w="1134"/>
        <w:gridCol w:w="1277"/>
        <w:gridCol w:w="5385"/>
      </w:tblGrid>
      <w:tr>
        <w:trPr>
          <w:trHeight w:val="20"/>
        </w:trPr>
        <w:tc>
          <w:tcPr>
            <w:tcW w:w="417" w:type="pct"/>
            <w:shd w:val="clear" w:color="000000" w:fill="6C8911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Държава</w:t>
            </w:r>
          </w:p>
        </w:tc>
        <w:tc>
          <w:tcPr>
            <w:tcW w:w="660" w:type="pct"/>
            <w:shd w:val="clear" w:color="000000" w:fill="6C8911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 xml:space="preserve">Агенция, която извършва проверките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 xml:space="preserve">(КО = компетентен орган,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М = митница)</w:t>
            </w:r>
          </w:p>
        </w:tc>
        <w:tc>
          <w:tcPr>
            <w:tcW w:w="304" w:type="pct"/>
            <w:shd w:val="clear" w:color="000000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Вид</w:t>
            </w:r>
          </w:p>
        </w:tc>
        <w:tc>
          <w:tcPr>
            <w:tcW w:w="286" w:type="pct"/>
            <w:shd w:val="clear" w:color="000000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Оператор</w:t>
            </w:r>
          </w:p>
        </w:tc>
        <w:tc>
          <w:tcPr>
            <w:tcW w:w="381" w:type="pct"/>
            <w:shd w:val="clear" w:color="000000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Обем/тегло на пратката</w:t>
            </w:r>
          </w:p>
        </w:tc>
        <w:tc>
          <w:tcPr>
            <w:tcW w:w="333" w:type="pct"/>
            <w:shd w:val="clear" w:color="000000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Кодове по ХС</w:t>
            </w:r>
          </w:p>
        </w:tc>
        <w:tc>
          <w:tcPr>
            <w:tcW w:w="381" w:type="pct"/>
            <w:shd w:val="clear" w:color="000000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Държава на произход</w:t>
            </w:r>
          </w:p>
        </w:tc>
        <w:tc>
          <w:tcPr>
            <w:tcW w:w="429" w:type="pct"/>
            <w:shd w:val="clear" w:color="000000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Несъответствие на информацията в документите</w:t>
            </w:r>
          </w:p>
        </w:tc>
        <w:tc>
          <w:tcPr>
            <w:tcW w:w="1809" w:type="pct"/>
            <w:shd w:val="clear" w:color="000000" w:fill="6C8911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 xml:space="preserve">Други 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Например когато издаващият разрешителни орган не фигурира като действащ, или когато не са изпълнени формалните изисквания, посочени в СДП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Белгия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 и М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България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Кипър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Чешка република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 и М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Непосочени конкретно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Дания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Естония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М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Всички разрешителни на хартиен носител, тъй като операторите въвеждат данни във FLEGIT с печатни грешки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Финландия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Разрешителното не съществува в базата данни на SILK, липсват печат и/или подпис, разрешителното не е отпечатано върху официална бланка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КО, М, други (Thünen Institute)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Сравнение на всички разрешителни с информацията в разрешителното в SILK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Унгария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Непосочени конкретно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Ирландия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Сравнение с информацията в разрешителното в SILK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 и М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КО 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Проверки от страна на КО на законността на разрешителните в SILK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М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Непосочени конкретно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Малта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КО 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Нидерландия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Непосочени конкретно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Полша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Съмнения, свързани с автентичността на подписа, положен върху разрешителното FLEGT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Словения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 и М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Непосочени конкретно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noProof/>
                <w:color w:val="21212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212121"/>
                <w:sz w:val="16"/>
                <w:szCs w:val="16"/>
              </w:rPr>
              <w:t>Когато разрешителното не съществува, не съответства на SILK или е изтекло. Вземат се под внимание и товарните единици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 и други (ИЗР)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Разрешителното няма подпис, печат или липсва друга задължителна информация; подписът липсва в SILK или вече не е валиден; разрешителното вече не е валидно</w:t>
            </w:r>
          </w:p>
        </w:tc>
      </w:tr>
      <w:tr>
        <w:trPr>
          <w:trHeight w:val="20"/>
        </w:trPr>
        <w:tc>
          <w:tcPr>
            <w:tcW w:w="417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Обединено кралство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1809" w:type="pct"/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Несъответствие между търговските тарифни кодове на Обединеното кралство и Индонезия</w:t>
            </w:r>
          </w:p>
        </w:tc>
      </w:tr>
    </w:tbl>
    <w:p>
      <w:pPr>
        <w:spacing w:after="0" w:line="240" w:lineRule="auto"/>
        <w:rPr>
          <w:rFonts w:ascii="Times New Roman" w:hAnsi="Times New Roman"/>
          <w:noProof/>
          <w:sz w:val="18"/>
          <w:szCs w:val="18"/>
          <w:highlight w:val="yellow"/>
        </w:rPr>
      </w:pPr>
    </w:p>
    <w:p>
      <w:pPr>
        <w:spacing w:line="270" w:lineRule="atLeast"/>
        <w:rPr>
          <w:rFonts w:ascii="Times New Roman" w:hAnsi="Times New Roman"/>
          <w:b/>
          <w:bCs/>
          <w:noProof/>
          <w:sz w:val="20"/>
          <w:szCs w:val="20"/>
          <w:highlight w:val="yellow"/>
          <w:lang w:eastAsia="en-GB"/>
        </w:rPr>
      </w:pPr>
    </w:p>
    <w:p>
      <w:pPr>
        <w:spacing w:after="0" w:line="240" w:lineRule="auto"/>
        <w:rPr>
          <w:rFonts w:ascii="Times New Roman" w:hAnsi="Times New Roman"/>
          <w:b/>
          <w:bCs/>
          <w:noProof/>
          <w:sz w:val="20"/>
          <w:szCs w:val="20"/>
          <w:highlight w:val="yellow"/>
          <w:lang w:eastAsia="en-GB"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417" w:right="1417" w:bottom="1417" w:left="1417" w:header="708" w:footer="708" w:gutter="0"/>
          <w:cols w:space="720"/>
        </w:sectPr>
      </w:pPr>
    </w:p>
    <w:p>
      <w:pPr>
        <w:spacing w:line="270" w:lineRule="atLeast"/>
        <w:rPr>
          <w:rFonts w:ascii="Times New Roman" w:hAnsi="Times New Roman"/>
          <w:b/>
          <w:noProof/>
          <w:szCs w:val="20"/>
        </w:rPr>
      </w:pPr>
      <w:r>
        <w:rPr>
          <w:rFonts w:ascii="Times New Roman" w:hAnsi="Times New Roman"/>
          <w:b/>
          <w:bCs/>
          <w:noProof/>
          <w:szCs w:val="20"/>
        </w:rPr>
        <w:t>Таблица 2:</w:t>
      </w:r>
      <w:r>
        <w:rPr>
          <w:rFonts w:ascii="Times New Roman" w:hAnsi="Times New Roman"/>
          <w:b/>
          <w:noProof/>
          <w:szCs w:val="20"/>
        </w:rPr>
        <w:t xml:space="preserve"> Критерии, използвани за определяне на необходимостта от допълнителна проверка на пратка с разрешително FLEGT, когато са докладване от държавите членки</w:t>
      </w:r>
    </w:p>
    <w:tbl>
      <w:tblPr>
        <w:tblW w:w="52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9"/>
        <w:gridCol w:w="3155"/>
        <w:gridCol w:w="785"/>
        <w:gridCol w:w="785"/>
        <w:gridCol w:w="837"/>
        <w:gridCol w:w="732"/>
        <w:gridCol w:w="784"/>
        <w:gridCol w:w="3395"/>
        <w:gridCol w:w="1167"/>
        <w:gridCol w:w="722"/>
        <w:gridCol w:w="942"/>
      </w:tblGrid>
      <w:tr>
        <w:trPr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C8911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Държава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 xml:space="preserve">Агенция, която извършва проверките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 xml:space="preserve">(КО = компетентен орган,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М = митница)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Вид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Оператор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Обем/тегло на пратката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Кодове по ХС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Държава на произход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Несъответствие на информацията в документите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Други проблеми с разрешителното FLEGT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Проверки на случаен принцип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C8911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 xml:space="preserve">Други 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Австрия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КО и 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  <w:r>
              <w:rPr>
                <w:rFonts w:asciiTheme="minorHAnsi" w:hAnsiTheme="minorHAnsi"/>
                <w:noProof/>
              </w:rPr>
              <w:t>***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Белгия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КО и М</w:t>
            </w:r>
            <w:r>
              <w:rPr>
                <w:rFonts w:ascii="Times New Roman" w:hAnsi="Times New Roman"/>
                <w:noProof/>
              </w:rPr>
              <w:t>*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България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М и други (Изпълнителна агенция по горите)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Хърватия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  <w:highlight w:val="yellow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Кипър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КО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Чешка република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КО, М и други (неуточнено)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Дания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КО, М и други (неуточнено)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Естония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М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Финландия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КО и 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Франция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М и други (неуточнено)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Германия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КО и 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Ирландия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КО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Италия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КО и 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Латвия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="Wingdings" w:hAnsi="Wingdings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Wingdings" w:hAnsi="Wingdings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Wingdings" w:hAnsi="Wingdings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>
            <w:pPr>
              <w:spacing w:after="0" w:line="240" w:lineRule="auto"/>
              <w:jc w:val="center"/>
              <w:rPr>
                <w:rFonts w:ascii="Wingdings" w:hAnsi="Wingdings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Литва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М и други (неуточнено)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Малта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КО и М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Нидерландия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КО и 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Полша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М и други (неуточнено)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Словения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КО, М и други (финансова администрация)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Испания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КО и 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  <w:r>
              <w:rPr>
                <w:rFonts w:asciiTheme="minorHAnsi" w:hAnsiTheme="minorHAnsi"/>
                <w:noProof/>
              </w:rPr>
              <w:t>****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Швеция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  <w:r>
              <w:rPr>
                <w:rFonts w:asciiTheme="minorHAnsi" w:hAnsiTheme="minorHAnsi"/>
                <w:noProof/>
              </w:rPr>
              <w:t>**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>
        <w:trPr>
          <w:trHeight w:val="20"/>
        </w:trPr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Обединено кралство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М и други (гранична охрана)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</w:rPr>
              <w:t>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</w:t>
            </w:r>
          </w:p>
        </w:tc>
      </w:tr>
    </w:tbl>
    <w:p>
      <w:pPr>
        <w:spacing w:after="0" w:line="240" w:lineRule="auto"/>
        <w:rPr>
          <w:rFonts w:asciiTheme="minorHAnsi" w:hAnsiTheme="minorHAnsi" w:cstheme="minorHAnsi"/>
          <w:noProof/>
          <w:sz w:val="16"/>
        </w:rPr>
      </w:pPr>
    </w:p>
    <w:p>
      <w:pPr>
        <w:spacing w:after="0" w:line="240" w:lineRule="auto"/>
        <w:rPr>
          <w:rFonts w:ascii="Times New Roman" w:hAnsi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*Белгия: Митницата извършва проверки въз основа на собствената си обща система, основана на оценка на риска (включително FLEGT). В случай на подозрителна пратка (например подозрителни несъответствия) КО може да поиска допълнителна проверка или да поиска от митницата да извършва допълнителни проверки въз основа на предложени критерии.</w:t>
      </w:r>
    </w:p>
    <w:p>
      <w:pPr>
        <w:spacing w:after="0" w:line="240" w:lineRule="auto"/>
        <w:rPr>
          <w:rFonts w:ascii="Times New Roman" w:hAnsi="Times New Roman"/>
          <w:noProof/>
          <w:sz w:val="16"/>
          <w:highlight w:val="yellow"/>
        </w:rPr>
      </w:pPr>
      <w:r>
        <w:rPr>
          <w:rFonts w:ascii="Times New Roman" w:hAnsi="Times New Roman"/>
          <w:noProof/>
          <w:sz w:val="16"/>
        </w:rPr>
        <w:t>**Швеция: Разрешителното няма подпис, печат или липсва друга задължителна информация. Подписът липсва в SILK или вече не е валиден. Разрешителното вече не е валидно.</w:t>
      </w:r>
    </w:p>
    <w:p>
      <w:pPr>
        <w:spacing w:after="0" w:line="240" w:lineRule="auto"/>
        <w:rPr>
          <w:rFonts w:ascii="Times New Roman" w:hAnsi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***Австрия: Продукти за внос, за които при предишни проверки бе установено, че се различават от данните, посочени в съответното разрешително FLEGT.</w:t>
      </w:r>
    </w:p>
    <w:p>
      <w:pPr>
        <w:spacing w:after="0" w:line="240" w:lineRule="auto"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t>****Испания: Несъответствие с друга представена информация.</w:t>
      </w:r>
    </w:p>
    <w:p>
      <w:pPr>
        <w:spacing w:after="0"/>
        <w:rPr>
          <w:rFonts w:ascii="Times New Roman" w:hAnsi="Times New Roman"/>
          <w:noProof/>
          <w:sz w:val="18"/>
          <w:szCs w:val="18"/>
          <w:highlight w:val="yellow"/>
        </w:rPr>
      </w:pPr>
    </w:p>
    <w:p>
      <w:pPr>
        <w:keepNext/>
        <w:spacing w:line="240" w:lineRule="auto"/>
        <w:jc w:val="both"/>
        <w:rPr>
          <w:rFonts w:ascii="Times New Roman" w:hAnsi="Times New Roman"/>
          <w:b/>
          <w:bCs/>
          <w:noProof/>
          <w:sz w:val="20"/>
          <w:szCs w:val="20"/>
          <w:highlight w:val="yellow"/>
          <w:lang w:eastAsia="en-GB"/>
        </w:rPr>
      </w:pPr>
    </w:p>
    <w:p>
      <w:pPr>
        <w:spacing w:after="0" w:line="240" w:lineRule="auto"/>
        <w:rPr>
          <w:rFonts w:ascii="Times New Roman" w:hAnsi="Times New Roman"/>
          <w:b/>
          <w:bCs/>
          <w:noProof/>
          <w:sz w:val="20"/>
          <w:szCs w:val="20"/>
          <w:highlight w:val="yellow"/>
          <w:lang w:eastAsia="en-GB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417" w:right="1417" w:bottom="1417" w:left="1417" w:header="708" w:footer="708" w:gutter="0"/>
          <w:cols w:space="720"/>
        </w:sectPr>
      </w:pPr>
    </w:p>
    <w:p>
      <w:pPr>
        <w:keepNext/>
        <w:spacing w:line="240" w:lineRule="auto"/>
        <w:jc w:val="both"/>
        <w:rPr>
          <w:rFonts w:ascii="Times New Roman" w:hAnsi="Times New Roman"/>
          <w:b/>
          <w:noProof/>
          <w:szCs w:val="20"/>
        </w:rPr>
      </w:pPr>
      <w:r>
        <w:rPr>
          <w:rFonts w:ascii="Times New Roman" w:hAnsi="Times New Roman"/>
          <w:b/>
          <w:bCs/>
          <w:noProof/>
          <w:szCs w:val="20"/>
        </w:rPr>
        <w:t>Таблица 3:</w:t>
      </w:r>
      <w:r>
        <w:rPr>
          <w:rFonts w:ascii="Times New Roman" w:hAnsi="Times New Roman"/>
          <w:b/>
          <w:noProof/>
          <w:szCs w:val="20"/>
        </w:rPr>
        <w:t xml:space="preserve"> Приблизителни равнища на таксите и основа за изчисление в държавите членки, които налагат такси на вносителите за обработването на разрешителните FLEGT</w:t>
      </w:r>
    </w:p>
    <w:tbl>
      <w:tblPr>
        <w:tblW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2"/>
        <w:gridCol w:w="1752"/>
        <w:gridCol w:w="5780"/>
      </w:tblGrid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C8911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Държава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8911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Равнище на таксата [конвертирано]*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C8911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FFFF"/>
                <w:sz w:val="16"/>
                <w:szCs w:val="16"/>
              </w:rPr>
              <w:t>Основа за изчисление</w:t>
            </w:r>
          </w:p>
        </w:tc>
      </w:tr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105,90 EUR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Правно основание за таксата, въз основа на средното време, прекарано от персонала в обработване на разрешително FLEGT, включително физически проверки </w:t>
            </w:r>
          </w:p>
        </w:tc>
      </w:tr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Белгия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50 EUR (само за пратки &gt;500 kg)**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Правно основание за таксата</w:t>
            </w:r>
          </w:p>
        </w:tc>
      </w:tr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Финландия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70 EUR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Правно основание за таксата; въз основа на средното време, прекарано от персонала в обработване на разрешително FLEGT</w:t>
            </w:r>
          </w:p>
        </w:tc>
      </w:tr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Гърция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100 EUR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Правно основание за таксата</w:t>
            </w:r>
          </w:p>
        </w:tc>
      </w:tr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50 EUR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Въз основа на средното време, прекарано от персонала в обработване на разрешително FLEGT</w:t>
            </w:r>
          </w:p>
        </w:tc>
      </w:tr>
      <w:tr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Обединено кралство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9,60 GBP [10,40 EUR]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Правно основание за таксата; въз основа на средното време, прекарано от персонала в обработване на разрешително FLEGT</w:t>
            </w:r>
          </w:p>
        </w:tc>
      </w:tr>
    </w:tbl>
    <w:p>
      <w:pPr>
        <w:pStyle w:val="Chaptertext"/>
        <w:spacing w:after="0" w:line="240" w:lineRule="auto"/>
        <w:rPr>
          <w:rFonts w:ascii="Times New Roman" w:hAnsi="Times New Roman" w:cs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* При необходимост таксите са конвертирани в евро и посочени в квадратни скоби „[...]“ заедно с таксата, докладвана в първоначалната валута.</w:t>
      </w:r>
    </w:p>
    <w:p>
      <w:pPr>
        <w:spacing w:after="0" w:line="240" w:lineRule="auto"/>
        <w:rPr>
          <w:rFonts w:ascii="Times New Roman" w:hAnsi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** С цел изключване на малки нетърговски пратки. Вж. Кралски указ от 25 декември 2017 г. [C – 2018/30112], обнародван в Belgisch Staatblad от 19.1.2018 г., изд. 2.</w:t>
      </w:r>
    </w:p>
    <w:sectPr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F178E" w16cid:durableId="221E3C3B"/>
  <w16cid:commentId w16cid:paraId="4FBFDF28" w16cid:durableId="221E3C3C"/>
  <w16cid:commentId w16cid:paraId="22EFF092" w16cid:durableId="221E3C3D"/>
  <w16cid:commentId w16cid:paraId="0FBC6F9C" w16cid:durableId="221E3C3E"/>
  <w16cid:commentId w16cid:paraId="31FCB357" w16cid:durableId="221E3C3F"/>
  <w16cid:commentId w16cid:paraId="08D1C0AC" w16cid:durableId="221E4C63"/>
  <w16cid:commentId w16cid:paraId="2C7596BB" w16cid:durableId="221E3C40"/>
  <w16cid:commentId w16cid:paraId="4619A8C4" w16cid:durableId="221E5120"/>
  <w16cid:commentId w16cid:paraId="7C04B33E" w16cid:durableId="221E3C41"/>
  <w16cid:commentId w16cid:paraId="45889088" w16cid:durableId="221E53C3"/>
  <w16cid:commentId w16cid:paraId="02443DC9" w16cid:durableId="221E3C42"/>
  <w16cid:commentId w16cid:paraId="13C48B70" w16cid:durableId="221E3C43"/>
  <w16cid:commentId w16cid:paraId="6212A01C" w16cid:durableId="221E3C44"/>
  <w16cid:commentId w16cid:paraId="733AE2AC" w16cid:durableId="221E3C45"/>
  <w16cid:commentId w16cid:paraId="61A93EFB" w16cid:durableId="221E587E"/>
  <w16cid:commentId w16cid:paraId="31103336" w16cid:durableId="221E3C46"/>
  <w16cid:commentId w16cid:paraId="03FD23BD" w16cid:durableId="221E3C47"/>
  <w16cid:commentId w16cid:paraId="6A344228" w16cid:durableId="221E3C48"/>
  <w16cid:commentId w16cid:paraId="0002DDFE" w16cid:durableId="221E3C49"/>
  <w16cid:commentId w16cid:paraId="79D71AF8" w16cid:durableId="221E5E0F"/>
  <w16cid:commentId w16cid:paraId="7F4DBACE" w16cid:durableId="221E3C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1585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20177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EB0"/>
    <w:multiLevelType w:val="multilevel"/>
    <w:tmpl w:val="D68C6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9D79E3"/>
    <w:multiLevelType w:val="hybridMultilevel"/>
    <w:tmpl w:val="BC942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9590F"/>
    <w:multiLevelType w:val="hybridMultilevel"/>
    <w:tmpl w:val="3A542E00"/>
    <w:lvl w:ilvl="0" w:tplc="DD78FC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200A1E"/>
    <w:multiLevelType w:val="hybridMultilevel"/>
    <w:tmpl w:val="04625FA0"/>
    <w:lvl w:ilvl="0" w:tplc="1A82386C">
      <w:start w:val="1"/>
      <w:numFmt w:val="upperRoman"/>
      <w:lvlText w:val="%1."/>
      <w:lvlJc w:val="left"/>
      <w:pPr>
        <w:ind w:left="1440" w:hanging="108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3741A0"/>
    <w:multiLevelType w:val="hybridMultilevel"/>
    <w:tmpl w:val="3DF68DCE"/>
    <w:lvl w:ilvl="0" w:tplc="99BC39C2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BA5D60"/>
    <w:multiLevelType w:val="hybridMultilevel"/>
    <w:tmpl w:val="CBB69BC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566FCB"/>
    <w:multiLevelType w:val="hybridMultilevel"/>
    <w:tmpl w:val="47AE6B3C"/>
    <w:lvl w:ilvl="0" w:tplc="83EEE7C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A3283"/>
    <w:multiLevelType w:val="hybridMultilevel"/>
    <w:tmpl w:val="5B7C07D4"/>
    <w:lvl w:ilvl="0" w:tplc="3D6A7E2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13AAF"/>
    <w:multiLevelType w:val="hybridMultilevel"/>
    <w:tmpl w:val="0D70E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82459"/>
    <w:multiLevelType w:val="hybridMultilevel"/>
    <w:tmpl w:val="36108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520D7"/>
    <w:multiLevelType w:val="multilevel"/>
    <w:tmpl w:val="06E842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D2B4EBE"/>
    <w:multiLevelType w:val="hybridMultilevel"/>
    <w:tmpl w:val="E47E404E"/>
    <w:lvl w:ilvl="0" w:tplc="BBC043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3275"/>
    <w:multiLevelType w:val="hybridMultilevel"/>
    <w:tmpl w:val="6DB8A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65909"/>
    <w:multiLevelType w:val="multilevel"/>
    <w:tmpl w:val="FF727CA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  <w:num w:numId="13">
    <w:abstractNumId w:val="13"/>
  </w:num>
  <w:num w:numId="14">
    <w:abstractNumId w:val="6"/>
  </w:num>
  <w:num w:numId="15">
    <w:abstractNumId w:val="0"/>
  </w:num>
  <w:num w:numId="16">
    <w:abstractNumId w:val="12"/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fi-FI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pt-PT" w:vendorID="64" w:dllVersion="6" w:nlCheck="1" w:checkStyle="0"/>
  <w:activeWritingStyle w:appName="MSWord" w:lang="en-IE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pt-PT" w:vendorID="64" w:dllVersion="131078" w:nlCheck="1" w:checkStyle="0"/>
  <w:revisionView w:markup="0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C0E7E4C5-A01E-4603-B325-DF47082F7281"/>
    <w:docVar w:name="LW_COVERPAGE_TYPE" w:val="1"/>
    <w:docVar w:name="LW_CROSSREFERENCE" w:val="&lt;UNUSED&gt;"/>
    <w:docVar w:name="LW_DocType" w:val="NORMAL"/>
    <w:docVar w:name="LW_EMISSION" w:val="10.7.2020"/>
    <w:docVar w:name="LW_EMISSION_ISODATE" w:val="2020-07-1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43?\u1086?\u1076?\u1080?\u1096?\u1077?\u1085? \u1086?\u1073?\u1086?\u1073?\u1097?\u1077?\u1085? \u1076?\u1086?\u1082?\u1083?\u1072?\u1076? \u1079?\u1072? 2018 \u1075?. \u1086?\u1090?\u1085?\u1086?\u1089?\u1085?\u1086? \u1087?\u1088?\u1080?\u1083?\u1072?\u1075?\u1072?\u1085?\u1077?\u1090?\u1086? \u1085?\u1072? \u1089?\u1093?\u1077?\u1084?\u1072?\u1090?\u1072? \u1085?\u1072? \u1088?\u1072?\u1079?\u1088?\u1077?\u1096?\u1080?\u1090?\u1077?\u1083?\u1085?\u1080? FLEGT, \u1087?\u1088?\u1077?\u1076?\u1074?\u1080?\u1076?\u1077?\u1085?\u1072? \u1074? \u1056?\u1077?\u1075?\u1083?\u1072?\u1084?\u1077?\u1085?\u1090? (\u1045?\u1054?) \u8470? 2173/2005 \u1086?\u1090? 20 \u1076?\u1077?\u1082?\u1077?\u1084?\u1074?\u1088?\u1080? 2005 \u1075?. \u1079?\u1072? \u1091?\u1089?\u1090?\u1072?\u1085?\u1086?\u1074?\u1103?\u1074?\u1072?\u1085?\u1077?\u1090?\u1086? \u1085?\u1072? \u1089?\u1093?\u1077?\u1084?\u1072? \u1085?\u1072? \u1088?\u1072?\u1079?\u1088?\u1077?\u1096?\u1080?\u1090?\u1077?\u1083?\u1085?\u1080? FLEGT \u1079?\u1072? \u1074?\u1085?\u1086?\u1089?\u1072? \u1085?\u1072? \u1076?\u1098?\u1088?\u1074?\u1077?\u1089?\u1080?\u1085?\u1072? \u1074? \u1045?\u1074?\u1088?\u1086?\u1087?\u1077?\u1081?\u1089?\u1082?\u1072?\u1090?\u1072? \u1086?\u1073?\u1097?\u1085?\u1086?\u1089?\u1090?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30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 w:qFormat="1"/>
    <w:lsdException w:name="caption" w:locked="1" w:uiPriority="0" w:qFormat="1"/>
    <w:lsdException w:name="footnote reference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uiPriority w:val="99"/>
    <w:rPr>
      <w:rFonts w:cs="Times New Roman"/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uiPriority w:val="9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HAnsi" w:hAnsi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HAnsi" w:hAnsi="Times New Roman"/>
      <w:sz w:val="24"/>
      <w:lang w:val="bg-BG" w:eastAsia="en-US"/>
    </w:rPr>
  </w:style>
  <w:style w:type="paragraph" w:customStyle="1" w:styleId="Typedudocument">
    <w:name w:val="Type du document"/>
    <w:basedOn w:val="Normal"/>
    <w:next w:val="Normal"/>
    <w:link w:val="TypedudocumentChar"/>
    <w:uiPriority w:val="99"/>
    <w:pPr>
      <w:spacing w:before="360"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Titreobjet">
    <w:name w:val="Titre objet"/>
    <w:basedOn w:val="Normal"/>
    <w:next w:val="Normal"/>
    <w:uiPriority w:val="99"/>
    <w:pPr>
      <w:spacing w:before="360" w:after="36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uiPriority w:val="99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TypedudocumentChar">
    <w:name w:val="Type du document Char"/>
    <w:basedOn w:val="DefaultParagraphFont"/>
    <w:link w:val="Typedudocument"/>
    <w:uiPriority w:val="99"/>
    <w:locked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uiPriority w:val="99"/>
    <w:locked/>
    <w:rPr>
      <w:rFonts w:ascii="Times New Roman" w:hAnsi="Times New Roman" w:cs="Times New Roman"/>
      <w:b w:val="0"/>
      <w:sz w:val="24"/>
      <w:lang w:eastAsia="en-US"/>
    </w:rPr>
  </w:style>
  <w:style w:type="paragraph" w:customStyle="1" w:styleId="HeaderCoverPage">
    <w:name w:val="Header Cover Page"/>
    <w:basedOn w:val="Normal"/>
    <w:link w:val="HeaderCoverPageChar"/>
    <w:uiPriority w:val="99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uiPriority w:val="99"/>
    <w:locked/>
    <w:rPr>
      <w:rFonts w:ascii="Times New Roman" w:hAnsi="Times New Roman" w:cs="Times New Roman"/>
      <w:b w:val="0"/>
      <w:sz w:val="24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FootnoteText">
    <w:name w:val="footnote text"/>
    <w:aliases w:val="Footnote,Testo nota a piè di pagina_Rientro,stile 1,Footnote1,Footnote2,Footnote3,Footnote4,Footnote5,Footnote6,Footnote7,Footnote8,Footnote9,Footnote10,Footnote11,Footnote21,Footnote31,Footnote41,Footnote51,ft,o,f,Reference,Footnote text"/>
    <w:basedOn w:val="Normal"/>
    <w:link w:val="FootnoteTextChar"/>
    <w:uiPriority w:val="99"/>
    <w:qFormat/>
    <w:pPr>
      <w:spacing w:after="0" w:line="240" w:lineRule="auto"/>
    </w:pPr>
    <w:rPr>
      <w:rFonts w:ascii="Constantia" w:eastAsia="Times New Roman" w:hAnsi="Constantia"/>
      <w:sz w:val="20"/>
      <w:szCs w:val="20"/>
      <w:lang w:eastAsia="en-GB"/>
    </w:rPr>
  </w:style>
  <w:style w:type="character" w:customStyle="1" w:styleId="FootnoteTextChar">
    <w:name w:val="Footnote Text Char"/>
    <w:aliases w:val="Footnote Char,Testo nota a piè di pagina_Rientro Char,stile 1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locked/>
    <w:rPr>
      <w:rFonts w:ascii="Constantia" w:hAnsi="Constantia" w:cs="Times New Roman"/>
      <w:sz w:val="20"/>
      <w:szCs w:val="20"/>
      <w:lang w:eastAsia="en-GB"/>
    </w:rPr>
  </w:style>
  <w:style w:type="character" w:styleId="FootnoteReference">
    <w:name w:val="footnote reference"/>
    <w:aliases w:val="number,Footnote symbol,Voetnootverwijzing,Times 10 Point,Exposant 3 Point,Footnote reference number,note TESI,SUPERS,EN Footnote Reference,Ref,de nota al pie,Footnote Reference Superscript,Footnote sign,BVI fnr,stylish"/>
    <w:basedOn w:val="DefaultParagraphFont"/>
    <w:uiPriority w:val="99"/>
    <w:qFormat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lang w:eastAsia="en-US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  <w:lang w:val="bg-BG"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Caption">
    <w:name w:val="caption"/>
    <w:basedOn w:val="Normal"/>
    <w:next w:val="Normal"/>
    <w:unhideWhenUsed/>
    <w:qFormat/>
    <w:locked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en-US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en-US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lang w:val="bg-BG" w:eastAsia="en-US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bg-BG" w:eastAsia="en-US"/>
    </w:rPr>
  </w:style>
  <w:style w:type="table" w:customStyle="1" w:styleId="TableGrid5">
    <w:name w:val="Table Grid5"/>
    <w:basedOn w:val="TableNormal"/>
    <w:next w:val="TableGrid"/>
    <w:uiPriority w:val="59"/>
    <w:rPr>
      <w:rFonts w:asciiTheme="minorHAnsi" w:eastAsiaTheme="minorEastAsia" w:hAnsiTheme="minorHAnsi" w:cstheme="minorBid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Pr>
      <w:rFonts w:asciiTheme="minorHAnsi" w:eastAsiaTheme="minorEastAsia" w:hAnsiTheme="minorHAnsi" w:cstheme="minorBid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ext">
    <w:name w:val="Chapter text"/>
    <w:basedOn w:val="Normal"/>
    <w:next w:val="Normal"/>
    <w:qFormat/>
    <w:pPr>
      <w:spacing w:line="270" w:lineRule="atLeast"/>
    </w:pPr>
    <w:rPr>
      <w:rFonts w:ascii="Constantia" w:eastAsiaTheme="minorEastAsia" w:hAnsi="Constantia" w:cstheme="minorBidi"/>
      <w:sz w:val="20"/>
      <w:lang w:eastAsia="en-GB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eastAsiaTheme="minorHAnsi" w:hAnsi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eastAsiaTheme="minorHAnsi" w:hAnsi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eastAsiaTheme="minorHAnsi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 w:qFormat="1"/>
    <w:lsdException w:name="caption" w:locked="1" w:uiPriority="0" w:qFormat="1"/>
    <w:lsdException w:name="footnote reference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uiPriority w:val="99"/>
    <w:rPr>
      <w:rFonts w:cs="Times New Roman"/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uiPriority w:val="9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HAnsi" w:hAnsi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HAnsi" w:hAnsi="Times New Roman"/>
      <w:sz w:val="24"/>
      <w:lang w:val="bg-BG" w:eastAsia="en-US"/>
    </w:rPr>
  </w:style>
  <w:style w:type="paragraph" w:customStyle="1" w:styleId="Typedudocument">
    <w:name w:val="Type du document"/>
    <w:basedOn w:val="Normal"/>
    <w:next w:val="Normal"/>
    <w:link w:val="TypedudocumentChar"/>
    <w:uiPriority w:val="99"/>
    <w:pPr>
      <w:spacing w:before="360"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Titreobjet">
    <w:name w:val="Titre objet"/>
    <w:basedOn w:val="Normal"/>
    <w:next w:val="Normal"/>
    <w:uiPriority w:val="99"/>
    <w:pPr>
      <w:spacing w:before="360" w:after="36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uiPriority w:val="99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TypedudocumentChar">
    <w:name w:val="Type du document Char"/>
    <w:basedOn w:val="DefaultParagraphFont"/>
    <w:link w:val="Typedudocument"/>
    <w:uiPriority w:val="99"/>
    <w:locked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uiPriority w:val="99"/>
    <w:locked/>
    <w:rPr>
      <w:rFonts w:ascii="Times New Roman" w:hAnsi="Times New Roman" w:cs="Times New Roman"/>
      <w:b w:val="0"/>
      <w:sz w:val="24"/>
      <w:lang w:eastAsia="en-US"/>
    </w:rPr>
  </w:style>
  <w:style w:type="paragraph" w:customStyle="1" w:styleId="HeaderCoverPage">
    <w:name w:val="Header Cover Page"/>
    <w:basedOn w:val="Normal"/>
    <w:link w:val="HeaderCoverPageChar"/>
    <w:uiPriority w:val="99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uiPriority w:val="99"/>
    <w:locked/>
    <w:rPr>
      <w:rFonts w:ascii="Times New Roman" w:hAnsi="Times New Roman" w:cs="Times New Roman"/>
      <w:b w:val="0"/>
      <w:sz w:val="24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FootnoteText">
    <w:name w:val="footnote text"/>
    <w:aliases w:val="Footnote,Testo nota a piè di pagina_Rientro,stile 1,Footnote1,Footnote2,Footnote3,Footnote4,Footnote5,Footnote6,Footnote7,Footnote8,Footnote9,Footnote10,Footnote11,Footnote21,Footnote31,Footnote41,Footnote51,ft,o,f,Reference,Footnote text"/>
    <w:basedOn w:val="Normal"/>
    <w:link w:val="FootnoteTextChar"/>
    <w:uiPriority w:val="99"/>
    <w:qFormat/>
    <w:pPr>
      <w:spacing w:after="0" w:line="240" w:lineRule="auto"/>
    </w:pPr>
    <w:rPr>
      <w:rFonts w:ascii="Constantia" w:eastAsia="Times New Roman" w:hAnsi="Constantia"/>
      <w:sz w:val="20"/>
      <w:szCs w:val="20"/>
      <w:lang w:eastAsia="en-GB"/>
    </w:rPr>
  </w:style>
  <w:style w:type="character" w:customStyle="1" w:styleId="FootnoteTextChar">
    <w:name w:val="Footnote Text Char"/>
    <w:aliases w:val="Footnote Char,Testo nota a piè di pagina_Rientro Char,stile 1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locked/>
    <w:rPr>
      <w:rFonts w:ascii="Constantia" w:hAnsi="Constantia" w:cs="Times New Roman"/>
      <w:sz w:val="20"/>
      <w:szCs w:val="20"/>
      <w:lang w:eastAsia="en-GB"/>
    </w:rPr>
  </w:style>
  <w:style w:type="character" w:styleId="FootnoteReference">
    <w:name w:val="footnote reference"/>
    <w:aliases w:val="number,Footnote symbol,Voetnootverwijzing,Times 10 Point,Exposant 3 Point,Footnote reference number,note TESI,SUPERS,EN Footnote Reference,Ref,de nota al pie,Footnote Reference Superscript,Footnote sign,BVI fnr,stylish"/>
    <w:basedOn w:val="DefaultParagraphFont"/>
    <w:uiPriority w:val="99"/>
    <w:qFormat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lang w:eastAsia="en-US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  <w:lang w:val="bg-BG"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Caption">
    <w:name w:val="caption"/>
    <w:basedOn w:val="Normal"/>
    <w:next w:val="Normal"/>
    <w:unhideWhenUsed/>
    <w:qFormat/>
    <w:locked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en-US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en-US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lang w:val="bg-BG" w:eastAsia="en-US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bg-BG" w:eastAsia="en-US"/>
    </w:rPr>
  </w:style>
  <w:style w:type="table" w:customStyle="1" w:styleId="TableGrid5">
    <w:name w:val="Table Grid5"/>
    <w:basedOn w:val="TableNormal"/>
    <w:next w:val="TableGrid"/>
    <w:uiPriority w:val="59"/>
    <w:rPr>
      <w:rFonts w:asciiTheme="minorHAnsi" w:eastAsiaTheme="minorEastAsia" w:hAnsiTheme="minorHAnsi" w:cstheme="minorBid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Pr>
      <w:rFonts w:asciiTheme="minorHAnsi" w:eastAsiaTheme="minorEastAsia" w:hAnsiTheme="minorHAnsi" w:cstheme="minorBid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ext">
    <w:name w:val="Chapter text"/>
    <w:basedOn w:val="Normal"/>
    <w:next w:val="Normal"/>
    <w:qFormat/>
    <w:pPr>
      <w:spacing w:line="270" w:lineRule="atLeast"/>
    </w:pPr>
    <w:rPr>
      <w:rFonts w:ascii="Constantia" w:eastAsiaTheme="minorEastAsia" w:hAnsi="Constantia" w:cstheme="minorBidi"/>
      <w:sz w:val="20"/>
      <w:lang w:eastAsia="en-GB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eastAsiaTheme="minorHAnsi" w:hAnsi="Times New Roman"/>
      <w:b/>
      <w:i/>
      <w:sz w:val="24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eastAsiaTheme="minorHAnsi" w:hAnsi="Times New Roman"/>
      <w:b/>
      <w:sz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eastAsiaTheme="minorHAnsi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oter" Target="footer1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38" Type="http://schemas.openxmlformats.org/officeDocument/2006/relationships/theme" Target="theme/theme1.xml"/><Relationship Id="rId6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header" Target="header1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9BEA1F633F0438E1D0F79AB518DAB" ma:contentTypeVersion="13" ma:contentTypeDescription="Create a new document." ma:contentTypeScope="" ma:versionID="b1da73c4aeda247b791f701ee9fc2c39">
  <xsd:schema xmlns:xsd="http://www.w3.org/2001/XMLSchema" xmlns:xs="http://www.w3.org/2001/XMLSchema" xmlns:p="http://schemas.microsoft.com/office/2006/metadata/properties" xmlns:ns3="f72b8e7e-327c-4d7a-a8f6-826e6d5225a8" xmlns:ns4="ed8d86cc-71b3-48cf-8a07-5ecfc0d8012d" targetNamespace="http://schemas.microsoft.com/office/2006/metadata/properties" ma:root="true" ma:fieldsID="faef788a845b137d2f6196d8b506f791" ns3:_="" ns4:_="">
    <xsd:import namespace="f72b8e7e-327c-4d7a-a8f6-826e6d5225a8"/>
    <xsd:import namespace="ed8d86cc-71b3-48cf-8a07-5ecfc0d801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b8e7e-327c-4d7a-a8f6-826e6d522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d86cc-71b3-48cf-8a07-5ecfc0d80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2ABE-64C2-4D02-B0AA-C40CCA8790F4}">
  <ds:schemaRefs>
    <ds:schemaRef ds:uri="http://purl.org/dc/elements/1.1/"/>
    <ds:schemaRef ds:uri="http://schemas.microsoft.com/office/2006/metadata/properties"/>
    <ds:schemaRef ds:uri="f72b8e7e-327c-4d7a-a8f6-826e6d5225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8d86cc-71b3-48cf-8a07-5ecfc0d801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1D2F31-F100-48A6-9B69-864891A48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7D526-14B3-4F92-858A-197A832E3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b8e7e-327c-4d7a-a8f6-826e6d5225a8"/>
    <ds:schemaRef ds:uri="ed8d86cc-71b3-48cf-8a07-5ecfc0d80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BD9274-7D78-4298-AC80-0188DE0B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903</Words>
  <Characters>4304</Characters>
  <Application>Microsoft Office Word</Application>
  <DocSecurity>0</DocSecurity>
  <Lines>614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ZERVA Argyro (ENV)</dc:creator>
  <cp:lastModifiedBy>DIGIT/C6</cp:lastModifiedBy>
  <cp:revision>26</cp:revision>
  <cp:lastPrinted>2020-03-11T11:19:00Z</cp:lastPrinted>
  <dcterms:created xsi:type="dcterms:W3CDTF">2020-04-14T17:28:00Z</dcterms:created>
  <dcterms:modified xsi:type="dcterms:W3CDTF">2020-07-03T08:29:00Z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7.0, Build 20190717</vt:lpwstr>
  </property>
  <property fmtid="{D5CDD505-2E9C-101B-9397-08002B2CF9AE}" pid="7" name="Created using">
    <vt:lpwstr>LW 6.0.1, Build 20180503</vt:lpwstr>
  </property>
  <property fmtid="{D5CDD505-2E9C-101B-9397-08002B2CF9AE}" pid="8" name="Mendeley Document_1">
    <vt:lpwstr>True</vt:lpwstr>
  </property>
  <property fmtid="{D5CDD505-2E9C-101B-9397-08002B2CF9AE}" pid="9" name="CPTemplateID">
    <vt:lpwstr>CP-039</vt:lpwstr>
  </property>
  <property fmtid="{D5CDD505-2E9C-101B-9397-08002B2CF9AE}" pid="10" name="First annex">
    <vt:lpwstr>2</vt:lpwstr>
  </property>
  <property fmtid="{D5CDD505-2E9C-101B-9397-08002B2CF9AE}" pid="11" name="Last annex">
    <vt:lpwstr>2</vt:lpwstr>
  </property>
  <property fmtid="{D5CDD505-2E9C-101B-9397-08002B2CF9AE}" pid="12" name="Unique annex">
    <vt:lpwstr>0</vt:lpwstr>
  </property>
  <property fmtid="{D5CDD505-2E9C-101B-9397-08002B2CF9AE}" pid="13" name="_LW_INVALIDATED__LW_INVALIDATED__LW_INVALIDATED__LW_INVALIDATED__LW_INVALIDATED__LW_INVALIDATED__LW_INVALIDATED_ContentTypeId">
    <vt:lpwstr>0x0101004459BEA1F633F0438E1D0F79AB518DAB</vt:lpwstr>
  </property>
</Properties>
</file>