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D2B5204-31A4-4643-BA3E-4300EB114BDE" style="width:450pt;height:406.8pt">
            <v:imagedata r:id="rId12" o:title=""/>
          </v:shape>
        </w:pict>
      </w:r>
    </w:p>
    <w:bookmarkEnd w:id="0"/>
    <w:bookmarkEnd w:id="1"/>
    <w:bookmarkEnd w:id="2"/>
    <w:bookmarkEnd w:id="3"/>
    <w:bookmarkEnd w:id="4"/>
    <w:p>
      <w:pPr>
        <w:tabs>
          <w:tab w:val="left" w:pos="360"/>
        </w:tabs>
        <w:jc w:val="both"/>
        <w:rPr>
          <w:rFonts w:ascii="Times New Roman" w:hAnsi="Times New Roman"/>
          <w:noProof/>
          <w:sz w:val="24"/>
          <w:szCs w:val="24"/>
          <w:highlight w:val="yellow"/>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299"/>
        </w:sectPr>
      </w:pPr>
    </w:p>
    <w:p>
      <w:pPr>
        <w:spacing w:line="270" w:lineRule="atLeast"/>
        <w:jc w:val="right"/>
        <w:rPr>
          <w:rFonts w:ascii="Times New Roman" w:hAnsi="Times New Roman"/>
          <w:b/>
          <w:bCs/>
          <w:noProof/>
          <w:sz w:val="24"/>
          <w:szCs w:val="24"/>
        </w:rPr>
      </w:pPr>
      <w:bookmarkStart w:id="5" w:name="_GoBack"/>
      <w:bookmarkEnd w:id="5"/>
      <w:r>
        <w:rPr>
          <w:rFonts w:ascii="Times New Roman" w:hAnsi="Times New Roman"/>
          <w:b/>
          <w:bCs/>
          <w:noProof/>
          <w:sz w:val="24"/>
          <w:szCs w:val="24"/>
        </w:rPr>
        <w:lastRenderedPageBreak/>
        <w:t>Annexe 2</w:t>
      </w:r>
    </w:p>
    <w:p>
      <w:pPr>
        <w:spacing w:line="270" w:lineRule="atLeast"/>
        <w:rPr>
          <w:rFonts w:ascii="Times New Roman" w:hAnsi="Times New Roman"/>
          <w:b/>
          <w:noProof/>
          <w:szCs w:val="20"/>
        </w:rPr>
      </w:pPr>
      <w:r>
        <w:rPr>
          <w:rFonts w:ascii="Times New Roman" w:hAnsi="Times New Roman"/>
          <w:b/>
          <w:bCs/>
          <w:noProof/>
          <w:szCs w:val="20"/>
        </w:rPr>
        <w:t>Tableau 1:</w:t>
      </w:r>
      <w:r>
        <w:rPr>
          <w:rFonts w:ascii="Times New Roman" w:hAnsi="Times New Roman"/>
          <w:b/>
          <w:noProof/>
          <w:szCs w:val="20"/>
        </w:rPr>
        <w:t xml:space="preserve"> critères utilisés pour déterminer si une vérification supplémentaire d’une autorisation FLEGT était nécessaire, lorsque les États membres l’ont signalée. </w:t>
      </w:r>
    </w:p>
    <w:tbl>
      <w:tblPr>
        <w:tblW w:w="5293"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2"/>
        <w:gridCol w:w="1965"/>
        <w:gridCol w:w="905"/>
        <w:gridCol w:w="851"/>
        <w:gridCol w:w="1134"/>
        <w:gridCol w:w="991"/>
        <w:gridCol w:w="1134"/>
        <w:gridCol w:w="1277"/>
        <w:gridCol w:w="5385"/>
      </w:tblGrid>
      <w:tr>
        <w:trPr>
          <w:trHeight w:val="20"/>
        </w:trPr>
        <w:tc>
          <w:tcPr>
            <w:tcW w:w="417" w:type="pct"/>
            <w:shd w:val="clear" w:color="000000" w:fill="6C8911"/>
            <w:noWrap/>
            <w:hideMark/>
          </w:tcPr>
          <w:p>
            <w:pPr>
              <w:spacing w:after="0" w:line="240" w:lineRule="auto"/>
              <w:rPr>
                <w:rFonts w:ascii="Times New Roman" w:eastAsia="Times New Roman" w:hAnsi="Times New Roman"/>
                <w:noProof/>
                <w:color w:val="FFFFFF"/>
                <w:sz w:val="16"/>
                <w:szCs w:val="16"/>
              </w:rPr>
            </w:pPr>
            <w:r>
              <w:rPr>
                <w:rFonts w:ascii="Times New Roman" w:hAnsi="Times New Roman"/>
                <w:noProof/>
                <w:color w:val="FFFFFF"/>
                <w:sz w:val="16"/>
                <w:szCs w:val="16"/>
              </w:rPr>
              <w:t>Pays</w:t>
            </w:r>
          </w:p>
        </w:tc>
        <w:tc>
          <w:tcPr>
            <w:tcW w:w="660" w:type="pct"/>
            <w:shd w:val="clear" w:color="000000" w:fill="6C8911"/>
            <w:noWrap/>
            <w:hideMark/>
          </w:tcPr>
          <w:p>
            <w:pPr>
              <w:spacing w:after="0" w:line="240" w:lineRule="auto"/>
              <w:rPr>
                <w:rFonts w:ascii="Times New Roman" w:eastAsia="Times New Roman" w:hAnsi="Times New Roman"/>
                <w:noProof/>
                <w:color w:val="FFFFFF"/>
                <w:sz w:val="16"/>
                <w:szCs w:val="16"/>
              </w:rPr>
            </w:pPr>
            <w:r>
              <w:rPr>
                <w:rFonts w:ascii="Times New Roman" w:hAnsi="Times New Roman"/>
                <w:noProof/>
                <w:color w:val="FFFFFF"/>
                <w:sz w:val="16"/>
                <w:szCs w:val="16"/>
              </w:rPr>
              <w:t xml:space="preserve">Agence effectuant les contrôles </w:t>
            </w:r>
          </w:p>
          <w:p>
            <w:pPr>
              <w:spacing w:after="0" w:line="240" w:lineRule="auto"/>
              <w:rPr>
                <w:rFonts w:ascii="Times New Roman" w:eastAsia="Times New Roman" w:hAnsi="Times New Roman"/>
                <w:noProof/>
                <w:color w:val="FFFFFF"/>
                <w:sz w:val="16"/>
                <w:szCs w:val="16"/>
              </w:rPr>
            </w:pPr>
            <w:r>
              <w:rPr>
                <w:rFonts w:ascii="Times New Roman" w:hAnsi="Times New Roman"/>
                <w:noProof/>
                <w:color w:val="FFFFFF"/>
                <w:sz w:val="16"/>
                <w:szCs w:val="16"/>
              </w:rPr>
              <w:t xml:space="preserve">(AC = autorité compétente, </w:t>
            </w:r>
          </w:p>
          <w:p>
            <w:pPr>
              <w:spacing w:after="0" w:line="240" w:lineRule="auto"/>
              <w:rPr>
                <w:rFonts w:ascii="Times New Roman" w:eastAsia="Times New Roman" w:hAnsi="Times New Roman"/>
                <w:noProof/>
                <w:color w:val="FFFFFF"/>
                <w:sz w:val="16"/>
                <w:szCs w:val="16"/>
              </w:rPr>
            </w:pPr>
            <w:r>
              <w:rPr>
                <w:rFonts w:ascii="Times New Roman" w:hAnsi="Times New Roman"/>
                <w:noProof/>
                <w:color w:val="FFFFFF"/>
                <w:sz w:val="16"/>
                <w:szCs w:val="16"/>
              </w:rPr>
              <w:t>D = douanes)</w:t>
            </w:r>
          </w:p>
        </w:tc>
        <w:tc>
          <w:tcPr>
            <w:tcW w:w="304" w:type="pct"/>
            <w:shd w:val="clear" w:color="000000" w:fill="6C8911"/>
            <w:noWrap/>
            <w:hideMark/>
          </w:tcPr>
          <w:p>
            <w:pPr>
              <w:spacing w:after="0" w:line="240" w:lineRule="auto"/>
              <w:jc w:val="center"/>
              <w:rPr>
                <w:rFonts w:ascii="Times New Roman" w:eastAsia="Times New Roman" w:hAnsi="Times New Roman"/>
                <w:noProof/>
                <w:color w:val="FFFFFF"/>
                <w:sz w:val="16"/>
                <w:szCs w:val="16"/>
              </w:rPr>
            </w:pPr>
            <w:r>
              <w:rPr>
                <w:rFonts w:ascii="Times New Roman" w:hAnsi="Times New Roman"/>
                <w:noProof/>
                <w:color w:val="FFFFFF"/>
                <w:sz w:val="16"/>
                <w:szCs w:val="16"/>
              </w:rPr>
              <w:t>Espèces</w:t>
            </w:r>
          </w:p>
        </w:tc>
        <w:tc>
          <w:tcPr>
            <w:tcW w:w="286" w:type="pct"/>
            <w:shd w:val="clear" w:color="000000" w:fill="6C8911"/>
            <w:noWrap/>
            <w:hideMark/>
          </w:tcPr>
          <w:p>
            <w:pPr>
              <w:spacing w:after="0" w:line="240" w:lineRule="auto"/>
              <w:jc w:val="center"/>
              <w:rPr>
                <w:rFonts w:ascii="Times New Roman" w:eastAsia="Times New Roman" w:hAnsi="Times New Roman"/>
                <w:noProof/>
                <w:color w:val="FFFFFF"/>
                <w:sz w:val="16"/>
                <w:szCs w:val="16"/>
              </w:rPr>
            </w:pPr>
            <w:r>
              <w:rPr>
                <w:rFonts w:ascii="Times New Roman" w:hAnsi="Times New Roman"/>
                <w:noProof/>
                <w:color w:val="FFFFFF"/>
                <w:sz w:val="16"/>
                <w:szCs w:val="16"/>
              </w:rPr>
              <w:t>Opérateur</w:t>
            </w:r>
          </w:p>
        </w:tc>
        <w:tc>
          <w:tcPr>
            <w:tcW w:w="381" w:type="pct"/>
            <w:shd w:val="clear" w:color="000000" w:fill="6C8911"/>
            <w:noWrap/>
            <w:hideMark/>
          </w:tcPr>
          <w:p>
            <w:pPr>
              <w:spacing w:after="0" w:line="240" w:lineRule="auto"/>
              <w:jc w:val="center"/>
              <w:rPr>
                <w:rFonts w:ascii="Times New Roman" w:eastAsia="Times New Roman" w:hAnsi="Times New Roman"/>
                <w:noProof/>
                <w:color w:val="FFFFFF"/>
                <w:sz w:val="16"/>
                <w:szCs w:val="16"/>
              </w:rPr>
            </w:pPr>
            <w:r>
              <w:rPr>
                <w:rFonts w:ascii="Times New Roman" w:hAnsi="Times New Roman"/>
                <w:noProof/>
                <w:color w:val="FFFFFF"/>
                <w:sz w:val="16"/>
                <w:szCs w:val="16"/>
              </w:rPr>
              <w:t>Volume/poids de l’expédition</w:t>
            </w:r>
          </w:p>
        </w:tc>
        <w:tc>
          <w:tcPr>
            <w:tcW w:w="333" w:type="pct"/>
            <w:shd w:val="clear" w:color="000000" w:fill="6C8911"/>
            <w:noWrap/>
            <w:hideMark/>
          </w:tcPr>
          <w:p>
            <w:pPr>
              <w:spacing w:after="0" w:line="240" w:lineRule="auto"/>
              <w:jc w:val="center"/>
              <w:rPr>
                <w:rFonts w:ascii="Times New Roman" w:eastAsia="Times New Roman" w:hAnsi="Times New Roman"/>
                <w:noProof/>
                <w:color w:val="FFFFFF"/>
                <w:sz w:val="16"/>
                <w:szCs w:val="16"/>
              </w:rPr>
            </w:pPr>
            <w:r>
              <w:rPr>
                <w:rFonts w:ascii="Times New Roman" w:hAnsi="Times New Roman"/>
                <w:noProof/>
                <w:color w:val="FFFFFF"/>
                <w:sz w:val="16"/>
                <w:szCs w:val="16"/>
              </w:rPr>
              <w:t>Codes SH</w:t>
            </w:r>
          </w:p>
        </w:tc>
        <w:tc>
          <w:tcPr>
            <w:tcW w:w="381" w:type="pct"/>
            <w:shd w:val="clear" w:color="000000" w:fill="6C8911"/>
            <w:noWrap/>
            <w:hideMark/>
          </w:tcPr>
          <w:p>
            <w:pPr>
              <w:spacing w:after="0" w:line="240" w:lineRule="auto"/>
              <w:jc w:val="center"/>
              <w:rPr>
                <w:rFonts w:ascii="Times New Roman" w:eastAsia="Times New Roman" w:hAnsi="Times New Roman"/>
                <w:noProof/>
                <w:color w:val="FFFFFF"/>
                <w:sz w:val="16"/>
                <w:szCs w:val="16"/>
              </w:rPr>
            </w:pPr>
            <w:r>
              <w:rPr>
                <w:rFonts w:ascii="Times New Roman" w:hAnsi="Times New Roman"/>
                <w:noProof/>
                <w:color w:val="FFFFFF"/>
                <w:sz w:val="16"/>
                <w:szCs w:val="16"/>
              </w:rPr>
              <w:t>Pays d’origine</w:t>
            </w:r>
          </w:p>
        </w:tc>
        <w:tc>
          <w:tcPr>
            <w:tcW w:w="429" w:type="pct"/>
            <w:shd w:val="clear" w:color="000000" w:fill="6C8911"/>
            <w:noWrap/>
            <w:hideMark/>
          </w:tcPr>
          <w:p>
            <w:pPr>
              <w:spacing w:after="0" w:line="240" w:lineRule="auto"/>
              <w:jc w:val="center"/>
              <w:rPr>
                <w:rFonts w:ascii="Times New Roman" w:eastAsia="Times New Roman" w:hAnsi="Times New Roman"/>
                <w:noProof/>
                <w:color w:val="FFFFFF"/>
                <w:sz w:val="16"/>
                <w:szCs w:val="16"/>
              </w:rPr>
            </w:pPr>
            <w:r>
              <w:rPr>
                <w:rFonts w:ascii="Times New Roman" w:hAnsi="Times New Roman"/>
                <w:noProof/>
                <w:color w:val="FFFFFF"/>
                <w:sz w:val="16"/>
                <w:szCs w:val="16"/>
              </w:rPr>
              <w:t>Inadéquation des informations de document</w:t>
            </w:r>
          </w:p>
        </w:tc>
        <w:tc>
          <w:tcPr>
            <w:tcW w:w="1809" w:type="pct"/>
            <w:shd w:val="clear" w:color="000000" w:fill="6C8911"/>
            <w:noWrap/>
            <w:hideMark/>
          </w:tcPr>
          <w:p>
            <w:pPr>
              <w:spacing w:after="0" w:line="240" w:lineRule="auto"/>
              <w:rPr>
                <w:rFonts w:ascii="Times New Roman" w:eastAsia="Times New Roman" w:hAnsi="Times New Roman"/>
                <w:noProof/>
                <w:color w:val="FFFFFF"/>
                <w:sz w:val="16"/>
                <w:szCs w:val="16"/>
              </w:rPr>
            </w:pPr>
            <w:r>
              <w:rPr>
                <w:rFonts w:ascii="Times New Roman" w:hAnsi="Times New Roman"/>
                <w:noProof/>
                <w:color w:val="FFFFFF"/>
                <w:sz w:val="16"/>
                <w:szCs w:val="16"/>
              </w:rPr>
              <w:t xml:space="preserve">Autres </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Autriche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Par exemple lorsque l’autorité de délivrance n’est pas indiquée comme active, ou si les exigences officielles dont dispose l’APV ne sont pas respectées</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Belgique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 et D</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 xml:space="preserve"> </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Bulgarie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 xml:space="preserve"> </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Chypre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République tchèque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 et D</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Non spécifié</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Danemark</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Estonie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D</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Toutes les autorisations sont sur support papier, étant donné que les opérateurs enregistrent les données dans FLEGIT avec des erreurs typographiques</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Finlande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L’autorisation n’existe pas dans la base de données SILK, il manque le cachet et/ou la signature, l’autorisation n’est pas imprimée sur un papier officiel</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Allemagne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 D, autre (Thünen-Institut)</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Toutes les autorisations sont comparées aux informations de l’autorisation sur SILK</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Hongrie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Non spécifié</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Irlande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Comparer avec les informations de l’autorisation sur SILK</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Italie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 et D</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 xml:space="preserve"> </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Lettonie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 xml:space="preserve">AC </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L’AC vérifie la légalité des autorisations sur SILK</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Lituanie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D</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b/>
                <w:noProof/>
                <w:color w:val="000000"/>
                <w:sz w:val="16"/>
                <w:szCs w:val="16"/>
              </w:rPr>
            </w:pPr>
            <w:r>
              <w:rPr>
                <w:rFonts w:ascii="Times New Roman" w:hAnsi="Times New Roman"/>
                <w:noProof/>
                <w:color w:val="000000"/>
                <w:sz w:val="16"/>
                <w:szCs w:val="16"/>
              </w:rPr>
              <w:t>Non spécifié</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Malte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 xml:space="preserve">AC </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Pays-Bas</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Non spécifié</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Pologne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Doutes quant à l’authenticité de la signature sur l’autorisation FLEGT</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Slovénie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 et D</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Non spécifié</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Espagne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noProof/>
                <w:color w:val="212121"/>
                <w:sz w:val="16"/>
                <w:szCs w:val="16"/>
              </w:rPr>
            </w:pPr>
            <w:r>
              <w:rPr>
                <w:rFonts w:ascii="Times New Roman" w:hAnsi="Times New Roman"/>
                <w:noProof/>
                <w:color w:val="212121"/>
                <w:sz w:val="16"/>
                <w:szCs w:val="16"/>
              </w:rPr>
              <w:t>Lorsque l’autorisation n’existe pas ou ne coïncide pas avec SILK ou lorsqu’elle a expiré. Les unités de chargement sont également prises en compte</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Suède</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 et autre (LIU)</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L’autorisation ne contient pas de signature, de cachets ou d’autres renseignements obligatoires; la signature est manquante dans SILK ou n’est plus valide; l’autorisation n’est plus valide.</w:t>
            </w:r>
          </w:p>
        </w:tc>
      </w:tr>
      <w:tr>
        <w:trPr>
          <w:trHeight w:val="20"/>
        </w:trPr>
        <w:tc>
          <w:tcPr>
            <w:tcW w:w="417"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Royaume-Uni</w:t>
            </w:r>
          </w:p>
        </w:tc>
        <w:tc>
          <w:tcPr>
            <w:tcW w:w="660"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w:t>
            </w:r>
          </w:p>
        </w:tc>
        <w:tc>
          <w:tcPr>
            <w:tcW w:w="304"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286"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3"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81"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p>
        </w:tc>
        <w:tc>
          <w:tcPr>
            <w:tcW w:w="429" w:type="pct"/>
            <w:shd w:val="clear" w:color="auto" w:fill="auto"/>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1809" w:type="pct"/>
            <w:shd w:val="clear" w:color="auto" w:fill="auto"/>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Divergence entre les codes tarifaires du Royaume-Uni et de l’Indonésie</w:t>
            </w:r>
          </w:p>
        </w:tc>
      </w:tr>
    </w:tbl>
    <w:p>
      <w:pPr>
        <w:spacing w:after="0" w:line="240" w:lineRule="auto"/>
        <w:rPr>
          <w:rFonts w:ascii="Times New Roman" w:hAnsi="Times New Roman"/>
          <w:noProof/>
          <w:sz w:val="18"/>
          <w:szCs w:val="18"/>
          <w:highlight w:val="yellow"/>
        </w:rPr>
      </w:pPr>
    </w:p>
    <w:p>
      <w:pPr>
        <w:spacing w:line="270" w:lineRule="atLeast"/>
        <w:rPr>
          <w:rFonts w:ascii="Times New Roman" w:hAnsi="Times New Roman"/>
          <w:b/>
          <w:bCs/>
          <w:noProof/>
          <w:sz w:val="20"/>
          <w:szCs w:val="20"/>
          <w:highlight w:val="yellow"/>
          <w:lang w:eastAsia="en-GB"/>
        </w:rPr>
      </w:pPr>
    </w:p>
    <w:p>
      <w:pPr>
        <w:spacing w:after="0" w:line="240" w:lineRule="auto"/>
        <w:rPr>
          <w:rFonts w:ascii="Times New Roman" w:hAnsi="Times New Roman"/>
          <w:b/>
          <w:bCs/>
          <w:noProof/>
          <w:sz w:val="20"/>
          <w:szCs w:val="20"/>
          <w:highlight w:val="yellow"/>
          <w:lang w:eastAsia="en-GB"/>
        </w:rPr>
        <w:sectPr>
          <w:headerReference w:type="even" r:id="rId19"/>
          <w:headerReference w:type="default" r:id="rId20"/>
          <w:footerReference w:type="even" r:id="rId21"/>
          <w:footerReference w:type="default" r:id="rId22"/>
          <w:headerReference w:type="first" r:id="rId23"/>
          <w:footerReference w:type="first" r:id="rId24"/>
          <w:pgSz w:w="16838" w:h="11906" w:orient="landscape"/>
          <w:pgMar w:top="1417" w:right="1417" w:bottom="1417" w:left="1417" w:header="708" w:footer="708" w:gutter="0"/>
          <w:cols w:space="720"/>
        </w:sectPr>
      </w:pPr>
    </w:p>
    <w:p>
      <w:pPr>
        <w:spacing w:line="270" w:lineRule="atLeast"/>
        <w:rPr>
          <w:rFonts w:ascii="Times New Roman" w:hAnsi="Times New Roman"/>
          <w:b/>
          <w:noProof/>
          <w:szCs w:val="20"/>
        </w:rPr>
      </w:pPr>
      <w:r>
        <w:rPr>
          <w:rFonts w:ascii="Times New Roman" w:hAnsi="Times New Roman"/>
          <w:b/>
          <w:bCs/>
          <w:noProof/>
          <w:szCs w:val="20"/>
        </w:rPr>
        <w:lastRenderedPageBreak/>
        <w:t>Tableau 2:</w:t>
      </w:r>
      <w:r>
        <w:rPr>
          <w:rFonts w:ascii="Times New Roman" w:hAnsi="Times New Roman"/>
          <w:b/>
          <w:noProof/>
          <w:szCs w:val="20"/>
        </w:rPr>
        <w:t xml:space="preserve"> critères utilisés pour déterminer si une vérification supplémentaire d’une expédition couverte par une autorisation FLEGT était nécessaire, lorsque les États membres l’ont signalée. </w:t>
      </w:r>
    </w:p>
    <w:tbl>
      <w:tblPr>
        <w:tblW w:w="525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2"/>
        <w:gridCol w:w="2855"/>
        <w:gridCol w:w="863"/>
        <w:gridCol w:w="863"/>
        <w:gridCol w:w="963"/>
        <w:gridCol w:w="763"/>
        <w:gridCol w:w="862"/>
        <w:gridCol w:w="2865"/>
        <w:gridCol w:w="1447"/>
        <w:gridCol w:w="892"/>
        <w:gridCol w:w="1058"/>
      </w:tblGrid>
      <w:tr>
        <w:trPr>
          <w:trHeight w:val="20"/>
          <w:tblHeader/>
        </w:trPr>
        <w:tc>
          <w:tcPr>
            <w:tcW w:w="426" w:type="pct"/>
            <w:tcBorders>
              <w:top w:val="single" w:sz="4" w:space="0" w:color="auto"/>
              <w:left w:val="nil"/>
              <w:bottom w:val="single" w:sz="4" w:space="0" w:color="auto"/>
              <w:right w:val="single" w:sz="4" w:space="0" w:color="auto"/>
            </w:tcBorders>
            <w:shd w:val="clear" w:color="auto" w:fill="6C8911"/>
            <w:noWrap/>
            <w:hideMark/>
          </w:tcPr>
          <w:p>
            <w:pPr>
              <w:spacing w:after="0" w:line="240" w:lineRule="auto"/>
              <w:rPr>
                <w:rFonts w:ascii="Times New Roman" w:eastAsia="Times New Roman" w:hAnsi="Times New Roman"/>
                <w:noProof/>
                <w:color w:val="FFFFFF" w:themeColor="background1"/>
                <w:sz w:val="16"/>
                <w:szCs w:val="16"/>
              </w:rPr>
            </w:pPr>
            <w:r>
              <w:rPr>
                <w:rFonts w:ascii="Times New Roman" w:hAnsi="Times New Roman"/>
                <w:noProof/>
                <w:color w:val="FFFFFF" w:themeColor="background1"/>
                <w:sz w:val="16"/>
                <w:szCs w:val="16"/>
              </w:rPr>
              <w:t>Pays</w:t>
            </w:r>
          </w:p>
        </w:tc>
        <w:tc>
          <w:tcPr>
            <w:tcW w:w="725" w:type="pct"/>
            <w:tcBorders>
              <w:top w:val="single" w:sz="4" w:space="0" w:color="auto"/>
              <w:left w:val="single" w:sz="4" w:space="0" w:color="auto"/>
              <w:bottom w:val="single" w:sz="4" w:space="0" w:color="auto"/>
              <w:right w:val="single" w:sz="4" w:space="0" w:color="auto"/>
            </w:tcBorders>
            <w:shd w:val="clear" w:color="auto" w:fill="6C8911"/>
            <w:noWrap/>
            <w:hideMark/>
          </w:tcPr>
          <w:p>
            <w:pPr>
              <w:spacing w:after="0" w:line="240" w:lineRule="auto"/>
              <w:rPr>
                <w:rFonts w:ascii="Times New Roman" w:eastAsia="Times New Roman" w:hAnsi="Times New Roman"/>
                <w:noProof/>
                <w:color w:val="FFFFFF"/>
                <w:sz w:val="16"/>
                <w:szCs w:val="16"/>
              </w:rPr>
            </w:pPr>
            <w:r>
              <w:rPr>
                <w:rFonts w:ascii="Times New Roman" w:hAnsi="Times New Roman"/>
                <w:noProof/>
                <w:color w:val="FFFFFF"/>
                <w:sz w:val="16"/>
                <w:szCs w:val="16"/>
              </w:rPr>
              <w:t xml:space="preserve">Agence effectuant les contrôles </w:t>
            </w:r>
          </w:p>
          <w:p>
            <w:pPr>
              <w:spacing w:after="0" w:line="240" w:lineRule="auto"/>
              <w:rPr>
                <w:rFonts w:ascii="Times New Roman" w:eastAsia="Times New Roman" w:hAnsi="Times New Roman"/>
                <w:noProof/>
                <w:color w:val="FFFFFF"/>
                <w:sz w:val="16"/>
                <w:szCs w:val="16"/>
              </w:rPr>
            </w:pPr>
            <w:r>
              <w:rPr>
                <w:rFonts w:ascii="Times New Roman" w:hAnsi="Times New Roman"/>
                <w:noProof/>
                <w:color w:val="FFFFFF"/>
                <w:sz w:val="16"/>
                <w:szCs w:val="16"/>
              </w:rPr>
              <w:t xml:space="preserve">(AC = autorité compétente, </w:t>
            </w:r>
          </w:p>
          <w:p>
            <w:pPr>
              <w:spacing w:after="0" w:line="240" w:lineRule="auto"/>
              <w:rPr>
                <w:rFonts w:ascii="Times New Roman" w:eastAsia="Times New Roman" w:hAnsi="Times New Roman"/>
                <w:noProof/>
                <w:color w:val="FFFFFF" w:themeColor="background1"/>
                <w:sz w:val="16"/>
                <w:szCs w:val="16"/>
              </w:rPr>
            </w:pPr>
            <w:r>
              <w:rPr>
                <w:rFonts w:ascii="Times New Roman" w:hAnsi="Times New Roman"/>
                <w:noProof/>
                <w:color w:val="FFFFFF"/>
                <w:sz w:val="16"/>
                <w:szCs w:val="16"/>
              </w:rPr>
              <w:t>D = douanes)</w:t>
            </w:r>
          </w:p>
        </w:tc>
        <w:tc>
          <w:tcPr>
            <w:tcW w:w="391" w:type="pct"/>
            <w:tcBorders>
              <w:top w:val="single" w:sz="4" w:space="0" w:color="auto"/>
              <w:left w:val="single" w:sz="4" w:space="0" w:color="auto"/>
              <w:bottom w:val="single" w:sz="4" w:space="0" w:color="auto"/>
              <w:right w:val="single" w:sz="4" w:space="0" w:color="auto"/>
            </w:tcBorders>
            <w:shd w:val="clear" w:color="auto" w:fill="6C8911"/>
            <w:hideMark/>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Espèces</w:t>
            </w:r>
          </w:p>
        </w:tc>
        <w:tc>
          <w:tcPr>
            <w:tcW w:w="391" w:type="pct"/>
            <w:tcBorders>
              <w:top w:val="single" w:sz="4" w:space="0" w:color="auto"/>
              <w:left w:val="single" w:sz="4" w:space="0" w:color="auto"/>
              <w:bottom w:val="single" w:sz="4" w:space="0" w:color="auto"/>
              <w:right w:val="single" w:sz="4" w:space="0" w:color="auto"/>
            </w:tcBorders>
            <w:shd w:val="clear" w:color="auto" w:fill="6C8911"/>
            <w:hideMark/>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Opérateur</w:t>
            </w:r>
          </w:p>
        </w:tc>
        <w:tc>
          <w:tcPr>
            <w:tcW w:w="391" w:type="pct"/>
            <w:tcBorders>
              <w:top w:val="single" w:sz="4" w:space="0" w:color="auto"/>
              <w:left w:val="single" w:sz="4" w:space="0" w:color="auto"/>
              <w:bottom w:val="single" w:sz="4" w:space="0" w:color="auto"/>
              <w:right w:val="single" w:sz="4" w:space="0" w:color="auto"/>
            </w:tcBorders>
            <w:shd w:val="clear" w:color="auto" w:fill="6C8911"/>
            <w:hideMark/>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Volume/poids de l’expédition</w:t>
            </w:r>
          </w:p>
        </w:tc>
        <w:tc>
          <w:tcPr>
            <w:tcW w:w="390" w:type="pct"/>
            <w:tcBorders>
              <w:top w:val="single" w:sz="4" w:space="0" w:color="auto"/>
              <w:left w:val="single" w:sz="4" w:space="0" w:color="auto"/>
              <w:bottom w:val="single" w:sz="4" w:space="0" w:color="auto"/>
              <w:right w:val="single" w:sz="4" w:space="0" w:color="auto"/>
            </w:tcBorders>
            <w:shd w:val="clear" w:color="auto" w:fill="6C8911"/>
            <w:hideMark/>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Codes SH</w:t>
            </w:r>
          </w:p>
        </w:tc>
        <w:tc>
          <w:tcPr>
            <w:tcW w:w="390" w:type="pct"/>
            <w:tcBorders>
              <w:top w:val="single" w:sz="4" w:space="0" w:color="auto"/>
              <w:left w:val="single" w:sz="4" w:space="0" w:color="auto"/>
              <w:bottom w:val="single" w:sz="4" w:space="0" w:color="auto"/>
              <w:right w:val="single" w:sz="4" w:space="0" w:color="auto"/>
            </w:tcBorders>
            <w:shd w:val="clear" w:color="auto" w:fill="6C8911"/>
            <w:hideMark/>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Pays d’origine</w:t>
            </w:r>
          </w:p>
        </w:tc>
        <w:tc>
          <w:tcPr>
            <w:tcW w:w="563" w:type="pct"/>
            <w:tcBorders>
              <w:top w:val="single" w:sz="4" w:space="0" w:color="auto"/>
              <w:left w:val="single" w:sz="4" w:space="0" w:color="auto"/>
              <w:bottom w:val="single" w:sz="4" w:space="0" w:color="auto"/>
              <w:right w:val="single" w:sz="4" w:space="0" w:color="auto"/>
            </w:tcBorders>
            <w:shd w:val="clear" w:color="auto" w:fill="6C8911"/>
            <w:noWrap/>
            <w:hideMark/>
          </w:tcPr>
          <w:p>
            <w:pPr>
              <w:spacing w:after="0" w:line="240" w:lineRule="auto"/>
              <w:jc w:val="center"/>
              <w:rPr>
                <w:rFonts w:ascii="Times New Roman" w:eastAsia="Times New Roman" w:hAnsi="Times New Roman"/>
                <w:noProof/>
                <w:color w:val="FFFFFF" w:themeColor="background1"/>
                <w:sz w:val="16"/>
                <w:szCs w:val="16"/>
              </w:rPr>
            </w:pPr>
            <w:r>
              <w:rPr>
                <w:rFonts w:ascii="Times New Roman" w:hAnsi="Times New Roman"/>
                <w:noProof/>
                <w:color w:val="FFFFFF" w:themeColor="background1"/>
                <w:sz w:val="16"/>
                <w:szCs w:val="16"/>
              </w:rPr>
              <w:t>Inadéquation des informations de document</w:t>
            </w:r>
          </w:p>
        </w:tc>
        <w:tc>
          <w:tcPr>
            <w:tcW w:w="476" w:type="pct"/>
            <w:tcBorders>
              <w:top w:val="single" w:sz="4" w:space="0" w:color="auto"/>
              <w:left w:val="single" w:sz="4" w:space="0" w:color="auto"/>
              <w:bottom w:val="single" w:sz="4" w:space="0" w:color="auto"/>
              <w:right w:val="single" w:sz="4" w:space="0" w:color="auto"/>
            </w:tcBorders>
            <w:shd w:val="clear" w:color="auto" w:fill="6C8911"/>
            <w:hideMark/>
          </w:tcPr>
          <w:p>
            <w:pPr>
              <w:spacing w:after="0" w:line="240" w:lineRule="auto"/>
              <w:jc w:val="center"/>
              <w:rPr>
                <w:rFonts w:ascii="Times New Roman" w:eastAsia="Times New Roman" w:hAnsi="Times New Roman"/>
                <w:noProof/>
                <w:color w:val="FFFFFF" w:themeColor="background1"/>
                <w:sz w:val="16"/>
                <w:szCs w:val="16"/>
              </w:rPr>
            </w:pPr>
            <w:r>
              <w:rPr>
                <w:rFonts w:ascii="Times New Roman" w:hAnsi="Times New Roman"/>
                <w:noProof/>
                <w:color w:val="FFFFFF" w:themeColor="background1"/>
                <w:sz w:val="16"/>
                <w:szCs w:val="16"/>
              </w:rPr>
              <w:t>Autres problèmes liés à l’autorisation FLEGT</w:t>
            </w:r>
          </w:p>
        </w:tc>
        <w:tc>
          <w:tcPr>
            <w:tcW w:w="334" w:type="pct"/>
            <w:tcBorders>
              <w:top w:val="single" w:sz="4" w:space="0" w:color="auto"/>
              <w:left w:val="single" w:sz="4" w:space="0" w:color="auto"/>
              <w:bottom w:val="single" w:sz="4" w:space="0" w:color="auto"/>
              <w:right w:val="single" w:sz="4" w:space="0" w:color="auto"/>
            </w:tcBorders>
            <w:shd w:val="clear" w:color="auto" w:fill="6C8911"/>
            <w:hideMark/>
          </w:tcPr>
          <w:p>
            <w:pPr>
              <w:spacing w:after="0" w:line="240" w:lineRule="auto"/>
              <w:jc w:val="center"/>
              <w:rPr>
                <w:rFonts w:ascii="Times New Roman" w:hAnsi="Times New Roman"/>
                <w:noProof/>
                <w:color w:val="FFFFFF" w:themeColor="background1"/>
                <w:sz w:val="16"/>
                <w:szCs w:val="16"/>
              </w:rPr>
            </w:pPr>
            <w:r>
              <w:rPr>
                <w:rFonts w:ascii="Times New Roman" w:hAnsi="Times New Roman"/>
                <w:noProof/>
                <w:color w:val="FFFFFF" w:themeColor="background1"/>
                <w:sz w:val="16"/>
                <w:szCs w:val="16"/>
              </w:rPr>
              <w:t>Vérifications aléatoires sur place</w:t>
            </w:r>
          </w:p>
        </w:tc>
        <w:tc>
          <w:tcPr>
            <w:tcW w:w="523" w:type="pct"/>
            <w:tcBorders>
              <w:top w:val="single" w:sz="4" w:space="0" w:color="auto"/>
              <w:left w:val="single" w:sz="4" w:space="0" w:color="auto"/>
              <w:bottom w:val="single" w:sz="4" w:space="0" w:color="auto"/>
              <w:right w:val="nil"/>
            </w:tcBorders>
            <w:shd w:val="clear" w:color="auto" w:fill="6C8911"/>
            <w:noWrap/>
            <w:hideMark/>
          </w:tcPr>
          <w:p>
            <w:pPr>
              <w:spacing w:after="0" w:line="240" w:lineRule="auto"/>
              <w:jc w:val="center"/>
              <w:rPr>
                <w:rFonts w:ascii="Times New Roman" w:eastAsia="Times New Roman" w:hAnsi="Times New Roman"/>
                <w:noProof/>
                <w:color w:val="FFFFFF" w:themeColor="background1"/>
                <w:sz w:val="16"/>
                <w:szCs w:val="16"/>
              </w:rPr>
            </w:pPr>
            <w:r>
              <w:rPr>
                <w:rFonts w:ascii="Times New Roman" w:hAnsi="Times New Roman"/>
                <w:noProof/>
                <w:color w:val="FFFFFF" w:themeColor="background1"/>
                <w:sz w:val="16"/>
                <w:szCs w:val="16"/>
              </w:rPr>
              <w:t xml:space="preserve">Autres </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Autriche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color w:val="000000"/>
                <w:sz w:val="16"/>
                <w:szCs w:val="16"/>
              </w:rPr>
              <w:t>AC et D</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r>
              <w:rPr>
                <w:rFonts w:asciiTheme="minorHAnsi" w:hAnsiTheme="minorHAnsi"/>
                <w:noProof/>
              </w:rPr>
              <w:t>***</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Belgique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 et D*</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rPr>
                <w:rFonts w:asciiTheme="minorHAnsi" w:hAnsiTheme="minorHAnsi" w:cstheme="minorHAnsi"/>
                <w:noProof/>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Bulgarie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lang w:val="en-US"/>
              </w:rPr>
            </w:pPr>
            <w:r>
              <w:rPr>
                <w:rFonts w:ascii="Times New Roman" w:hAnsi="Times New Roman"/>
                <w:noProof/>
                <w:sz w:val="16"/>
                <w:szCs w:val="16"/>
                <w:lang w:val="en-US"/>
              </w:rPr>
              <w:t>D et autre (Executive Forestry Agency)</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lang w:val="en-US"/>
              </w:rPr>
            </w:pP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Croatie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D</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highlight w:val="yellow"/>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highlight w:val="yellow"/>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highlight w:val="yellow"/>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highlight w:val="yellow"/>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highlight w:val="yellow"/>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highlight w:val="yellow"/>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highlight w:val="yellow"/>
              </w:rPr>
            </w:pPr>
          </w:p>
        </w:tc>
        <w:tc>
          <w:tcPr>
            <w:tcW w:w="334"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highlight w:val="yellow"/>
              </w:rPr>
            </w:pPr>
          </w:p>
        </w:tc>
        <w:tc>
          <w:tcPr>
            <w:tcW w:w="523" w:type="pct"/>
            <w:tcBorders>
              <w:top w:val="single" w:sz="4" w:space="0" w:color="auto"/>
              <w:left w:val="single" w:sz="4" w:space="0" w:color="auto"/>
              <w:bottom w:val="single" w:sz="4" w:space="0" w:color="auto"/>
              <w:right w:val="nil"/>
            </w:tcBorders>
            <w:noWrap/>
            <w:hideMark/>
          </w:tcPr>
          <w:p>
            <w:pPr>
              <w:rPr>
                <w:rFonts w:asciiTheme="minorHAnsi" w:eastAsia="Times New Roman" w:hAnsiTheme="minorHAnsi" w:cstheme="minorHAnsi"/>
                <w:noProof/>
                <w:color w:val="000000"/>
                <w:sz w:val="16"/>
                <w:szCs w:val="16"/>
                <w:highlight w:val="yellow"/>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Chypre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 xml:space="preserve">AC </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rPr>
                <w:rFonts w:asciiTheme="minorHAnsi" w:eastAsia="Times New Roman" w:hAnsiTheme="minorHAnsi" w:cstheme="minorHAnsi"/>
                <w:noProof/>
                <w:color w:val="000000"/>
                <w:sz w:val="16"/>
                <w:szCs w:val="16"/>
              </w:rPr>
            </w:pP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République tchèque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 et D et autre (non spécifiée)</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Danemark</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 et D et autre (non spécifiée)</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rPr>
                <w:rFonts w:asciiTheme="minorHAnsi" w:hAnsiTheme="minorHAnsi" w:cstheme="minorHAnsi"/>
                <w:noProof/>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Estonie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hAnsi="Times New Roman"/>
                <w:noProof/>
                <w:sz w:val="16"/>
                <w:szCs w:val="16"/>
              </w:rPr>
            </w:pPr>
            <w:r>
              <w:rPr>
                <w:rFonts w:ascii="Times New Roman" w:hAnsi="Times New Roman"/>
                <w:noProof/>
                <w:sz w:val="16"/>
                <w:szCs w:val="16"/>
              </w:rPr>
              <w:t xml:space="preserve">D </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Finlande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 et D</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rPr>
                <w:rFonts w:asciiTheme="minorHAnsi" w:eastAsia="Times New Roman" w:hAnsiTheme="minorHAnsi" w:cstheme="minorHAnsi"/>
                <w:noProof/>
                <w:color w:val="000000"/>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France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D et autre (non spécifiée)</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rPr>
                <w:rFonts w:asciiTheme="minorHAnsi" w:eastAsia="Times New Roman" w:hAnsiTheme="minorHAnsi" w:cstheme="minorHAnsi"/>
                <w:noProof/>
                <w:color w:val="000000"/>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Allemagne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 et D</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Irlande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rPr>
                <w:rFonts w:asciiTheme="minorHAnsi" w:eastAsia="Times New Roman" w:hAnsiTheme="minorHAnsi" w:cstheme="minorHAnsi"/>
                <w:noProof/>
                <w:color w:val="000000"/>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Italie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 et D</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34"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523" w:type="pct"/>
            <w:tcBorders>
              <w:top w:val="single" w:sz="4" w:space="0" w:color="auto"/>
              <w:left w:val="single" w:sz="4" w:space="0" w:color="auto"/>
              <w:bottom w:val="single" w:sz="4" w:space="0" w:color="auto"/>
              <w:right w:val="nil"/>
            </w:tcBorders>
            <w:noWrap/>
            <w:hideMark/>
          </w:tcPr>
          <w:p>
            <w:pPr>
              <w:rPr>
                <w:rFonts w:asciiTheme="minorHAnsi" w:eastAsia="Times New Roman" w:hAnsiTheme="minorHAnsi" w:cstheme="minorHAnsi"/>
                <w:noProof/>
                <w:color w:val="000000"/>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hAnsi="Times New Roman"/>
                <w:noProof/>
                <w:sz w:val="16"/>
                <w:szCs w:val="16"/>
              </w:rPr>
            </w:pPr>
            <w:r>
              <w:rPr>
                <w:rFonts w:ascii="Times New Roman" w:hAnsi="Times New Roman"/>
                <w:noProof/>
                <w:sz w:val="16"/>
                <w:szCs w:val="16"/>
              </w:rPr>
              <w:t>Lettonie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hAnsi="Times New Roman"/>
                <w:noProof/>
                <w:sz w:val="16"/>
                <w:szCs w:val="16"/>
              </w:rPr>
            </w:pPr>
            <w:r>
              <w:rPr>
                <w:rFonts w:ascii="Times New Roman" w:hAnsi="Times New Roman"/>
                <w:noProof/>
                <w:sz w:val="16"/>
                <w:szCs w:val="16"/>
              </w:rPr>
              <w:t>D</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Wingdings" w:hAnsi="Wingdings" w:cstheme="minorHAnsi"/>
                <w:noProof/>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Wingdings" w:hAnsi="Wingdings" w:cstheme="minorHAnsi"/>
                <w:noProof/>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Wingdings" w:hAnsi="Wingdings" w:cstheme="minorHAnsi"/>
                <w:noProof/>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tcPr>
          <w:p>
            <w:pPr>
              <w:spacing w:after="0" w:line="240" w:lineRule="auto"/>
              <w:jc w:val="center"/>
              <w:rPr>
                <w:rFonts w:ascii="Wingdings" w:hAnsi="Wingdings" w:cstheme="minorHAnsi"/>
                <w:noProof/>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Lituanie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D et autre (non spécifiée)</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Malte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 xml:space="preserve">AC et D </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rPr>
                <w:rFonts w:asciiTheme="minorHAnsi" w:hAnsiTheme="minorHAnsi" w:cstheme="minorHAnsi"/>
                <w:noProof/>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Pays-Bas</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 et D</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523" w:type="pct"/>
            <w:tcBorders>
              <w:top w:val="single" w:sz="4" w:space="0" w:color="auto"/>
              <w:left w:val="single" w:sz="4" w:space="0" w:color="auto"/>
              <w:bottom w:val="single" w:sz="4" w:space="0" w:color="auto"/>
              <w:right w:val="nil"/>
            </w:tcBorders>
            <w:noWrap/>
            <w:hideMark/>
          </w:tcPr>
          <w:p>
            <w:pPr>
              <w:rPr>
                <w:rFonts w:asciiTheme="minorHAnsi" w:hAnsiTheme="minorHAnsi" w:cstheme="minorHAnsi"/>
                <w:noProof/>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Pologne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D et autre (non spécifiée)</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Slovénie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 et D et autre (administration financière)</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34"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Espagne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AC et D</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91"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r>
              <w:rPr>
                <w:rFonts w:asciiTheme="minorHAnsi" w:hAnsiTheme="minorHAnsi"/>
                <w:noProof/>
              </w:rPr>
              <w:t>****</w:t>
            </w:r>
          </w:p>
        </w:tc>
        <w:tc>
          <w:tcPr>
            <w:tcW w:w="334"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23" w:type="pct"/>
            <w:tcBorders>
              <w:top w:val="single" w:sz="4" w:space="0" w:color="auto"/>
              <w:left w:val="single" w:sz="4" w:space="0" w:color="auto"/>
              <w:bottom w:val="single" w:sz="4" w:space="0" w:color="auto"/>
              <w:right w:val="nil"/>
            </w:tcBorders>
            <w:noWrap/>
            <w:hideMark/>
          </w:tcPr>
          <w:p>
            <w:pPr>
              <w:rPr>
                <w:rFonts w:asciiTheme="minorHAnsi" w:hAnsiTheme="minorHAnsi" w:cstheme="minorHAnsi"/>
                <w:noProof/>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hAnsi="Times New Roman"/>
                <w:noProof/>
                <w:sz w:val="16"/>
                <w:szCs w:val="16"/>
              </w:rPr>
            </w:pPr>
            <w:r>
              <w:rPr>
                <w:rFonts w:ascii="Times New Roman" w:hAnsi="Times New Roman"/>
                <w:noProof/>
                <w:sz w:val="16"/>
                <w:szCs w:val="16"/>
              </w:rPr>
              <w:t>Suède</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hAnsi="Times New Roman"/>
                <w:noProof/>
                <w:sz w:val="16"/>
                <w:szCs w:val="16"/>
              </w:rPr>
            </w:pPr>
            <w:r>
              <w:rPr>
                <w:rFonts w:ascii="Times New Roman" w:hAnsi="Times New Roman"/>
                <w:noProof/>
                <w:sz w:val="16"/>
                <w:szCs w:val="16"/>
              </w:rPr>
              <w:t>D</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r>
              <w:rPr>
                <w:rFonts w:asciiTheme="minorHAnsi" w:hAnsiTheme="minorHAnsi"/>
                <w:noProof/>
              </w:rPr>
              <w:t>**</w:t>
            </w:r>
          </w:p>
        </w:tc>
        <w:tc>
          <w:tcPr>
            <w:tcW w:w="334"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hAnsiTheme="minorHAnsi" w:cstheme="minorHAnsi"/>
                <w:noProof/>
                <w:sz w:val="16"/>
                <w:szCs w:val="16"/>
              </w:rPr>
            </w:pPr>
          </w:p>
        </w:tc>
        <w:tc>
          <w:tcPr>
            <w:tcW w:w="523" w:type="pct"/>
            <w:tcBorders>
              <w:top w:val="single" w:sz="4" w:space="0" w:color="auto"/>
              <w:left w:val="single" w:sz="4" w:space="0" w:color="auto"/>
              <w:bottom w:val="single" w:sz="4" w:space="0" w:color="auto"/>
              <w:right w:val="nil"/>
            </w:tcBorders>
            <w:noWrap/>
          </w:tcPr>
          <w:p>
            <w:pPr>
              <w:spacing w:after="0" w:line="240" w:lineRule="auto"/>
              <w:jc w:val="center"/>
              <w:rPr>
                <w:rFonts w:asciiTheme="minorHAnsi" w:hAnsiTheme="minorHAnsi" w:cstheme="minorHAnsi"/>
                <w:noProof/>
                <w:sz w:val="16"/>
                <w:szCs w:val="16"/>
              </w:rPr>
            </w:pPr>
          </w:p>
        </w:tc>
      </w:tr>
      <w:tr>
        <w:trPr>
          <w:trHeight w:val="20"/>
        </w:trPr>
        <w:tc>
          <w:tcPr>
            <w:tcW w:w="426" w:type="pct"/>
            <w:tcBorders>
              <w:top w:val="single" w:sz="4" w:space="0" w:color="auto"/>
              <w:left w:val="nil"/>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Royaume-Uni</w:t>
            </w:r>
          </w:p>
        </w:tc>
        <w:tc>
          <w:tcPr>
            <w:tcW w:w="725" w:type="pct"/>
            <w:tcBorders>
              <w:top w:val="single" w:sz="4" w:space="0" w:color="auto"/>
              <w:left w:val="single" w:sz="4" w:space="0" w:color="auto"/>
              <w:bottom w:val="single" w:sz="4" w:space="0" w:color="auto"/>
              <w:right w:val="single" w:sz="4" w:space="0" w:color="auto"/>
            </w:tcBorders>
            <w:noWrap/>
            <w:hideMark/>
          </w:tcPr>
          <w:p>
            <w:pPr>
              <w:spacing w:after="0" w:line="240" w:lineRule="auto"/>
              <w:rPr>
                <w:rFonts w:ascii="Times New Roman" w:eastAsia="Times New Roman" w:hAnsi="Times New Roman"/>
                <w:noProof/>
                <w:color w:val="000000"/>
                <w:sz w:val="16"/>
                <w:szCs w:val="16"/>
              </w:rPr>
            </w:pPr>
            <w:r>
              <w:rPr>
                <w:rFonts w:ascii="Times New Roman" w:hAnsi="Times New Roman"/>
                <w:noProof/>
                <w:sz w:val="16"/>
                <w:szCs w:val="16"/>
              </w:rPr>
              <w:t>D et autre (services frontaliers)</w:t>
            </w: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1"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390"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90" w:type="pct"/>
            <w:tcBorders>
              <w:top w:val="single" w:sz="4" w:space="0" w:color="auto"/>
              <w:left w:val="single" w:sz="4" w:space="0" w:color="auto"/>
              <w:bottom w:val="single" w:sz="4" w:space="0" w:color="auto"/>
              <w:right w:val="single" w:sz="4" w:space="0" w:color="auto"/>
            </w:tcBorders>
          </w:tcPr>
          <w:p>
            <w:pPr>
              <w:spacing w:after="0" w:line="240" w:lineRule="auto"/>
              <w:jc w:val="center"/>
              <w:rPr>
                <w:rFonts w:asciiTheme="minorHAnsi" w:eastAsia="Times New Roman" w:hAnsiTheme="minorHAnsi" w:cstheme="minorHAnsi"/>
                <w:noProof/>
                <w:color w:val="000000"/>
                <w:sz w:val="16"/>
                <w:szCs w:val="16"/>
              </w:rPr>
            </w:pPr>
          </w:p>
        </w:tc>
        <w:tc>
          <w:tcPr>
            <w:tcW w:w="563" w:type="pct"/>
            <w:tcBorders>
              <w:top w:val="single" w:sz="4" w:space="0" w:color="auto"/>
              <w:left w:val="single" w:sz="4" w:space="0" w:color="auto"/>
              <w:bottom w:val="single" w:sz="4" w:space="0" w:color="auto"/>
              <w:right w:val="single" w:sz="4" w:space="0" w:color="auto"/>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476"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color w:val="000000"/>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pPr>
              <w:spacing w:after="0" w:line="240" w:lineRule="auto"/>
              <w:jc w:val="center"/>
              <w:rPr>
                <w:rFonts w:asciiTheme="minorHAnsi" w:hAnsiTheme="minorHAnsi" w:cstheme="minorHAnsi"/>
                <w:noProof/>
                <w:sz w:val="16"/>
                <w:szCs w:val="16"/>
              </w:rPr>
            </w:pPr>
            <w:r>
              <w:rPr>
                <w:rFonts w:ascii="Wingdings" w:hAnsi="Wingdings"/>
                <w:noProof/>
                <w:color w:val="000000"/>
                <w:sz w:val="16"/>
                <w:szCs w:val="16"/>
              </w:rPr>
              <w:t></w:t>
            </w:r>
          </w:p>
        </w:tc>
        <w:tc>
          <w:tcPr>
            <w:tcW w:w="523" w:type="pct"/>
            <w:tcBorders>
              <w:top w:val="single" w:sz="4" w:space="0" w:color="auto"/>
              <w:left w:val="single" w:sz="4" w:space="0" w:color="auto"/>
              <w:bottom w:val="single" w:sz="4" w:space="0" w:color="auto"/>
              <w:right w:val="nil"/>
            </w:tcBorders>
            <w:noWrap/>
            <w:hideMark/>
          </w:tcPr>
          <w:p>
            <w:pPr>
              <w:spacing w:after="0" w:line="240" w:lineRule="auto"/>
              <w:jc w:val="center"/>
              <w:rPr>
                <w:rFonts w:asciiTheme="minorHAnsi" w:eastAsia="Times New Roman" w:hAnsiTheme="minorHAnsi" w:cstheme="minorHAnsi"/>
                <w:noProof/>
                <w:color w:val="000000"/>
                <w:sz w:val="16"/>
                <w:szCs w:val="16"/>
              </w:rPr>
            </w:pPr>
            <w:r>
              <w:rPr>
                <w:rFonts w:ascii="Wingdings" w:hAnsi="Wingdings"/>
                <w:noProof/>
                <w:sz w:val="16"/>
                <w:szCs w:val="16"/>
              </w:rPr>
              <w:t></w:t>
            </w:r>
          </w:p>
        </w:tc>
      </w:tr>
    </w:tbl>
    <w:p>
      <w:pPr>
        <w:spacing w:after="0" w:line="240" w:lineRule="auto"/>
        <w:rPr>
          <w:rFonts w:asciiTheme="minorHAnsi" w:hAnsiTheme="minorHAnsi" w:cstheme="minorHAnsi"/>
          <w:noProof/>
          <w:sz w:val="16"/>
        </w:rPr>
      </w:pPr>
    </w:p>
    <w:p>
      <w:pPr>
        <w:spacing w:after="0" w:line="240" w:lineRule="auto"/>
        <w:rPr>
          <w:rFonts w:ascii="Times New Roman" w:hAnsi="Times New Roman"/>
          <w:noProof/>
          <w:sz w:val="16"/>
        </w:rPr>
      </w:pPr>
      <w:r>
        <w:rPr>
          <w:rFonts w:ascii="Times New Roman" w:hAnsi="Times New Roman"/>
          <w:noProof/>
          <w:sz w:val="16"/>
        </w:rPr>
        <w:t>* Belgique: les douanes procèdent à des vérifications sur la base de leur propre système général d’analyse des risques (FLEGT en fait partie). L’AC peut demander une vérification complémentaire en cas d’expédition suspecte (par exemple divergences suspectes) ou peut demander aux douanes d’effectuer des vérifications supplémentaires sur la base des critères proposés.</w:t>
      </w:r>
    </w:p>
    <w:p>
      <w:pPr>
        <w:spacing w:after="0" w:line="240" w:lineRule="auto"/>
        <w:rPr>
          <w:rFonts w:ascii="Times New Roman" w:hAnsi="Times New Roman"/>
          <w:noProof/>
          <w:sz w:val="16"/>
          <w:highlight w:val="yellow"/>
        </w:rPr>
      </w:pPr>
      <w:r>
        <w:rPr>
          <w:rFonts w:ascii="Times New Roman" w:hAnsi="Times New Roman"/>
          <w:noProof/>
          <w:sz w:val="16"/>
        </w:rPr>
        <w:t>** Suède: l’autorisation ne contient pas de signature, de cachets ou d’autres renseignements obligatoires. La signature est manquante dans SILK ou n’est plus valide. L’autorisation n’est plus valide.</w:t>
      </w:r>
    </w:p>
    <w:p>
      <w:pPr>
        <w:spacing w:after="0" w:line="240" w:lineRule="auto"/>
        <w:rPr>
          <w:rFonts w:ascii="Times New Roman" w:hAnsi="Times New Roman"/>
          <w:noProof/>
          <w:sz w:val="16"/>
        </w:rPr>
      </w:pPr>
      <w:r>
        <w:rPr>
          <w:rFonts w:ascii="Times New Roman" w:hAnsi="Times New Roman"/>
          <w:noProof/>
          <w:sz w:val="16"/>
        </w:rPr>
        <w:t>*** Autriche: pendant les vérifications antérieures, constatations que les produits à importer diffèrent des informations figurant sur l’autorisation FLEGT correspondante.</w:t>
      </w:r>
    </w:p>
    <w:p>
      <w:pPr>
        <w:spacing w:after="0" w:line="240" w:lineRule="auto"/>
        <w:rPr>
          <w:rFonts w:ascii="Times New Roman" w:hAnsi="Times New Roman"/>
          <w:noProof/>
          <w:sz w:val="16"/>
          <w:szCs w:val="16"/>
        </w:rPr>
      </w:pPr>
      <w:r>
        <w:rPr>
          <w:rFonts w:ascii="Times New Roman" w:hAnsi="Times New Roman"/>
          <w:noProof/>
          <w:sz w:val="16"/>
          <w:szCs w:val="16"/>
        </w:rPr>
        <w:t>**** Espagne: inadéquation avec certaines autres informations fournies.</w:t>
      </w:r>
    </w:p>
    <w:p>
      <w:pPr>
        <w:spacing w:after="0"/>
        <w:rPr>
          <w:rFonts w:ascii="Times New Roman" w:hAnsi="Times New Roman"/>
          <w:noProof/>
          <w:sz w:val="18"/>
          <w:szCs w:val="18"/>
          <w:highlight w:val="yellow"/>
        </w:rPr>
      </w:pPr>
    </w:p>
    <w:p>
      <w:pPr>
        <w:keepNext/>
        <w:spacing w:line="240" w:lineRule="auto"/>
        <w:jc w:val="both"/>
        <w:rPr>
          <w:rFonts w:ascii="Times New Roman" w:hAnsi="Times New Roman"/>
          <w:b/>
          <w:bCs/>
          <w:noProof/>
          <w:sz w:val="20"/>
          <w:szCs w:val="20"/>
          <w:highlight w:val="yellow"/>
          <w:lang w:eastAsia="en-GB"/>
        </w:rPr>
      </w:pPr>
    </w:p>
    <w:p>
      <w:pPr>
        <w:spacing w:after="0" w:line="240" w:lineRule="auto"/>
        <w:rPr>
          <w:rFonts w:ascii="Times New Roman" w:hAnsi="Times New Roman"/>
          <w:b/>
          <w:bCs/>
          <w:noProof/>
          <w:sz w:val="20"/>
          <w:szCs w:val="20"/>
          <w:highlight w:val="yellow"/>
          <w:lang w:eastAsia="en-GB"/>
        </w:rPr>
        <w:sectPr>
          <w:headerReference w:type="even" r:id="rId25"/>
          <w:headerReference w:type="default" r:id="rId26"/>
          <w:footerReference w:type="even" r:id="rId27"/>
          <w:footerReference w:type="default" r:id="rId28"/>
          <w:headerReference w:type="first" r:id="rId29"/>
          <w:footerReference w:type="first" r:id="rId30"/>
          <w:pgSz w:w="16838" w:h="11906" w:orient="landscape"/>
          <w:pgMar w:top="1417" w:right="1417" w:bottom="1417" w:left="1417" w:header="708" w:footer="708" w:gutter="0"/>
          <w:cols w:space="720"/>
        </w:sectPr>
      </w:pPr>
    </w:p>
    <w:p>
      <w:pPr>
        <w:keepNext/>
        <w:spacing w:line="240" w:lineRule="auto"/>
        <w:jc w:val="both"/>
        <w:rPr>
          <w:rFonts w:ascii="Times New Roman" w:hAnsi="Times New Roman"/>
          <w:b/>
          <w:noProof/>
          <w:szCs w:val="20"/>
        </w:rPr>
      </w:pPr>
      <w:r>
        <w:rPr>
          <w:rFonts w:ascii="Times New Roman" w:hAnsi="Times New Roman"/>
          <w:b/>
          <w:bCs/>
          <w:noProof/>
          <w:szCs w:val="20"/>
        </w:rPr>
        <w:t>Tableau 3:</w:t>
      </w:r>
      <w:r>
        <w:rPr>
          <w:rFonts w:ascii="Times New Roman" w:hAnsi="Times New Roman"/>
          <w:b/>
          <w:noProof/>
          <w:szCs w:val="20"/>
        </w:rPr>
        <w:t xml:space="preserve"> niveau approximatif des droits et base de calcul pour les États membres qui mettent le traitement des autorisations FLEGT à la charge des importateurs</w:t>
      </w:r>
    </w:p>
    <w:tbl>
      <w:tblPr>
        <w:tblW w:w="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82"/>
        <w:gridCol w:w="1752"/>
        <w:gridCol w:w="5780"/>
      </w:tblGrid>
      <w:tr>
        <w:trPr>
          <w:trHeight w:val="20"/>
        </w:trPr>
        <w:tc>
          <w:tcPr>
            <w:tcW w:w="1382" w:type="dxa"/>
            <w:tcBorders>
              <w:top w:val="single" w:sz="4" w:space="0" w:color="auto"/>
              <w:left w:val="nil"/>
              <w:bottom w:val="single" w:sz="4" w:space="0" w:color="auto"/>
              <w:right w:val="single" w:sz="4" w:space="0" w:color="auto"/>
            </w:tcBorders>
            <w:shd w:val="clear" w:color="auto" w:fill="6C8911"/>
            <w:noWrap/>
            <w:tcMar>
              <w:top w:w="15" w:type="dxa"/>
              <w:left w:w="15" w:type="dxa"/>
              <w:bottom w:w="0" w:type="dxa"/>
              <w:right w:w="15" w:type="dxa"/>
            </w:tcMar>
            <w:hideMark/>
          </w:tcPr>
          <w:p>
            <w:pPr>
              <w:spacing w:after="0" w:line="240" w:lineRule="auto"/>
              <w:rPr>
                <w:rFonts w:ascii="Times New Roman" w:hAnsi="Times New Roman"/>
                <w:noProof/>
                <w:color w:val="FFFFFF"/>
                <w:sz w:val="16"/>
                <w:szCs w:val="16"/>
              </w:rPr>
            </w:pPr>
            <w:r>
              <w:rPr>
                <w:rFonts w:ascii="Times New Roman" w:hAnsi="Times New Roman"/>
                <w:noProof/>
                <w:color w:val="FFFFFF"/>
                <w:sz w:val="16"/>
                <w:szCs w:val="16"/>
              </w:rPr>
              <w:t>Pays</w:t>
            </w:r>
          </w:p>
        </w:tc>
        <w:tc>
          <w:tcPr>
            <w:tcW w:w="1752" w:type="dxa"/>
            <w:tcBorders>
              <w:top w:val="single" w:sz="4" w:space="0" w:color="auto"/>
              <w:left w:val="single" w:sz="4" w:space="0" w:color="auto"/>
              <w:bottom w:val="single" w:sz="4" w:space="0" w:color="auto"/>
              <w:right w:val="single" w:sz="4" w:space="0" w:color="auto"/>
            </w:tcBorders>
            <w:shd w:val="clear" w:color="auto" w:fill="6C8911"/>
            <w:noWrap/>
            <w:tcMar>
              <w:top w:w="15" w:type="dxa"/>
              <w:left w:w="15" w:type="dxa"/>
              <w:bottom w:w="0" w:type="dxa"/>
              <w:right w:w="15" w:type="dxa"/>
            </w:tcMar>
            <w:hideMark/>
          </w:tcPr>
          <w:p>
            <w:pPr>
              <w:spacing w:after="0" w:line="240" w:lineRule="auto"/>
              <w:rPr>
                <w:rFonts w:ascii="Times New Roman" w:hAnsi="Times New Roman"/>
                <w:noProof/>
                <w:color w:val="FFFFFF"/>
                <w:sz w:val="16"/>
                <w:szCs w:val="16"/>
              </w:rPr>
            </w:pPr>
            <w:r>
              <w:rPr>
                <w:rFonts w:ascii="Times New Roman" w:hAnsi="Times New Roman"/>
                <w:noProof/>
                <w:color w:val="FFFFFF"/>
                <w:sz w:val="16"/>
                <w:szCs w:val="16"/>
              </w:rPr>
              <w:t>Niveau des droits [converti]*</w:t>
            </w:r>
          </w:p>
        </w:tc>
        <w:tc>
          <w:tcPr>
            <w:tcW w:w="5780" w:type="dxa"/>
            <w:tcBorders>
              <w:top w:val="single" w:sz="4" w:space="0" w:color="auto"/>
              <w:left w:val="single" w:sz="4" w:space="0" w:color="auto"/>
              <w:bottom w:val="single" w:sz="4" w:space="0" w:color="auto"/>
              <w:right w:val="nil"/>
            </w:tcBorders>
            <w:shd w:val="clear" w:color="auto" w:fill="6C8911"/>
            <w:noWrap/>
            <w:tcMar>
              <w:top w:w="15" w:type="dxa"/>
              <w:left w:w="15" w:type="dxa"/>
              <w:bottom w:w="0" w:type="dxa"/>
              <w:right w:w="15" w:type="dxa"/>
            </w:tcMar>
            <w:hideMark/>
          </w:tcPr>
          <w:p>
            <w:pPr>
              <w:spacing w:after="0" w:line="240" w:lineRule="auto"/>
              <w:rPr>
                <w:rFonts w:ascii="Times New Roman" w:hAnsi="Times New Roman"/>
                <w:noProof/>
                <w:color w:val="FFFFFF"/>
                <w:sz w:val="16"/>
                <w:szCs w:val="16"/>
              </w:rPr>
            </w:pPr>
            <w:r>
              <w:rPr>
                <w:rFonts w:ascii="Times New Roman" w:hAnsi="Times New Roman"/>
                <w:noProof/>
                <w:color w:val="FFFFFF"/>
                <w:sz w:val="16"/>
                <w:szCs w:val="16"/>
              </w:rPr>
              <w:t>Base de calcul des droits</w:t>
            </w:r>
          </w:p>
        </w:tc>
      </w:tr>
      <w:tr>
        <w:trPr>
          <w:trHeight w:val="20"/>
        </w:trPr>
        <w:tc>
          <w:tcPr>
            <w:tcW w:w="1382"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Autriche</w:t>
            </w:r>
          </w:p>
        </w:tc>
        <w:tc>
          <w:tcPr>
            <w:tcW w:w="1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105,90 EUR</w:t>
            </w:r>
          </w:p>
        </w:tc>
        <w:tc>
          <w:tcPr>
            <w:tcW w:w="5780" w:type="dxa"/>
            <w:tcBorders>
              <w:top w:val="single" w:sz="4" w:space="0" w:color="auto"/>
              <w:left w:val="single" w:sz="4" w:space="0" w:color="auto"/>
              <w:bottom w:val="single" w:sz="4" w:space="0" w:color="auto"/>
              <w:right w:val="nil"/>
            </w:tcBorders>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 xml:space="preserve">Base légale pour les droits; sur la base du temps moyen passé par le personnel à traiter une autorisation FLEGT, y compris les inspections physiques </w:t>
            </w:r>
          </w:p>
        </w:tc>
      </w:tr>
      <w:tr>
        <w:trPr>
          <w:trHeight w:val="20"/>
        </w:trPr>
        <w:tc>
          <w:tcPr>
            <w:tcW w:w="1382"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highlight w:val="yellow"/>
              </w:rPr>
            </w:pPr>
            <w:r>
              <w:rPr>
                <w:rFonts w:ascii="Times New Roman" w:hAnsi="Times New Roman"/>
                <w:noProof/>
                <w:color w:val="000000"/>
                <w:sz w:val="16"/>
                <w:szCs w:val="16"/>
              </w:rPr>
              <w:t>Belgique</w:t>
            </w:r>
          </w:p>
        </w:tc>
        <w:tc>
          <w:tcPr>
            <w:tcW w:w="1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50 EUR (seulement pour les expéditions de plus de 500 kg)**</w:t>
            </w:r>
          </w:p>
        </w:tc>
        <w:tc>
          <w:tcPr>
            <w:tcW w:w="5780" w:type="dxa"/>
            <w:tcBorders>
              <w:top w:val="single" w:sz="4" w:space="0" w:color="auto"/>
              <w:left w:val="single" w:sz="4" w:space="0" w:color="auto"/>
              <w:bottom w:val="single" w:sz="4" w:space="0" w:color="auto"/>
              <w:right w:val="nil"/>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Base légale pour les droits</w:t>
            </w:r>
          </w:p>
        </w:tc>
      </w:tr>
      <w:tr>
        <w:trPr>
          <w:trHeight w:val="20"/>
        </w:trPr>
        <w:tc>
          <w:tcPr>
            <w:tcW w:w="1382"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Finlande</w:t>
            </w:r>
          </w:p>
        </w:tc>
        <w:tc>
          <w:tcPr>
            <w:tcW w:w="1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70 EUR</w:t>
            </w:r>
          </w:p>
        </w:tc>
        <w:tc>
          <w:tcPr>
            <w:tcW w:w="5780" w:type="dxa"/>
            <w:tcBorders>
              <w:top w:val="single" w:sz="4" w:space="0" w:color="auto"/>
              <w:left w:val="single" w:sz="4" w:space="0" w:color="auto"/>
              <w:bottom w:val="single" w:sz="4" w:space="0" w:color="auto"/>
              <w:right w:val="nil"/>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Base légale pour les droits; sur la base du temps moyen passé par le personnel à traiter une autorisation FLEGT</w:t>
            </w:r>
          </w:p>
        </w:tc>
      </w:tr>
      <w:tr>
        <w:trPr>
          <w:trHeight w:val="20"/>
        </w:trPr>
        <w:tc>
          <w:tcPr>
            <w:tcW w:w="1382"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Grèce</w:t>
            </w:r>
          </w:p>
        </w:tc>
        <w:tc>
          <w:tcPr>
            <w:tcW w:w="1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100 EUR</w:t>
            </w:r>
          </w:p>
        </w:tc>
        <w:tc>
          <w:tcPr>
            <w:tcW w:w="5780" w:type="dxa"/>
            <w:tcBorders>
              <w:top w:val="single" w:sz="4" w:space="0" w:color="auto"/>
              <w:left w:val="single" w:sz="4" w:space="0" w:color="auto"/>
              <w:bottom w:val="single" w:sz="4" w:space="0" w:color="auto"/>
              <w:right w:val="nil"/>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Base légale pour les droits</w:t>
            </w:r>
          </w:p>
        </w:tc>
      </w:tr>
      <w:tr>
        <w:trPr>
          <w:trHeight w:val="20"/>
        </w:trPr>
        <w:tc>
          <w:tcPr>
            <w:tcW w:w="1382"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Italie</w:t>
            </w:r>
          </w:p>
        </w:tc>
        <w:tc>
          <w:tcPr>
            <w:tcW w:w="1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50 EUR</w:t>
            </w:r>
          </w:p>
        </w:tc>
        <w:tc>
          <w:tcPr>
            <w:tcW w:w="5780" w:type="dxa"/>
            <w:tcBorders>
              <w:top w:val="single" w:sz="4" w:space="0" w:color="auto"/>
              <w:left w:val="single" w:sz="4" w:space="0" w:color="auto"/>
              <w:bottom w:val="single" w:sz="4" w:space="0" w:color="auto"/>
              <w:right w:val="nil"/>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Sur la base du temps moyen passé par le personnel à traiter une autorisation FLEGT</w:t>
            </w:r>
          </w:p>
        </w:tc>
      </w:tr>
      <w:tr>
        <w:trPr>
          <w:trHeight w:val="20"/>
        </w:trPr>
        <w:tc>
          <w:tcPr>
            <w:tcW w:w="1382"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Royaume-Uni</w:t>
            </w:r>
          </w:p>
        </w:tc>
        <w:tc>
          <w:tcPr>
            <w:tcW w:w="1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9,60 GBP (10,40 EUR)</w:t>
            </w:r>
          </w:p>
        </w:tc>
        <w:tc>
          <w:tcPr>
            <w:tcW w:w="5780" w:type="dxa"/>
            <w:tcBorders>
              <w:top w:val="single" w:sz="4" w:space="0" w:color="auto"/>
              <w:left w:val="single" w:sz="4" w:space="0" w:color="auto"/>
              <w:bottom w:val="single" w:sz="4" w:space="0" w:color="auto"/>
              <w:right w:val="nil"/>
            </w:tcBorders>
            <w:noWrap/>
            <w:tcMar>
              <w:top w:w="15" w:type="dxa"/>
              <w:left w:w="15" w:type="dxa"/>
              <w:bottom w:w="0" w:type="dxa"/>
              <w:right w:w="15" w:type="dxa"/>
            </w:tcMar>
            <w:hideMark/>
          </w:tcPr>
          <w:p>
            <w:pPr>
              <w:spacing w:after="0" w:line="240" w:lineRule="auto"/>
              <w:rPr>
                <w:rFonts w:ascii="Times New Roman" w:hAnsi="Times New Roman"/>
                <w:noProof/>
                <w:color w:val="000000"/>
                <w:sz w:val="16"/>
                <w:szCs w:val="16"/>
              </w:rPr>
            </w:pPr>
            <w:r>
              <w:rPr>
                <w:rFonts w:ascii="Times New Roman" w:hAnsi="Times New Roman"/>
                <w:noProof/>
                <w:color w:val="000000"/>
                <w:sz w:val="16"/>
                <w:szCs w:val="16"/>
              </w:rPr>
              <w:t>Base légale pour les droits; sur la base du temps moyen passé par le personnel à traiter une autorisation FLEGT</w:t>
            </w:r>
          </w:p>
        </w:tc>
      </w:tr>
    </w:tbl>
    <w:p>
      <w:pPr>
        <w:pStyle w:val="Chaptertext"/>
        <w:spacing w:after="0" w:line="240" w:lineRule="auto"/>
        <w:rPr>
          <w:rFonts w:ascii="Times New Roman" w:hAnsi="Times New Roman" w:cs="Times New Roman"/>
          <w:noProof/>
          <w:sz w:val="16"/>
        </w:rPr>
      </w:pPr>
      <w:r>
        <w:rPr>
          <w:rFonts w:ascii="Times New Roman" w:hAnsi="Times New Roman"/>
          <w:noProof/>
          <w:sz w:val="16"/>
        </w:rPr>
        <w:t>* Le cas échéant, les droits étaient convertis en euros et affichés entre crochets «[...]» à côté des droits indiqués dans la devise d’origine.</w:t>
      </w:r>
    </w:p>
    <w:p>
      <w:pPr>
        <w:spacing w:after="0" w:line="240" w:lineRule="auto"/>
        <w:rPr>
          <w:rFonts w:ascii="Times New Roman" w:hAnsi="Times New Roman"/>
          <w:noProof/>
          <w:sz w:val="16"/>
        </w:rPr>
      </w:pPr>
      <w:r>
        <w:rPr>
          <w:rFonts w:ascii="Times New Roman" w:hAnsi="Times New Roman"/>
          <w:noProof/>
          <w:sz w:val="16"/>
        </w:rPr>
        <w:t>** Pour exclure les petites expéditions non commerciales. Voir l’arrêté royal du 25 décembre 2017 [C – 2018/30112] publié au Moniteur Belge du 19.1.2018, éd. 2.</w:t>
      </w:r>
    </w:p>
    <w:sectPr>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F178E" w16cid:durableId="221E3C3B"/>
  <w16cid:commentId w16cid:paraId="4FBFDF28" w16cid:durableId="221E3C3C"/>
  <w16cid:commentId w16cid:paraId="22EFF092" w16cid:durableId="221E3C3D"/>
  <w16cid:commentId w16cid:paraId="0FBC6F9C" w16cid:durableId="221E3C3E"/>
  <w16cid:commentId w16cid:paraId="31FCB357" w16cid:durableId="221E3C3F"/>
  <w16cid:commentId w16cid:paraId="08D1C0AC" w16cid:durableId="221E4C63"/>
  <w16cid:commentId w16cid:paraId="2C7596BB" w16cid:durableId="221E3C40"/>
  <w16cid:commentId w16cid:paraId="4619A8C4" w16cid:durableId="221E5120"/>
  <w16cid:commentId w16cid:paraId="7C04B33E" w16cid:durableId="221E3C41"/>
  <w16cid:commentId w16cid:paraId="45889088" w16cid:durableId="221E53C3"/>
  <w16cid:commentId w16cid:paraId="02443DC9" w16cid:durableId="221E3C42"/>
  <w16cid:commentId w16cid:paraId="13C48B70" w16cid:durableId="221E3C43"/>
  <w16cid:commentId w16cid:paraId="6212A01C" w16cid:durableId="221E3C44"/>
  <w16cid:commentId w16cid:paraId="733AE2AC" w16cid:durableId="221E3C45"/>
  <w16cid:commentId w16cid:paraId="61A93EFB" w16cid:durableId="221E587E"/>
  <w16cid:commentId w16cid:paraId="31103336" w16cid:durableId="221E3C46"/>
  <w16cid:commentId w16cid:paraId="03FD23BD" w16cid:durableId="221E3C47"/>
  <w16cid:commentId w16cid:paraId="6A344228" w16cid:durableId="221E3C48"/>
  <w16cid:commentId w16cid:paraId="0002DDFE" w16cid:durableId="221E3C49"/>
  <w16cid:commentId w16cid:paraId="79D71AF8" w16cid:durableId="221E5E0F"/>
  <w16cid:commentId w16cid:paraId="7F4DBACE" w16cid:durableId="221E3C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15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2017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CoverPag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EB0"/>
    <w:multiLevelType w:val="multilevel"/>
    <w:tmpl w:val="D68C6B1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59590F"/>
    <w:multiLevelType w:val="hybridMultilevel"/>
    <w:tmpl w:val="3A542E00"/>
    <w:lvl w:ilvl="0" w:tplc="DD78F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3566FCB"/>
    <w:multiLevelType w:val="hybridMultilevel"/>
    <w:tmpl w:val="47AE6B3C"/>
    <w:lvl w:ilvl="0" w:tplc="83EEE7C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1B3275"/>
    <w:multiLevelType w:val="hybridMultilevel"/>
    <w:tmpl w:val="6DB8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8"/>
  </w:num>
  <w:num w:numId="12">
    <w:abstractNumId w:val="11"/>
  </w:num>
  <w:num w:numId="13">
    <w:abstractNumId w:val="13"/>
  </w:num>
  <w:num w:numId="14">
    <w:abstractNumId w:val="6"/>
  </w:num>
  <w:num w:numId="15">
    <w:abstractNumId w:val="0"/>
  </w:num>
  <w:num w:numId="16">
    <w:abstractNumId w:val="12"/>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ctiveWritingStyle w:appName="MSWord" w:lang="de-DE" w:vendorID="64" w:dllVersion="6" w:nlCheck="1" w:checkStyle="0"/>
  <w:activeWritingStyle w:appName="MSWord" w:lang="en-GB" w:vendorID="64" w:dllVersion="6" w:nlCheck="1" w:checkStyle="0"/>
  <w:activeWritingStyle w:appName="MSWord" w:lang="fi-FI" w:vendorID="64" w:dllVersion="6" w:nlCheck="1" w:checkStyle="0"/>
  <w:activeWritingStyle w:appName="MSWord" w:lang="fr-FR" w:vendorID="64" w:dllVersion="6" w:nlCheck="1" w:checkStyle="0"/>
  <w:activeWritingStyle w:appName="MSWord" w:lang="es-ES" w:vendorID="64" w:dllVersion="6" w:nlCheck="1" w:checkStyle="0"/>
  <w:activeWritingStyle w:appName="MSWord" w:lang="en-US" w:vendorID="64" w:dllVersion="6" w:nlCheck="1" w:checkStyle="0"/>
  <w:activeWritingStyle w:appName="MSWord" w:lang="pt-PT" w:vendorID="64" w:dllVersion="6" w:nlCheck="1" w:checkStyle="0"/>
  <w:activeWritingStyle w:appName="MSWord" w:lang="en-IE"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revisionView w:markup="0"/>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2"/>
    <w:docVar w:name="LW_ANNEX_NBR_LAST" w:val="2"/>
    <w:docVar w:name="LW_ANNEX_UNIQUE" w:val="0"/>
    <w:docVar w:name="LW_CORRIGENDUM" w:val="&lt;UNUSED&gt;"/>
    <w:docVar w:name="LW_COVERPAGE_EXISTS" w:val="True"/>
    <w:docVar w:name="LW_COVERPAGE_GUID" w:val="8D2B5204-31A4-4643-BA3E-4300EB114BDE"/>
    <w:docVar w:name="LW_COVERPAGE_TYPE" w:val="1"/>
    <w:docVar w:name="LW_CROSSREFERENCE" w:val="&lt;UNUSED&gt;"/>
    <w:docVar w:name="LW_DocType" w:val="NORMAL"/>
    <w:docVar w:name="LW_EMISSION" w:val="10.7.2020"/>
    <w:docVar w:name="LW_EMISSION_ISODATE" w:val="2020-07-10"/>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Bold&gt;Rapport de synthèse annuel pour l\u8217?année 2018 sur la mise en place d\u8217?un régime d\u8217?autorisation FLEGT conformément au règlement (CE) nº 2173/2005 du 20 décembre 2005 concernant la mise en place d\u8217?un régime d\u8217?autorisation FLEGT relatif aux importations de bois dans la Communauté européenne&lt;/FMT&gt;"/>
    <w:docVar w:name="LW_PART_NBR" w:val="1"/>
    <w:docVar w:name="LW_PART_NBR_TOTAL" w:val="1"/>
    <w:docVar w:name="LW_REF.INST.NEW" w:val="COM"/>
    <w:docVar w:name="LW_REF.INST.NEW_ADOPTED" w:val="final"/>
    <w:docVar w:name="LW_REF.INST.NEW_TEXT" w:val="(2020) 3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YPE.DOC.CP" w:val="ANNEXE_x000b_"/>
    <w:docVar w:name="LW_TYPEACTEPRINCIPAL.CP" w:val="RAPPORT DE LA COMMIS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fr-FR"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fr-FR"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fr-FR"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fr-FR"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fr-FR"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uiPriority w:val="99"/>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sz w:val="20"/>
      <w:szCs w:val="20"/>
    </w:rPr>
  </w:style>
  <w:style w:type="paragraph" w:styleId="Revision">
    <w:name w:val="Revision"/>
    <w:hidden/>
    <w:uiPriority w:val="99"/>
    <w:semiHidden/>
    <w:rPr>
      <w:lang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fr-FR"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fr-FR"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fr-FR"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fr-FR"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fr-FR" w:eastAsia="en-US"/>
    </w:rPr>
  </w:style>
  <w:style w:type="table" w:customStyle="1" w:styleId="TableGrid5">
    <w:name w:val="Table Grid5"/>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Theme="minorHAnsi" w:eastAsiaTheme="minorEastAsia" w:hAnsiTheme="minorHAnsi"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ext">
    <w:name w:val="Chapter text"/>
    <w:basedOn w:val="Normal"/>
    <w:next w:val="Normal"/>
    <w:qFormat/>
    <w:pPr>
      <w:spacing w:line="270" w:lineRule="atLeast"/>
    </w:pPr>
    <w:rPr>
      <w:rFonts w:ascii="Constantia" w:eastAsiaTheme="minorEastAsia" w:hAnsi="Constantia" w:cstheme="minorBidi"/>
      <w:sz w:val="20"/>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 w:id="20585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9BEA1F633F0438E1D0F79AB518DAB" ma:contentTypeVersion="13" ma:contentTypeDescription="Create a new document." ma:contentTypeScope="" ma:versionID="b1da73c4aeda247b791f701ee9fc2c39">
  <xsd:schema xmlns:xsd="http://www.w3.org/2001/XMLSchema" xmlns:xs="http://www.w3.org/2001/XMLSchema" xmlns:p="http://schemas.microsoft.com/office/2006/metadata/properties" xmlns:ns3="f72b8e7e-327c-4d7a-a8f6-826e6d5225a8" xmlns:ns4="ed8d86cc-71b3-48cf-8a07-5ecfc0d8012d" targetNamespace="http://schemas.microsoft.com/office/2006/metadata/properties" ma:root="true" ma:fieldsID="faef788a845b137d2f6196d8b506f791" ns3:_="" ns4:_="">
    <xsd:import namespace="f72b8e7e-327c-4d7a-a8f6-826e6d5225a8"/>
    <xsd:import namespace="ed8d86cc-71b3-48cf-8a07-5ecfc0d80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b8e7e-327c-4d7a-a8f6-826e6d5225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d86cc-71b3-48cf-8a07-5ecfc0d80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D526-14B3-4F92-858A-197A832E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b8e7e-327c-4d7a-a8f6-826e6d5225a8"/>
    <ds:schemaRef ds:uri="ed8d86cc-71b3-48cf-8a07-5ecfc0d8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2F31-F100-48A6-9B69-864891A4846A}">
  <ds:schemaRefs>
    <ds:schemaRef ds:uri="http://schemas.microsoft.com/sharepoint/v3/contenttype/forms"/>
  </ds:schemaRefs>
</ds:datastoreItem>
</file>

<file path=customXml/itemProps3.xml><?xml version="1.0" encoding="utf-8"?>
<ds:datastoreItem xmlns:ds="http://schemas.openxmlformats.org/officeDocument/2006/customXml" ds:itemID="{02852ABE-64C2-4D02-B0AA-C40CCA8790F4}">
  <ds:schemaRefs>
    <ds:schemaRef ds:uri="http://schemas.microsoft.com/office/2006/metadata/properties"/>
    <ds:schemaRef ds:uri="http://purl.org/dc/elements/1.1/"/>
    <ds:schemaRef ds:uri="http://schemas.microsoft.com/office/infopath/2007/PartnerControls"/>
    <ds:schemaRef ds:uri="f72b8e7e-327c-4d7a-a8f6-826e6d5225a8"/>
    <ds:schemaRef ds:uri="http://schemas.openxmlformats.org/package/2006/metadata/core-properties"/>
    <ds:schemaRef ds:uri="http://purl.org/dc/terms/"/>
    <ds:schemaRef ds:uri="http://schemas.microsoft.com/office/2006/documentManagement/types"/>
    <ds:schemaRef ds:uri="ed8d86cc-71b3-48cf-8a07-5ecfc0d8012d"/>
    <ds:schemaRef ds:uri="http://www.w3.org/XML/1998/namespace"/>
    <ds:schemaRef ds:uri="http://purl.org/dc/dcmitype/"/>
  </ds:schemaRefs>
</ds:datastoreItem>
</file>

<file path=customXml/itemProps4.xml><?xml version="1.0" encoding="utf-8"?>
<ds:datastoreItem xmlns:ds="http://schemas.openxmlformats.org/officeDocument/2006/customXml" ds:itemID="{A3EB6FB9-CBFA-45AD-8935-6DB190DE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966</Words>
  <Characters>4526</Characters>
  <Application>Microsoft Office Word</Application>
  <DocSecurity>0</DocSecurity>
  <Lines>565</Lines>
  <Paragraphs>392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ZERVA Argyro (ENV)</dc:creator>
  <cp:lastModifiedBy>WES PDFC Administrator</cp:lastModifiedBy>
  <cp:revision>32</cp:revision>
  <cp:lastPrinted>2020-03-11T11:19:00Z</cp:lastPrinted>
  <dcterms:created xsi:type="dcterms:W3CDTF">2020-04-14T17:28:00Z</dcterms:created>
  <dcterms:modified xsi:type="dcterms:W3CDTF">2020-07-03T08:29:00Z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Mendeley Document_1">
    <vt:lpwstr>True</vt:lpwstr>
  </property>
  <property fmtid="{D5CDD505-2E9C-101B-9397-08002B2CF9AE}" pid="9" name="CPTemplateID">
    <vt:lpwstr>CP-039</vt:lpwstr>
  </property>
  <property fmtid="{D5CDD505-2E9C-101B-9397-08002B2CF9AE}" pid="10" name="First annex">
    <vt:lpwstr>2</vt:lpwstr>
  </property>
  <property fmtid="{D5CDD505-2E9C-101B-9397-08002B2CF9AE}" pid="11" name="Last annex">
    <vt:lpwstr>2</vt:lpwstr>
  </property>
  <property fmtid="{D5CDD505-2E9C-101B-9397-08002B2CF9AE}" pid="12" name="Unique annex">
    <vt:lpwstr>0</vt:lpwstr>
  </property>
  <property fmtid="{D5CDD505-2E9C-101B-9397-08002B2CF9AE}" pid="13" name="_LW_INVALIDATED__LW_INVALIDATED__LW_INVALIDATED__LW_INVALIDATED__LW_INVALIDATED__LW_INVALIDATED__LW_INVALIDATED__LW_INVALIDATED_ContentTypeId">
    <vt:lpwstr>0x0101004459BEA1F633F0438E1D0F79AB518DAB</vt:lpwstr>
  </property>
</Properties>
</file>