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E8EDB4B-F6D8-4B53-8B9B-CA77E1B3CFC8" style="width:450.65pt;height:35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widowControl w:val="0"/>
        <w:shd w:val="clear" w:color="auto" w:fill="FFFFFF"/>
        <w:autoSpaceDE w:val="0"/>
        <w:autoSpaceDN w:val="0"/>
        <w:adjustRightInd w:val="0"/>
        <w:spacing w:before="230" w:after="240" w:line="269" w:lineRule="exact"/>
        <w:ind w:right="85"/>
        <w:rPr>
          <w:noProof/>
        </w:rPr>
      </w:pPr>
      <w:r>
        <w:rPr>
          <w:noProof/>
        </w:rPr>
        <w:t>Снабдяването на ЕС с определени продукти от риболов зависи до голяма степен от техния внос. През последните десетилетия се наблюдава непрекъснато нарастване на тази зависимост при задоволяване на търсенето на посочените продукти, тъй като продукцията от риболов и аквакултури в ЕС понастоящем покрива само 43 % от нуждите му. Основното предназначение на автономните търговски мерки по отношение на продуктите от риболов и аквакултури е да се даде възможност на рибопреработвателната промишленост на ЕС да внася суровини за по-нататъшна преработка от държави извън ЕС при намалени или нулеви ставки на митата. Наред с това, за да се гарантира лоялна конкуренция между вносните и европейските продукти от риболов на пазара на ЕС, следва да бъде отчетено въздействието на посочените мерки върху конкурентоспособността на производителите на такива продукти в Съюза.</w:t>
      </w:r>
    </w:p>
    <w:p>
      <w:pPr>
        <w:pBdr>
          <w:top w:val="nil"/>
          <w:left w:val="nil"/>
          <w:bottom w:val="nil"/>
          <w:right w:val="nil"/>
          <w:between w:val="nil"/>
          <w:bar w:val="nil"/>
        </w:pBdr>
        <w:spacing w:before="0" w:after="240"/>
        <w:rPr>
          <w:rFonts w:eastAsia="Arial Unicode MS"/>
          <w:noProof/>
        </w:rPr>
      </w:pPr>
      <w:r>
        <w:rPr>
          <w:noProof/>
        </w:rPr>
        <w:t>Обединеното кралство напусна ЕС на 31 януари 2020 г., като съответният преходен период изтича в края на 2020 г. Настоящото предложение се основава на предположението, че в края на преходния период ще бъде договорено споразумение за свободна търговия между ЕС и Обединеното кралство, с което търговията между държавите — членки на ЕС, и Обединеното кралство ще продължи без налагането на вносни мита. Ако в края на преходния период не е сключено търговско споразумение, Съветът може да реши да измени Регламента относно автономните тарифни квоти.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Инициативата е в съответствие с установената политика на ЕС, насочена към осигуряване на подходящо предлагане на продукти от риболов за преработвателната промишленост, и следва тази политика.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Не е приложимо.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за настоящото предложение е член 31 от Договора за функционирането на Европейския съюз.</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Избраната политика е пропорционална, тъй като за всеки продукт се разрешава само ограничено количество с оглед на степента на използване, необходимостта от еднакви условия на конкуренция между производителите от ЕС и тези извън ЕС, добавената стойност и други търговски преференции.</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пропорционалност, тъй като митническият съюз представлява обща политика и следва да се изпълнява чрез регламент, приет от Съвета.</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Не е приложимо.</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Между януари и март 2020 г. бяха проведени консултации въз основа на въпросник, предоставен на производителите и преработвателите от ЕС и на националните компетентни органи от държавите членки. На 29 февруари 2020 г. Комисията запозна с процеса на консултации и Консултативния съвет по пазарите, в който са представени всички заинтересовани страни (секторът и НПО). Нито една от заинтересованите страни не се изказа против запазването на автономните тарифни квоти за продукти от риболов.</w:t>
      </w:r>
    </w:p>
    <w:p>
      <w:pPr>
        <w:pBdr>
          <w:top w:val="nil"/>
          <w:left w:val="nil"/>
          <w:bottom w:val="nil"/>
          <w:right w:val="nil"/>
          <w:between w:val="nil"/>
          <w:bar w:val="nil"/>
        </w:pBdr>
        <w:spacing w:before="0" w:after="240"/>
        <w:rPr>
          <w:noProof/>
        </w:rPr>
      </w:pPr>
      <w:r>
        <w:rPr>
          <w:noProof/>
        </w:rPr>
        <w:t xml:space="preserve">Както и в предишни случаи, производителите от ЕС предложиха минималистичен подход (по-малки количества и по-малко продукти), докато подходът, защитаван от европейската преработвателна промишленост, е максималистичен (по-големи количества и повече продукти). Становище изразиха десет държави членки, като то беше съобразено с позицията на съответните национални сектори. Една държава категорично подкрепя максималното увеличаване на собствените доставки и вътрешните процедури за възлагане на обществени поръчки въз основа на потенциала на производството в ЕС, като за отправна точка при анализа на този потенциал използва общия допустим улов и квотите. </w:t>
      </w:r>
    </w:p>
    <w:p>
      <w:pPr>
        <w:pBdr>
          <w:top w:val="nil"/>
          <w:left w:val="nil"/>
          <w:bottom w:val="nil"/>
          <w:right w:val="nil"/>
          <w:between w:val="nil"/>
          <w:bar w:val="nil"/>
        </w:pBdr>
        <w:spacing w:before="0" w:after="240"/>
        <w:rPr>
          <w:rFonts w:eastAsia="Arial Unicode MS"/>
          <w:noProof/>
        </w:rPr>
      </w:pPr>
      <w:r>
        <w:rPr>
          <w:noProof/>
        </w:rPr>
        <w:t>Предложението, изготвено от Комисията, е балансирано и се основава на фактически обективен анализ на събраните данни и информация. То гарантира достатъчно конкурентно снабдяване за преработвателната промишленост на ЕС, като същевременно отчита интересите на европейските производители на продукти от риболов.</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Оценката на добавената стойност на всеки продукт, по отношение на който се прилагат автономни тарифни квоти, беше извършена от външен консултант (EUMOFA). Тя се основава на задълбочено проучване от 2015 г., актуализирано през 2018 г., което потвърждава целесъобразността, съгласуваността и ефикасността на автономните тарифни квоти. При изчисляването на всяка предложена квота бяха използвани данни на Евростат и информация относно използването на квотите.</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Оценка на въздействието не беше извършена. Тя не е необходима, тъй като предложението се основава на действащия в момента правен акт, чието действие изтича в края на 2020 г. Беше проведена обаче задълбочена консултация със заинтересованите </w:t>
      </w:r>
      <w:r>
        <w:rPr>
          <w:noProof/>
        </w:rPr>
        <w:lastRenderedPageBreak/>
        <w:t>страни на равнището на ЕС, след като предложението беше внесено за обсъждане в работната група на Съвета.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въздействие върху бюджета на Комисията.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Bdr>
          <w:top w:val="nil"/>
          <w:left w:val="nil"/>
          <w:bottom w:val="nil"/>
          <w:right w:val="nil"/>
          <w:between w:val="nil"/>
          <w:bar w:val="nil"/>
        </w:pBdr>
        <w:spacing w:before="0" w:after="240"/>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Не е приложимо.</w:t>
      </w:r>
    </w:p>
    <w:p>
      <w:pPr>
        <w:pBdr>
          <w:top w:val="nil"/>
          <w:left w:val="nil"/>
          <w:bottom w:val="nil"/>
          <w:right w:val="nil"/>
          <w:between w:val="nil"/>
          <w:bar w:val="nil"/>
        </w:pBdr>
        <w:spacing w:before="0" w:after="240"/>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2020/0144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pPr>
      <w:r>
        <w:rPr>
          <w:noProof/>
        </w:rPr>
        <w:t>за откриване и управление на автономни тарифни квоти на Съюза за определени продукти от риболов за периода 2021—2023 година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bCs/>
          <w:i/>
          <w:noProof/>
        </w:rPr>
      </w:pPr>
      <w:r>
        <w:t>(1)</w:t>
      </w:r>
      <w:r>
        <w:tab/>
      </w:r>
      <w:r>
        <w:rPr>
          <w:noProof/>
        </w:rPr>
        <w:t>Снабдяването на ЕС с определени рибни продукти понастоящем зависи от вноса от трети държави. През последните десетилетия се наблюдава нарастване на тази зависимост при задоволяване на търсенето на посочените продукти в Съюза. С цел да се избегнат рисковете за производството на продукти от риболов в Съюза и да се осигури достатъчно снабдяване с такива продукти за неговата преработвателна промишленост, за редица продукти от риболов митата за внос следва да бъдат суспендирани или намалени в рамките на тарифни квоти с подходящ обем. Наред с това, за да се гарантира лоялна конкуренция между вносните и европейските продукти от риболов на пазара на ЕС, следва да бъде отчетено въздействието на мерките върху конкурентоспособността на производителите на такива продукти в Съюза.</w:t>
      </w:r>
    </w:p>
    <w:p>
      <w:pPr>
        <w:pStyle w:val="ManualConsidrant"/>
        <w:rPr>
          <w:noProof/>
        </w:rPr>
      </w:pPr>
      <w:r>
        <w:t>(2)</w:t>
      </w:r>
      <w:r>
        <w:tab/>
      </w:r>
      <w:r>
        <w:rPr>
          <w:noProof/>
        </w:rPr>
        <w:t>С Регламент (ЕС) 2018/1977 на Съвета</w:t>
      </w:r>
      <w:r>
        <w:rPr>
          <w:rStyle w:val="FootnoteReference"/>
          <w:bCs/>
          <w:noProof/>
        </w:rPr>
        <w:footnoteReference w:id="1"/>
      </w:r>
      <w:r>
        <w:rPr>
          <w:noProof/>
        </w:rPr>
        <w:t xml:space="preserve"> се откриват автономни тарифни квоти на Съюза за определени продукти от риболов за периода 2019—2020 г. и се предвижда начинът на управлението им. Тъй като периодът на прилагане на посочения регламент изтича на 31 декември 2020 г., за периода 2021—2023 г. следва да се приеме нов регламент, с който да се предвидят тарифни квоти.</w:t>
      </w:r>
    </w:p>
    <w:p>
      <w:pPr>
        <w:pStyle w:val="ManualConsidrant"/>
        <w:rPr>
          <w:noProof/>
        </w:rPr>
      </w:pPr>
      <w:r>
        <w:t>(3)</w:t>
      </w:r>
      <w:r>
        <w:tab/>
      </w:r>
      <w:r>
        <w:rPr>
          <w:noProof/>
        </w:rPr>
        <w:t>Всички вносители от Съюза следва да разполагат с равнопоставен и непрекъснат достъп до предвидените в настоящия регламент тарифни квоти, като определените ставки за тези квоти следва да се прилагат без прекъсване до изчерпването им към всички операции по внос на съответните продукти от риболов във всички държави членки.</w:t>
      </w:r>
    </w:p>
    <w:p>
      <w:pPr>
        <w:pStyle w:val="ManualConsidrant"/>
        <w:rPr>
          <w:noProof/>
        </w:rPr>
      </w:pPr>
      <w:r>
        <w:t>(4)</w:t>
      </w:r>
      <w:r>
        <w:tab/>
      </w:r>
      <w:r>
        <w:rPr>
          <w:noProof/>
        </w:rPr>
        <w:t>В Регламент за изпълнение (ЕС) 2015/2447 на Комисията</w:t>
      </w:r>
      <w:r>
        <w:rPr>
          <w:rStyle w:val="FootnoteReference"/>
          <w:noProof/>
        </w:rPr>
        <w:footnoteReference w:id="2"/>
      </w:r>
      <w:r>
        <w:rPr>
          <w:noProof/>
        </w:rPr>
        <w:t xml:space="preserve"> се предвижда система за управление на тарифните квоти, която следва хронологичния ред на датите на </w:t>
      </w:r>
      <w:r>
        <w:rPr>
          <w:noProof/>
        </w:rPr>
        <w:lastRenderedPageBreak/>
        <w:t>приемане на декларациите за допускане за свободно обращение. Откритите с настоящия регламент тарифни квоти следва да бъдат управлявани от Комисията и държавите членки в съответствие с тази система.</w:t>
      </w:r>
    </w:p>
    <w:p>
      <w:pPr>
        <w:pStyle w:val="ManualConsidrant"/>
        <w:rPr>
          <w:noProof/>
        </w:rPr>
      </w:pPr>
      <w:r>
        <w:t>(5)</w:t>
      </w:r>
      <w:r>
        <w:tab/>
      </w:r>
      <w:r>
        <w:rPr>
          <w:noProof/>
        </w:rPr>
        <w:t xml:space="preserve">От значение е да се гарантират прозрачност, предвидимост и правна сигурност за всички заинтересовани страни. Тъй като целта на тарифните квоти е да се осигури достатъчно снабдяване на преработвателната промишленост на Съюза с продукти от риболов, право на ползване на квотите следва да се предоставя, ако бъде спазено изискването за минимално равнище на обработка или операции. </w:t>
      </w:r>
    </w:p>
    <w:p>
      <w:pPr>
        <w:pStyle w:val="ManualConsidrant"/>
        <w:rPr>
          <w:noProof/>
        </w:rPr>
      </w:pPr>
      <w:r>
        <w:t>(6)</w:t>
      </w:r>
      <w:r>
        <w:tab/>
      </w:r>
      <w:r>
        <w:rPr>
          <w:noProof/>
        </w:rPr>
        <w:t>С цел да се гарантира ефективното управление на тарифните квоти държавите членки следва да имат право да изваждат от обема на тарифните квоти необходимите количества, които съответстват на действително извършените от тях операции по внос. Този метод на управление изисква тясно сътрудничество между държавите членки и Комисията, поради което Комисията следва да може да наблюдава темповете на изчерпване на тарифните квоти и съответно да информира държавите членки,</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Митата за внос на продуктите, изброени в приложението, се суспендират или намаляват в рамките на тарифните квоти при ставките, за периодите и количествата, посочени в него.</w:t>
      </w:r>
    </w:p>
    <w:p>
      <w:pPr>
        <w:pStyle w:val="Titrearticle"/>
        <w:rPr>
          <w:noProof/>
        </w:rPr>
      </w:pPr>
      <w:r>
        <w:rPr>
          <w:noProof/>
        </w:rPr>
        <w:t>Член 2</w:t>
      </w:r>
    </w:p>
    <w:p>
      <w:pPr>
        <w:rPr>
          <w:noProof/>
        </w:rPr>
      </w:pPr>
      <w:r>
        <w:rPr>
          <w:noProof/>
        </w:rPr>
        <w:t>Тарифните квоти, посочени в член 1 от настоящия регламент, се управляват в съответствие с членове 49—54 от Регламент за изпълнение (ЕС) 2015/2447.</w:t>
      </w:r>
    </w:p>
    <w:p>
      <w:pPr>
        <w:pStyle w:val="Titrearticle"/>
        <w:rPr>
          <w:noProof/>
        </w:rPr>
      </w:pPr>
      <w:r>
        <w:rPr>
          <w:noProof/>
        </w:rPr>
        <w:t>Член 3</w:t>
      </w:r>
    </w:p>
    <w:p>
      <w:pPr>
        <w:rPr>
          <w:noProof/>
        </w:rPr>
      </w:pPr>
      <w:r>
        <w:rPr>
          <w:noProof/>
        </w:rPr>
        <w:t>По отношение на тарифните квоти се прилага митнически надзор за режим специфична употреба в съответствие с член 254 от Регламент (ЕС) № 952/2013 на Европейския парламент и на Съвета</w:t>
      </w:r>
      <w:r>
        <w:rPr>
          <w:rStyle w:val="FootnoteReference"/>
          <w:noProof/>
        </w:rPr>
        <w:footnoteReference w:id="3"/>
      </w:r>
      <w:r>
        <w:rPr>
          <w:noProof/>
        </w:rPr>
        <w:t>.</w:t>
      </w:r>
    </w:p>
    <w:p>
      <w:pPr>
        <w:pStyle w:val="Titrearticle"/>
        <w:rPr>
          <w:noProof/>
        </w:rPr>
      </w:pPr>
      <w:r>
        <w:rPr>
          <w:noProof/>
        </w:rPr>
        <w:t>Член 4</w:t>
      </w:r>
    </w:p>
    <w:p>
      <w:pPr>
        <w:pStyle w:val="ManualNumPar1"/>
        <w:rPr>
          <w:noProof/>
        </w:rPr>
      </w:pPr>
      <w:r>
        <w:rPr>
          <w:noProof/>
        </w:rPr>
        <w:t>1.</w:t>
      </w:r>
      <w:r>
        <w:rPr>
          <w:noProof/>
        </w:rPr>
        <w:tab/>
        <w:t>Суспендирането или намаляването на митата за внос се прилага само за продукти, предназначени за консумация от човека.</w:t>
      </w:r>
    </w:p>
    <w:p>
      <w:pPr>
        <w:pStyle w:val="ManualNumPar1"/>
        <w:rPr>
          <w:noProof/>
        </w:rPr>
      </w:pPr>
      <w:r>
        <w:rPr>
          <w:noProof/>
        </w:rPr>
        <w:t>2.</w:t>
      </w:r>
      <w:r>
        <w:rPr>
          <w:noProof/>
        </w:rPr>
        <w:tab/>
        <w:t>Тарифните квоти не се предоставят за продукти, чиято обработка се извършва на равнище продажба на дребно или кетъринг.</w:t>
      </w:r>
    </w:p>
    <w:p>
      <w:pPr>
        <w:pStyle w:val="ManualNumPar1"/>
        <w:rPr>
          <w:noProof/>
        </w:rPr>
      </w:pPr>
      <w:r>
        <w:rPr>
          <w:noProof/>
        </w:rPr>
        <w:t>3.</w:t>
      </w:r>
      <w:r>
        <w:rPr>
          <w:noProof/>
        </w:rPr>
        <w:tab/>
        <w:t>Тарифните квоти не се предоставят за продукти, които са предназначени единствено за една или повече от следните операции:</w:t>
      </w:r>
    </w:p>
    <w:p>
      <w:pPr>
        <w:pStyle w:val="Point1"/>
        <w:rPr>
          <w:noProof/>
        </w:rPr>
      </w:pPr>
      <w:r>
        <w:rPr>
          <w:noProof/>
        </w:rPr>
        <w:t>а)</w:t>
      </w:r>
      <w:r>
        <w:rPr>
          <w:noProof/>
        </w:rPr>
        <w:tab/>
        <w:t>почистване, отстраняване на вътрешности, опашка и глава;</w:t>
      </w:r>
    </w:p>
    <w:p>
      <w:pPr>
        <w:pStyle w:val="Point1"/>
        <w:rPr>
          <w:noProof/>
        </w:rPr>
      </w:pPr>
      <w:r>
        <w:rPr>
          <w:noProof/>
        </w:rPr>
        <w:t>б)</w:t>
      </w:r>
      <w:r>
        <w:rPr>
          <w:noProof/>
        </w:rPr>
        <w:tab/>
        <w:t>нарязване;</w:t>
      </w:r>
    </w:p>
    <w:p>
      <w:pPr>
        <w:pStyle w:val="Point1"/>
        <w:rPr>
          <w:noProof/>
        </w:rPr>
      </w:pPr>
      <w:r>
        <w:rPr>
          <w:noProof/>
        </w:rPr>
        <w:lastRenderedPageBreak/>
        <w:t>в)</w:t>
      </w:r>
      <w:r>
        <w:rPr>
          <w:noProof/>
        </w:rPr>
        <w:tab/>
        <w:t>повторно пакетиране на индивидуално бързо замразени филета;</w:t>
      </w:r>
    </w:p>
    <w:p>
      <w:pPr>
        <w:pStyle w:val="Point1"/>
        <w:rPr>
          <w:noProof/>
        </w:rPr>
      </w:pPr>
      <w:r>
        <w:rPr>
          <w:noProof/>
        </w:rPr>
        <w:t>г)</w:t>
      </w:r>
      <w:r>
        <w:rPr>
          <w:noProof/>
        </w:rPr>
        <w:tab/>
        <w:t>вземане на проби, сортиране;</w:t>
      </w:r>
    </w:p>
    <w:p>
      <w:pPr>
        <w:pStyle w:val="Point1"/>
        <w:rPr>
          <w:noProof/>
        </w:rPr>
      </w:pPr>
      <w:r>
        <w:rPr>
          <w:noProof/>
        </w:rPr>
        <w:t>д)</w:t>
      </w:r>
      <w:r>
        <w:rPr>
          <w:noProof/>
        </w:rPr>
        <w:tab/>
        <w:t>етикетиране;</w:t>
      </w:r>
    </w:p>
    <w:p>
      <w:pPr>
        <w:pStyle w:val="Point1"/>
        <w:ind w:left="0" w:firstLine="720"/>
        <w:rPr>
          <w:noProof/>
        </w:rPr>
      </w:pPr>
      <w:r>
        <w:rPr>
          <w:noProof/>
        </w:rPr>
        <w:t xml:space="preserve">  е)</w:t>
      </w:r>
      <w:r>
        <w:rPr>
          <w:noProof/>
        </w:rPr>
        <w:tab/>
        <w:t>опаковане;</w:t>
      </w:r>
    </w:p>
    <w:p>
      <w:pPr>
        <w:pStyle w:val="Point1"/>
        <w:rPr>
          <w:noProof/>
        </w:rPr>
      </w:pPr>
      <w:r>
        <w:rPr>
          <w:noProof/>
        </w:rPr>
        <w:t>ж)</w:t>
      </w:r>
      <w:r>
        <w:rPr>
          <w:noProof/>
        </w:rPr>
        <w:tab/>
        <w:t>охлаждане;</w:t>
      </w:r>
    </w:p>
    <w:p>
      <w:pPr>
        <w:pStyle w:val="Point1"/>
        <w:rPr>
          <w:noProof/>
        </w:rPr>
      </w:pPr>
      <w:r>
        <w:rPr>
          <w:noProof/>
        </w:rPr>
        <w:t>з)</w:t>
      </w:r>
      <w:r>
        <w:rPr>
          <w:noProof/>
        </w:rPr>
        <w:tab/>
        <w:t>замразяване;</w:t>
      </w:r>
    </w:p>
    <w:p>
      <w:pPr>
        <w:pStyle w:val="Point1"/>
        <w:rPr>
          <w:noProof/>
        </w:rPr>
      </w:pPr>
      <w:r>
        <w:rPr>
          <w:noProof/>
        </w:rPr>
        <w:t>и)</w:t>
      </w:r>
      <w:r>
        <w:rPr>
          <w:noProof/>
        </w:rPr>
        <w:tab/>
        <w:t>дълбоко замразяване;</w:t>
      </w:r>
    </w:p>
    <w:p>
      <w:pPr>
        <w:pStyle w:val="Point1"/>
        <w:rPr>
          <w:noProof/>
        </w:rPr>
      </w:pPr>
      <w:r>
        <w:rPr>
          <w:noProof/>
        </w:rPr>
        <w:t>й)</w:t>
      </w:r>
      <w:r>
        <w:rPr>
          <w:noProof/>
        </w:rPr>
        <w:tab/>
        <w:t>размразяване;</w:t>
      </w:r>
    </w:p>
    <w:p>
      <w:pPr>
        <w:pStyle w:val="Point1"/>
        <w:rPr>
          <w:noProof/>
        </w:rPr>
      </w:pPr>
      <w:r>
        <w:rPr>
          <w:noProof/>
        </w:rPr>
        <w:t>к)</w:t>
      </w:r>
      <w:r>
        <w:rPr>
          <w:noProof/>
        </w:rPr>
        <w:tab/>
        <w:t>глазиране;</w:t>
      </w:r>
    </w:p>
    <w:p>
      <w:pPr>
        <w:pStyle w:val="Point1"/>
        <w:rPr>
          <w:noProof/>
        </w:rPr>
      </w:pPr>
      <w:r>
        <w:rPr>
          <w:noProof/>
        </w:rPr>
        <w:t>л)</w:t>
      </w:r>
      <w:r>
        <w:rPr>
          <w:noProof/>
        </w:rPr>
        <w:tab/>
        <w:t>разтопяване;</w:t>
      </w:r>
    </w:p>
    <w:p>
      <w:pPr>
        <w:pStyle w:val="Point1"/>
        <w:rPr>
          <w:noProof/>
        </w:rPr>
      </w:pPr>
      <w:r>
        <w:rPr>
          <w:noProof/>
        </w:rPr>
        <w:t>м)</w:t>
      </w:r>
      <w:r>
        <w:rPr>
          <w:noProof/>
        </w:rPr>
        <w:tab/>
        <w:t>отделяне.</w:t>
      </w:r>
    </w:p>
    <w:p>
      <w:pPr>
        <w:pStyle w:val="ManualNumPar1"/>
        <w:rPr>
          <w:noProof/>
        </w:rPr>
      </w:pPr>
      <w:r>
        <w:rPr>
          <w:noProof/>
        </w:rPr>
        <w:t>4.</w:t>
      </w:r>
      <w:r>
        <w:rPr>
          <w:noProof/>
        </w:rPr>
        <w:tab/>
        <w:t>Без да се засяга параграф 3, тарифните квоти се предоставят за продукти, които са предназначени за една или повече от следните операции:</w:t>
      </w:r>
    </w:p>
    <w:p>
      <w:pPr>
        <w:pStyle w:val="Point1"/>
        <w:rPr>
          <w:noProof/>
        </w:rPr>
      </w:pPr>
      <w:r>
        <w:rPr>
          <w:noProof/>
        </w:rPr>
        <w:t>а)</w:t>
      </w:r>
      <w:r>
        <w:rPr>
          <w:noProof/>
        </w:rPr>
        <w:tab/>
        <w:t>нарязване на кубчета;</w:t>
      </w:r>
    </w:p>
    <w:p>
      <w:pPr>
        <w:pStyle w:val="Point1"/>
        <w:rPr>
          <w:noProof/>
        </w:rPr>
      </w:pPr>
      <w:r>
        <w:rPr>
          <w:noProof/>
        </w:rPr>
        <w:t>б)</w:t>
      </w:r>
      <w:r>
        <w:rPr>
          <w:noProof/>
        </w:rPr>
        <w:tab/>
        <w:t>нарязване на кръгчета и нарязване на ленти за материали от кодове по КН 0307 43 91, 0307 43 92 и 0307 43 99;</w:t>
      </w:r>
    </w:p>
    <w:p>
      <w:pPr>
        <w:pStyle w:val="Point1"/>
        <w:rPr>
          <w:noProof/>
        </w:rPr>
      </w:pPr>
      <w:r>
        <w:rPr>
          <w:noProof/>
        </w:rPr>
        <w:t>в)</w:t>
      </w:r>
      <w:r>
        <w:rPr>
          <w:noProof/>
        </w:rPr>
        <w:tab/>
        <w:t>филетиране;</w:t>
      </w:r>
    </w:p>
    <w:p>
      <w:pPr>
        <w:pStyle w:val="Point1"/>
        <w:rPr>
          <w:noProof/>
        </w:rPr>
      </w:pPr>
      <w:r>
        <w:rPr>
          <w:noProof/>
        </w:rPr>
        <w:t>г)</w:t>
      </w:r>
      <w:r>
        <w:rPr>
          <w:noProof/>
        </w:rPr>
        <w:tab/>
        <w:t>производство на половинки;</w:t>
      </w:r>
    </w:p>
    <w:p>
      <w:pPr>
        <w:pStyle w:val="Point1"/>
        <w:rPr>
          <w:noProof/>
        </w:rPr>
      </w:pPr>
      <w:r>
        <w:rPr>
          <w:noProof/>
        </w:rPr>
        <w:t>д)</w:t>
      </w:r>
      <w:r>
        <w:rPr>
          <w:noProof/>
        </w:rPr>
        <w:tab/>
        <w:t>нарязване на замразени блокове;</w:t>
      </w:r>
    </w:p>
    <w:p>
      <w:pPr>
        <w:pStyle w:val="Point1"/>
        <w:rPr>
          <w:noProof/>
        </w:rPr>
      </w:pPr>
      <w:r>
        <w:rPr>
          <w:noProof/>
        </w:rPr>
        <w:t>е)</w:t>
      </w:r>
      <w:r>
        <w:rPr>
          <w:noProof/>
        </w:rPr>
        <w:tab/>
        <w:t>разделяне на замразени блокове от преплетени филета;</w:t>
      </w:r>
    </w:p>
    <w:p>
      <w:pPr>
        <w:pStyle w:val="Point1"/>
        <w:rPr>
          <w:noProof/>
        </w:rPr>
      </w:pPr>
      <w:r>
        <w:rPr>
          <w:noProof/>
        </w:rPr>
        <w:t>ж)</w:t>
      </w:r>
      <w:r>
        <w:rPr>
          <w:noProof/>
        </w:rPr>
        <w:tab/>
        <w:t>нарязване на резени за материали от кодове по КН ex 0303 66 11, 0303 66 12, 0303 66 13, 0303 66 19, 0303 89 70 и 0303 89 90;</w:t>
      </w:r>
    </w:p>
    <w:p>
      <w:pPr>
        <w:pStyle w:val="Point1"/>
        <w:rPr>
          <w:noProof/>
        </w:rPr>
      </w:pPr>
      <w:r>
        <w:rPr>
          <w:noProof/>
        </w:rPr>
        <w:t>з)</w:t>
      </w:r>
      <w:r>
        <w:rPr>
          <w:noProof/>
        </w:rPr>
        <w:tab/>
        <w:t>третиране с опаковъчни газове, както са определени в приложение I към Регламент (ЕО) № 1333/2008 на Европейския парламент и на Съвета</w:t>
      </w:r>
      <w:r>
        <w:rPr>
          <w:rStyle w:val="FootnoteReference"/>
          <w:noProof/>
        </w:rPr>
        <w:footnoteReference w:id="4"/>
      </w:r>
      <w:r>
        <w:rPr>
          <w:noProof/>
        </w:rPr>
        <w:t>, за продукти с кодове по КН 0306 16 99 (подразделения по ТАРИК 20 и 30), 0306 17 92 (подразделение по ТАРИК 20), 0306 17 99 (подразделение по ТАРИК 10), 0306 35 90 (подразделения по ТАРИК 12, 14, 92 и 93), 0306 36 90 (подразделения по ТАРИК 20 и 30), 1605 21 90 (подразделения по ТАРИК 45, 55 и 62) и 1605 29 00 (подразделения по ТАРИК 50, 55 и 60).</w:t>
      </w:r>
    </w:p>
    <w:p>
      <w:pPr>
        <w:pStyle w:val="Titrearticle"/>
        <w:rPr>
          <w:noProof/>
        </w:rPr>
      </w:pPr>
      <w:r>
        <w:rPr>
          <w:noProof/>
        </w:rPr>
        <w:t>Член 5</w:t>
      </w:r>
    </w:p>
    <w:p>
      <w:pPr>
        <w:rPr>
          <w:i/>
          <w:noProof/>
        </w:rPr>
      </w:pPr>
      <w:r>
        <w:rPr>
          <w:noProof/>
        </w:rPr>
        <w:t xml:space="preserve">Комисията и митническите органи на държавите членки работят в тясно сътрудничество, за да се гарантира правилното управление и контрол на прилагането на настоящия регламент. </w:t>
      </w:r>
    </w:p>
    <w:p>
      <w:pPr>
        <w:pStyle w:val="Titrearticle"/>
        <w:rPr>
          <w:noProof/>
        </w:rPr>
      </w:pPr>
      <w:r>
        <w:rPr>
          <w:noProof/>
        </w:rPr>
        <w:lastRenderedPageBreak/>
        <w:t>Член 6</w:t>
      </w:r>
    </w:p>
    <w:p>
      <w:pPr>
        <w:rPr>
          <w:i/>
          <w:noProof/>
        </w:rPr>
      </w:pPr>
      <w:r>
        <w:rPr>
          <w:noProof/>
        </w:rPr>
        <w:t xml:space="preserve">Настоящият регламент влиза в сила на третия ден след деня на публикуването му в </w:t>
      </w:r>
      <w:r>
        <w:rPr>
          <w:i/>
          <w:iCs/>
          <w:noProof/>
        </w:rPr>
        <w:t>Официален вестник на Европейския съюз</w:t>
      </w:r>
      <w:r>
        <w:rPr>
          <w:noProof/>
        </w:rPr>
        <w:t xml:space="preserve">. </w:t>
      </w:r>
    </w:p>
    <w:p>
      <w:pPr>
        <w:rPr>
          <w:noProof/>
        </w:rPr>
      </w:pPr>
      <w:r>
        <w:rPr>
          <w:noProof/>
        </w:rPr>
        <w:t>Той се прилага от 1 януари 2021 г. до 31 декември 2023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spacing w:before="0" w:after="200" w:line="276" w:lineRule="auto"/>
        <w:jc w:val="left"/>
        <w:rPr>
          <w:i/>
          <w:noProof/>
        </w:rPr>
      </w:pPr>
      <w:r>
        <w:rPr>
          <w:noProof/>
        </w:rPr>
        <w:br w:type="page"/>
      </w:r>
    </w:p>
    <w:p>
      <w:pPr>
        <w:pStyle w:val="Fichefinanciretitre"/>
        <w:rPr>
          <w:noProof/>
        </w:rPr>
      </w:pPr>
      <w:r>
        <w:rPr>
          <w:noProof/>
        </w:rPr>
        <w:lastRenderedPageBreak/>
        <w:t>Законодателна финансова обосновка — „Приходи“</w:t>
      </w:r>
    </w:p>
    <w:p>
      <w:pPr>
        <w:pStyle w:val="ManualHeading1"/>
        <w:rPr>
          <w:bCs/>
          <w:noProof/>
          <w:szCs w:val="24"/>
        </w:rPr>
      </w:pPr>
      <w:r>
        <w:t>1.</w:t>
      </w:r>
      <w:r>
        <w:tab/>
      </w:r>
      <w:r>
        <w:rPr>
          <w:noProof/>
        </w:rPr>
        <w:t>НАИМЕНОВАНИЕ НА ПРЕДЛОЖЕНИЕТО:</w:t>
      </w:r>
    </w:p>
    <w:p>
      <w:pPr>
        <w:pStyle w:val="Text1"/>
        <w:rPr>
          <w:noProof/>
        </w:rPr>
      </w:pPr>
      <w:r>
        <w:rPr>
          <w:noProof/>
        </w:rPr>
        <w:t>Предложение за Регламент на Съвета за откриване и управление на автономни тарифни квоти на Съюза за определени продукти от риболов за периода 2021—2023 година.</w:t>
      </w:r>
    </w:p>
    <w:p>
      <w:pPr>
        <w:pStyle w:val="ManualHeading1"/>
        <w:rPr>
          <w:bCs/>
          <w:noProof/>
          <w:szCs w:val="24"/>
        </w:rPr>
      </w:pPr>
      <w:r>
        <w:t>2.</w:t>
      </w:r>
      <w:r>
        <w:tab/>
      </w:r>
      <w:r>
        <w:rPr>
          <w:noProof/>
        </w:rPr>
        <w:t>БЮДЖЕТНИ РЕДОВЕ:</w:t>
      </w:r>
    </w:p>
    <w:p>
      <w:pPr>
        <w:pStyle w:val="Text1"/>
        <w:rPr>
          <w:noProof/>
        </w:rPr>
      </w:pPr>
      <w:r>
        <w:rPr>
          <w:noProof/>
        </w:rPr>
        <w:t>Глава и статия: глава 1 2, статия 1 2 0</w:t>
      </w:r>
    </w:p>
    <w:p>
      <w:pPr>
        <w:pStyle w:val="ManualHeading1"/>
        <w:rPr>
          <w:bCs/>
          <w:noProof/>
          <w:szCs w:val="24"/>
        </w:rPr>
      </w:pPr>
      <w:r>
        <w:t>3.</w:t>
      </w:r>
      <w:r>
        <w:tab/>
      </w:r>
      <w:r>
        <w:rPr>
          <w:noProof/>
        </w:rPr>
        <w:t>ФИНАНСОВО ОТРАЖЕНИЕ</w:t>
      </w:r>
    </w:p>
    <w:p>
      <w:pPr>
        <w:pStyle w:val="Text1"/>
        <w:ind w:firstLine="360"/>
        <w:rPr>
          <w:noProof/>
        </w:rPr>
      </w:pPr>
      <w:r>
        <w:rPr>
          <w:noProof/>
        </w:rPr>
        <w:sym w:font="Wingdings" w:char="F0A8"/>
      </w:r>
      <w:r>
        <w:rPr>
          <w:noProof/>
        </w:rPr>
        <w:t xml:space="preserve">  Предложението няма финансово отражение</w:t>
      </w:r>
    </w:p>
    <w:p>
      <w:pPr>
        <w:pStyle w:val="Text1"/>
        <w:rPr>
          <w:noProof/>
        </w:rPr>
      </w:pPr>
      <w:r>
        <w:rPr>
          <w:noProof/>
        </w:rPr>
        <w:t xml:space="preserve">Предложението няма финансово отражение върху разходите, но има финансово отражение върху приходите. </w:t>
      </w:r>
    </w:p>
    <w:p>
      <w:pPr>
        <w:jc w:val="right"/>
        <w:rPr>
          <w:noProof/>
        </w:rPr>
      </w:pPr>
      <w:r>
        <w:rPr>
          <w:noProof/>
        </w:rPr>
        <w:t xml:space="preserve"> в млн. евро (до първия знак след десетичната запетая</w:t>
      </w:r>
      <w:r>
        <w:rPr>
          <w:rStyle w:val="FootnoteReference"/>
          <w:noProof/>
        </w:rPr>
        <w:footnoteReference w:id="5"/>
      </w:r>
      <w:r>
        <w:rPr>
          <w:noProof/>
        </w:rPr>
        <w:t>)</w:t>
      </w:r>
    </w:p>
    <w:tbl>
      <w:tblPr>
        <w:tblW w:w="88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25"/>
        <w:gridCol w:w="2333"/>
        <w:gridCol w:w="2410"/>
        <w:gridCol w:w="2410"/>
      </w:tblGrid>
      <w:tr>
        <w:trPr>
          <w:cantSplit/>
        </w:trPr>
        <w:tc>
          <w:tcPr>
            <w:tcW w:w="1725" w:type="dxa"/>
          </w:tcPr>
          <w:p>
            <w:pPr>
              <w:rPr>
                <w:noProof/>
              </w:rPr>
            </w:pPr>
            <w:r>
              <w:rPr>
                <w:noProof/>
                <w:sz w:val="22"/>
              </w:rPr>
              <w:t>Приходен бюджетен ред</w:t>
            </w:r>
            <w:r>
              <w:rPr>
                <w:rStyle w:val="FootnoteReference"/>
                <w:noProof/>
                <w:sz w:val="22"/>
              </w:rPr>
              <w:footnoteReference w:id="6"/>
            </w:r>
          </w:p>
        </w:tc>
        <w:tc>
          <w:tcPr>
            <w:tcW w:w="2333" w:type="dxa"/>
          </w:tcPr>
          <w:p>
            <w:pPr>
              <w:jc w:val="center"/>
              <w:rPr>
                <w:noProof/>
              </w:rPr>
            </w:pPr>
            <w:r>
              <w:rPr>
                <w:noProof/>
                <w:sz w:val="22"/>
              </w:rPr>
              <w:t>Година N</w:t>
            </w:r>
          </w:p>
        </w:tc>
        <w:tc>
          <w:tcPr>
            <w:tcW w:w="2410" w:type="dxa"/>
          </w:tcPr>
          <w:p>
            <w:pPr>
              <w:jc w:val="center"/>
              <w:rPr>
                <w:noProof/>
              </w:rPr>
            </w:pPr>
            <w:r>
              <w:rPr>
                <w:noProof/>
                <w:snapToGrid w:val="0"/>
                <w:sz w:val="22"/>
              </w:rPr>
              <w:t>Година N+1</w:t>
            </w:r>
          </w:p>
        </w:tc>
        <w:tc>
          <w:tcPr>
            <w:tcW w:w="2410" w:type="dxa"/>
          </w:tcPr>
          <w:p>
            <w:pPr>
              <w:jc w:val="center"/>
              <w:rPr>
                <w:noProof/>
                <w:snapToGrid w:val="0"/>
                <w:sz w:val="22"/>
              </w:rPr>
            </w:pPr>
            <w:r>
              <w:rPr>
                <w:noProof/>
                <w:snapToGrid w:val="0"/>
                <w:sz w:val="22"/>
              </w:rPr>
              <w:t>Година N+2</w:t>
            </w:r>
          </w:p>
        </w:tc>
      </w:tr>
      <w:tr>
        <w:trPr>
          <w:cantSplit/>
        </w:trPr>
        <w:tc>
          <w:tcPr>
            <w:tcW w:w="1725" w:type="dxa"/>
            <w:shd w:val="clear" w:color="auto" w:fill="auto"/>
          </w:tcPr>
          <w:p>
            <w:pPr>
              <w:rPr>
                <w:noProof/>
              </w:rPr>
            </w:pPr>
            <w:r>
              <w:rPr>
                <w:noProof/>
              </w:rPr>
              <w:t>Статия 1.2.0</w:t>
            </w:r>
          </w:p>
        </w:tc>
        <w:tc>
          <w:tcPr>
            <w:tcW w:w="2333" w:type="dxa"/>
          </w:tcPr>
          <w:p>
            <w:pPr>
              <w:jc w:val="center"/>
              <w:rPr>
                <w:noProof/>
              </w:rPr>
            </w:pPr>
            <w:r>
              <w:rPr>
                <w:noProof/>
              </w:rPr>
              <w:t>219.2</w:t>
            </w:r>
          </w:p>
        </w:tc>
        <w:tc>
          <w:tcPr>
            <w:tcW w:w="2410" w:type="dxa"/>
            <w:shd w:val="clear" w:color="auto" w:fill="auto"/>
          </w:tcPr>
          <w:p>
            <w:pPr>
              <w:jc w:val="center"/>
              <w:rPr>
                <w:noProof/>
              </w:rPr>
            </w:pPr>
            <w:r>
              <w:rPr>
                <w:noProof/>
              </w:rPr>
              <w:t>219.2</w:t>
            </w:r>
          </w:p>
        </w:tc>
        <w:tc>
          <w:tcPr>
            <w:tcW w:w="2410" w:type="dxa"/>
          </w:tcPr>
          <w:p>
            <w:pPr>
              <w:jc w:val="center"/>
              <w:rPr>
                <w:noProof/>
              </w:rPr>
            </w:pPr>
            <w:r>
              <w:rPr>
                <w:noProof/>
              </w:rPr>
              <w:t>219.2</w:t>
            </w:r>
          </w:p>
        </w:tc>
      </w:tr>
    </w:tbl>
    <w:p>
      <w:pPr>
        <w:rPr>
          <w:noProof/>
        </w:rPr>
      </w:pPr>
    </w:p>
    <w:p>
      <w:pPr>
        <w:pStyle w:val="ManualHeading1"/>
        <w:rPr>
          <w:bCs/>
          <w:noProof/>
          <w:szCs w:val="24"/>
        </w:rPr>
      </w:pPr>
      <w:r>
        <w:t>4.</w:t>
      </w:r>
      <w:r>
        <w:tab/>
      </w:r>
      <w:r>
        <w:rPr>
          <w:noProof/>
        </w:rPr>
        <w:t>МЕРКИ ЗА БОРБА С ИЗМАМИТЕ</w:t>
      </w:r>
    </w:p>
    <w:p>
      <w:pPr>
        <w:pStyle w:val="Text1"/>
        <w:rPr>
          <w:noProof/>
        </w:rPr>
      </w:pPr>
      <w:r>
        <w:rPr>
          <w:noProof/>
        </w:rPr>
        <w:t>В съответствие с член 254 от Регламент (ЕС) № 952/2013 за определяне на разпоредби за прилагане на Митническия кодекс на Общността ще се извършват проверки на крайната употреба на някои от продуктите, обхванати от настоящия регламент на Съвета.</w:t>
      </w:r>
    </w:p>
    <w:p>
      <w:pPr>
        <w:pStyle w:val="ManualHeading1"/>
        <w:rPr>
          <w:bCs/>
          <w:noProof/>
          <w:kern w:val="32"/>
          <w:szCs w:val="24"/>
        </w:rPr>
      </w:pPr>
      <w:r>
        <w:t>5.</w:t>
      </w:r>
      <w:r>
        <w:tab/>
      </w:r>
      <w:r>
        <w:rPr>
          <w:noProof/>
        </w:rPr>
        <w:t>ДРУГИ ЗАБЕЛЕЖКИ</w:t>
      </w:r>
    </w:p>
    <w:p>
      <w:pPr>
        <w:pStyle w:val="Text1"/>
        <w:rPr>
          <w:noProof/>
        </w:rPr>
      </w:pPr>
      <w:r>
        <w:rPr>
          <w:noProof/>
        </w:rPr>
        <w:t xml:space="preserve">Основната част от въздействието на регламента се заключава в загубата на приходи за Европейския съюз. Въз основа на най-актуалните пълни статистически данни (2018 г.) въздействието на произтичащата от настоящия регламент загуба на приходи може да бъде оценено на 219,2 млн. евро за първата година от тригодишния период, започващ през 2021 г. </w:t>
      </w:r>
    </w:p>
    <w:p>
      <w:pPr>
        <w:pStyle w:val="Text1"/>
        <w:rPr>
          <w:noProof/>
        </w:rPr>
      </w:pPr>
      <w:r>
        <w:rPr>
          <w:noProof/>
        </w:rPr>
        <w:t xml:space="preserve">Посочената сума е изчислена въз основа на митническите ставки за най-облагодетелствана нация, пълното използване на квотите, средната цена (в евро) на тон и факта, че 80 % от митата са включени в бюджета на ЕС (219,2 млн. евро = 80 % от 274,0 млн. евро). Тя съответно отразява максималното равнище на загуба на приходи, тъй като Общността предоставя по-благоприятни търговски преференции на различни групи трети държави (ОСП, ОСП+, споразумения за свободна търговия). </w:t>
      </w:r>
    </w:p>
    <w:p>
      <w:pPr>
        <w:pStyle w:val="Text1"/>
        <w:rPr>
          <w:noProof/>
        </w:rPr>
      </w:pPr>
      <w:r>
        <w:rPr>
          <w:noProof/>
        </w:rPr>
        <w:t>Следователно реалната загуба на приходи вероятно ще бъде по-малка, тъй като митата за най-облагодетелствана нация не се прилагат за цялата гама продукти.</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r>
        <w:rPr>
          <w:rStyle w:val="FootnoteReference"/>
        </w:rPr>
        <w:footnoteRef/>
      </w:r>
      <w:r>
        <w:tab/>
        <w:t>Регламент (ЕС) 2018/1977 на Съвета от 11 декември 2018 г. за откриване и управление на автономните тарифни квоти на Съюза за определени продукти от риболов за периода 2019—2020 година (ОВ L 317, 14.12.2018 г., стр. 2).</w:t>
      </w:r>
    </w:p>
  </w:footnote>
  <w:footnote w:id="2">
    <w:p>
      <w:r>
        <w:rPr>
          <w:rStyle w:val="FootnoteReference"/>
        </w:rPr>
        <w:footnoteRef/>
      </w:r>
      <w:r>
        <w:tab/>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footnote>
  <w:footnote w:id="3">
    <w:p>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 w:id="4">
    <w:p>
      <w:pPr>
        <w:pStyle w:val="FootnoteText"/>
        <w:rPr>
          <w:sz w:val="24"/>
          <w:szCs w:val="24"/>
        </w:rPr>
      </w:pPr>
      <w:r>
        <w:rPr>
          <w:rStyle w:val="FootnoteReference"/>
        </w:rPr>
        <w:footnoteRef/>
      </w:r>
      <w:r>
        <w:tab/>
        <w:t>Регламент (ЕО) № 1333/2008 на Европейския парламент и на Съвета от 16 декември 2008 г. относно добавките в храните (ОВ L 354, 31.12.2008 г., стр. 16).</w:t>
      </w:r>
    </w:p>
  </w:footnote>
  <w:footnote w:id="5">
    <w:p>
      <w:pPr>
        <w:pStyle w:val="FootnoteText"/>
      </w:pPr>
      <w:r>
        <w:rPr>
          <w:rStyle w:val="FootnoteReference"/>
        </w:rPr>
        <w:footnoteRef/>
      </w:r>
      <w:r>
        <w:tab/>
        <w:t>Годишните суми се прогнозират въз основа на формулата в раздел 5, като това се указва в бележка под линия — например „ориентировъчна сума въз основа на договорената формула“. За началната година годишната сума обикновено се изплаща, без да се прилага намаление или пропорционално плащане.</w:t>
      </w:r>
    </w:p>
  </w:footnote>
  <w:footnote w:id="6">
    <w:p>
      <w:pPr>
        <w:pStyle w:val="FootnoteText"/>
      </w:pPr>
      <w:r>
        <w:rPr>
          <w:rStyle w:val="FootnoteReference"/>
        </w:rPr>
        <w:footnoteRef/>
      </w:r>
      <w:r>
        <w:tab/>
        <w:t xml:space="preserve">По отношение на традиционните собствени ресурси (селскостопански мита, налози върху захарта, мита) посочените суми трябва да бъдат нетни, т.е. брутни суми, от които са приспаднати 20 % за разходи по събирането.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A2B7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4021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904B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40E10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F85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AC6A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958B76E"/>
    <w:lvl w:ilvl="0">
      <w:start w:val="1"/>
      <w:numFmt w:val="decimal"/>
      <w:pStyle w:val="ListNumber"/>
      <w:lvlText w:val="%1."/>
      <w:lvlJc w:val="left"/>
      <w:pPr>
        <w:tabs>
          <w:tab w:val="num" w:pos="360"/>
        </w:tabs>
        <w:ind w:left="360" w:hanging="360"/>
      </w:pPr>
    </w:lvl>
  </w:abstractNum>
  <w:abstractNum w:abstractNumId="7">
    <w:nsid w:val="FFFFFF89"/>
    <w:multiLevelType w:val="singleLevel"/>
    <w:tmpl w:val="F6360B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3 19:47: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AE8EDB4B-F6D8-4B53-8B9B-CA77E1B3CFC8"/>
    <w:docVar w:name="LW_COVERPAGE_TYPE" w:val="1"/>
    <w:docVar w:name="LW_CROSSREFERENCE" w:val="&lt;UNUSED&gt;"/>
    <w:docVar w:name="LW_DocType" w:val="COM"/>
    <w:docVar w:name="LW_EMISSION" w:val="14.7.2020"/>
    <w:docVar w:name="LW_EMISSION_ISODATE" w:val="2020-07-14"/>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4"/>
    <w:docVar w:name="LW_REF.II.NEW.CP_YEAR" w:val="2020"/>
    <w:docVar w:name="LW_REF.INST.NEW" w:val="COM"/>
    <w:docVar w:name="LW_REF.INST.NEW_ADOPTED" w:val="final"/>
    <w:docVar w:name="LW_REF.INST.NEW_TEXT" w:val="(2020)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90?\u1082?\u1088?\u1080?\u1074?\u1072?\u1085?\u1077? \u1080? \u1091?\u1087?\u1088?\u1072?\u1074?\u1083?\u1077?\u1085?\u1080?\u1077? \u1085?\u1072? \u1072?\u1074?\u1090?\u1086?\u1085?\u1086?\u1084?\u1085?\u1080? \u1090?\u1072?\u1088?\u1080?\u1092?\u1085?\u1080? \u1082?\u1074?\u1086?\u1090?\u1080? \u1085?\u1072? \u1057?\u1098?\u1102?\u1079?\u1072? \u1079?\u1072? \u1086?\u1087?\u1088?\u1077?\u1076?\u1077?\u1083?\u1077?\u1085?\u1080? \u1087?\u1088?\u1086?\u1076?\u1091?\u1082?\u1090?\u1080? \u1086?\u1090? \u1088?\u1080?\u1073?\u1086?\u1083?\u1086?\u1074? \u1079?\u1072? \u1087?\u1077?\u1088?\u1080?\u1086?\u1076?\u1072? 2021\u8212?2023 \u1075?\u1086?\u1076?\u1080?\u1085?\u1072?"/>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781">
      <w:bodyDiv w:val="1"/>
      <w:marLeft w:val="0"/>
      <w:marRight w:val="0"/>
      <w:marTop w:val="0"/>
      <w:marBottom w:val="0"/>
      <w:divBdr>
        <w:top w:val="none" w:sz="0" w:space="0" w:color="auto"/>
        <w:left w:val="none" w:sz="0" w:space="0" w:color="auto"/>
        <w:bottom w:val="none" w:sz="0" w:space="0" w:color="auto"/>
        <w:right w:val="none" w:sz="0" w:space="0" w:color="auto"/>
      </w:divBdr>
    </w:div>
    <w:div w:id="1221281137">
      <w:bodyDiv w:val="1"/>
      <w:marLeft w:val="0"/>
      <w:marRight w:val="0"/>
      <w:marTop w:val="0"/>
      <w:marBottom w:val="0"/>
      <w:divBdr>
        <w:top w:val="none" w:sz="0" w:space="0" w:color="auto"/>
        <w:left w:val="none" w:sz="0" w:space="0" w:color="auto"/>
        <w:bottom w:val="none" w:sz="0" w:space="0" w:color="auto"/>
        <w:right w:val="none" w:sz="0" w:space="0" w:color="auto"/>
      </w:divBdr>
    </w:div>
    <w:div w:id="1795098638">
      <w:bodyDiv w:val="1"/>
      <w:marLeft w:val="0"/>
      <w:marRight w:val="0"/>
      <w:marTop w:val="0"/>
      <w:marBottom w:val="0"/>
      <w:divBdr>
        <w:top w:val="none" w:sz="0" w:space="0" w:color="auto"/>
        <w:left w:val="none" w:sz="0" w:space="0" w:color="auto"/>
        <w:bottom w:val="none" w:sz="0" w:space="0" w:color="auto"/>
        <w:right w:val="none" w:sz="0" w:space="0" w:color="auto"/>
      </w:divBdr>
    </w:div>
    <w:div w:id="19502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379AA0E-0C16-4897-ADE7-6A2BB060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1978</Words>
  <Characters>11257</Characters>
  <Application>Microsoft Office Word</Application>
  <DocSecurity>0</DocSecurity>
  <Lines>255</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2020-07-13T12:05:00Z</dcterms:created>
  <dcterms:modified xsi:type="dcterms:W3CDTF">2020-07-13T17:47:00Z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