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113DC62-3612-41EC-8F3E-79A289E101B5"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Целта на предложението е в правото на ЕС да се транспонират мерките за контрол, опазване и управление, приети от Междуамериканската комисия за тропическа риба тон (IATTC), по която Европейският съюз (ЕС) е договаряща страна от 2006 г. насам. IATTC е регионалната организация за управление на рибарството (РОУР), отговаряща за управлението на ресурсите от риба тон и тоноподобни видове в източната част на Тихия океан, която е учредена по силата на Конвенцията за укрепване на Междуамериканската комисия за тропическа риба тон, създадена от Конвенцията между Съединените американски щати и Република Коста Рика от 1949 г. (Конвенцията IATTC). ЕС има средно три кораба с мрежи гъргър и над тридесет кораба с парагади, които осъществяват дейност в зоната на Конвенцията IATTC. Основните целеви запаси за флота на ЕС са тропическата риба тон и рибата меч.</w:t>
      </w:r>
    </w:p>
    <w:p>
      <w:pPr>
        <w:rPr>
          <w:noProof/>
        </w:rPr>
      </w:pPr>
      <w:r>
        <w:rPr>
          <w:noProof/>
        </w:rPr>
        <w:t xml:space="preserve">Всички договарящи страни по Конвенцията IATTC са членове на IATTC. IATTC приема с консенсус мерки за опазване и управление (резолюции) в съответствие с член IX, параграф 7 от Конвенцията IATTC. От името на ЕС Комисията изготвя насоки за водене на преговори въз основа на петгодишен мандат, определен с решение на Съвета, както и въз основа на научни становища. В съответствие с мандата тези насоки се представят, обсъждат и одобряват в рамките на работната група на Съвета на координационните срещи с държавите членки, провеждани по време на годишните заседания на IATTC, и се изменят допълнително, за да се вземат под внимание обстоятелствата, настъпващи в реално време. </w:t>
      </w:r>
    </w:p>
    <w:p>
      <w:pPr>
        <w:rPr>
          <w:noProof/>
        </w:rPr>
      </w:pPr>
      <w:r>
        <w:rPr>
          <w:noProof/>
        </w:rPr>
        <w:t xml:space="preserve">В Конвенцията IATTC се посочва, че резолюциите, приети от IATTC, са задължителни (член IX, параграф 7) и че договарящите страни предприемат необходимите мерки, за да се гарантират прилагането и спазването както на разпоредбите на конвенцията, така и всички мерки за опазване и управление, приети в съответствие с нея, включително приемането на необходимите законови и подзаконови актове (член XVIII, параграф 1). Въпреки че резолюциите на IATTC са насочени главно към договарящите страни по Конвенцията IATTC, те налагат задължения и на операторите (например капитаните на кораби). </w:t>
      </w:r>
    </w:p>
    <w:p>
      <w:pPr>
        <w:rPr>
          <w:noProof/>
        </w:rPr>
      </w:pPr>
      <w:r>
        <w:rPr>
          <w:noProof/>
        </w:rPr>
        <w:t>Приемането на нови мерки и изменението на съществуващите мерки се извършва по време на годишните заседания на IATTC. Мерките влизат в сила като резолюции на IATTC четиридесет и пет дни след приемането им и след като изпълнителният секретар на IATTC изпрати уведомление до договарящите страни за тези мерки. След годишното заседание Комисията информира Съвета за мерките, приети от IATTC, както и за планираната дата на тяхното влизане в сила. В член 3, параграф 5 от Договора за Европейския съюз се предвижда, че ЕС трябва да спазва стриктно международното право, като това задължение включва прилагането на резолюциите на IATTC.</w:t>
      </w:r>
    </w:p>
    <w:p>
      <w:pPr>
        <w:rPr>
          <w:noProof/>
        </w:rPr>
      </w:pPr>
      <w:r>
        <w:rPr>
          <w:noProof/>
        </w:rPr>
        <w:t xml:space="preserve">Настоящото предложение се отнася до мерките, приети от IATTC от 2008 г. насам. Резолюциите на IATTC могат да бъдат изменяни ежегодно на годишните заседания на IATTC. Историческият преглед показва, че заедно с приемането на нови резолюции на тези заседания могат също така да бъдат изменяни всички части на съществуващите резолюции на IATTC. ЕС има отговорността да гарантира спазването на мерките в качеството им на международни задължения веднага след тяхното влизане в сила. Следователно целта на настоящото предложение е в правото на ЕС да се транспонират </w:t>
      </w:r>
      <w:r>
        <w:rPr>
          <w:noProof/>
        </w:rPr>
        <w:lastRenderedPageBreak/>
        <w:t xml:space="preserve">съществуващите резолюции на IATTC, като в него също така е включен механизъм, улесняващ прилагането на мерките на IATTC в бъдеще. </w:t>
      </w:r>
    </w:p>
    <w:p>
      <w:pPr>
        <w:rPr>
          <w:noProof/>
        </w:rPr>
      </w:pPr>
      <w:r>
        <w:rPr>
          <w:noProof/>
        </w:rPr>
        <w:t>Като цяло законодателният процес, необходим за транспониране в правото на ЕС на приетите от РОУР мерки за опазване и управление, продължава средно 18 месеца от изготвянето на първия проект на предложение на Комисията до приемането на окончателния акт от Съвета и от Европейския парламент. Делегираните правомощия гарантират, че при спазване на указанията, предоставени от съзаконодателя, Съюзът е в състояние своевременно да транспонира в правото си приетите мерки за опазване, които биха донесли ползи за неговия флот, биха стимулирали еднаквите условия на конкуренция и биха осигурили допълнителна подкрепа за дългосрочно устойчиво управление на запасите. В настоящото предложение е предвидено предоставяне на делегирани правомощия на Комисията в съответствие с член 290 от Договора за функционирането на Европейския съюз (ДФЕС) във връзка с очакваните чести изменения на мерките и за да се гарантира, че риболовните кораби на Съюза са третират по равностоен начин с корабите на останалите договарящи страни по Конвенцията IATTC по отношение на: техническите спецификации за въдици за акули, формуляра на декларацията за трансбордиране, периодите на забрана, сроковете за докладване на информация от устройствата за привличане на рибата (УПР), разпоредбите относно проектните характеристики и разполагането на УПР, крайните срокове за събиране на данните, зоните и смекчаващите мерки за защита на морските птици, присъствието на научни наблюдатели, информацията, свързана с Регионалния регистър на корабите, препратките към таблицата за предоставяне на данни за корабните дневници и регистрите на разтоварванията, статистическия документ за големоок тон, крайните срокове за докладване и насоките за намаляване на смъртността на морските костенурки.</w:t>
      </w:r>
    </w:p>
    <w:p>
      <w:pPr>
        <w:rPr>
          <w:noProof/>
        </w:rPr>
      </w:pPr>
      <w:r>
        <w:rPr>
          <w:noProof/>
        </w:rPr>
        <w:t>Решението за крайните срокове за докладване, установени в настоящото предложение, е взето въз основа на крайните срокове, посочени в резолюциите на IATTC. Целта е да се гарантира, че ЕС своевременно предоставя своите доклади на IATTC.</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szCs w:val="24"/>
        </w:rPr>
      </w:pPr>
      <w:r>
        <w:rPr>
          <w:noProof/>
        </w:rPr>
        <w:t>Последното транспониране на разпоредбите на някои от резолюциите на IATTC беше извършено с дял IV от Регламент (ЕО) № 520/2007 на Съвета от 7 май 2007 г. за определяне на технически мерки за опазването на определени популации от далекомигриращи видове риба и за отмяна на Регламент (ЕО) № 973/2001.</w:t>
      </w:r>
    </w:p>
    <w:p>
      <w:pPr>
        <w:pBdr>
          <w:top w:val="nil"/>
          <w:left w:val="nil"/>
          <w:bottom w:val="nil"/>
          <w:right w:val="nil"/>
          <w:between w:val="nil"/>
          <w:bar w:val="nil"/>
        </w:pBdr>
        <w:spacing w:before="0" w:after="240"/>
        <w:rPr>
          <w:noProof/>
          <w:szCs w:val="24"/>
        </w:rPr>
      </w:pPr>
      <w:r>
        <w:rPr>
          <w:noProof/>
        </w:rPr>
        <w:t>Следователно от съображения за яснота, опростяване и правна сигурност е за предпочитане Регламент (ЕО) № 520/2007 на Съвета да се измени чрез заличаване на дял IV и да се вземат под внимание промените, които са настъпили след неговото приемане, но все още не са обхванати от правото на ЕС. Резолюциите на IATTC относно периодите на риболов за кораби с мрежи гъргър и ограниченията за УПР са транспонирани в Регламент (ЕС) 2019/124 на Съвета</w:t>
      </w:r>
      <w:r>
        <w:rPr>
          <w:rStyle w:val="FootnoteReference"/>
          <w:noProof/>
          <w:szCs w:val="24"/>
        </w:rPr>
        <w:footnoteReference w:id="1"/>
      </w:r>
      <w:r>
        <w:rPr>
          <w:noProof/>
        </w:rPr>
        <w:t>.</w:t>
      </w:r>
    </w:p>
    <w:p>
      <w:pPr>
        <w:pBdr>
          <w:top w:val="nil"/>
          <w:left w:val="nil"/>
          <w:bottom w:val="nil"/>
          <w:right w:val="nil"/>
          <w:between w:val="nil"/>
          <w:bar w:val="nil"/>
        </w:pBdr>
        <w:spacing w:before="0" w:after="240"/>
        <w:rPr>
          <w:noProof/>
          <w:szCs w:val="24"/>
        </w:rPr>
      </w:pPr>
      <w:r>
        <w:rPr>
          <w:noProof/>
        </w:rPr>
        <w:t xml:space="preserve">Предложението е изцяло в съответствие с част VI (Външна политика) от Регламент (ЕС) № 1380/2013 относно общата политика в областта на рибарството, в която се посочва, че ЕС осъществява своите външни отношения в областта на рибарството в съответствие с международните си задължения, като основава своите риболовни дейности на регионалното сътрудничество в областта на рибарството и </w:t>
      </w:r>
      <w:r>
        <w:rPr>
          <w:noProof/>
        </w:rPr>
        <w:lastRenderedPageBreak/>
        <w:t xml:space="preserve">работи съвместно с Европейската агенция за контрол на рибарството, за да гарантира спазването на приложимите правила. </w:t>
      </w:r>
    </w:p>
    <w:p>
      <w:pPr>
        <w:pBdr>
          <w:top w:val="nil"/>
          <w:left w:val="nil"/>
          <w:bottom w:val="nil"/>
          <w:right w:val="nil"/>
          <w:between w:val="nil"/>
          <w:bar w:val="nil"/>
        </w:pBdr>
        <w:spacing w:before="0" w:after="240"/>
        <w:rPr>
          <w:noProof/>
          <w:szCs w:val="24"/>
        </w:rPr>
      </w:pPr>
      <w:r>
        <w:rPr>
          <w:noProof/>
        </w:rPr>
        <w:t xml:space="preserve">Предложението допълва Регламент (ЕС) 2017/2403 относно управлението на външните риболовни флотове, в който се посочва, че за риболовните кораби на Съюза се прилагат редица разрешения за риболов на РОУР при условията и правилата, определени от съответните РОУР и в Регламент (ЕО) № 1005/2008 на Съвета относно незаконния, недеклариран и нерегулиран риболов.  </w:t>
      </w:r>
    </w:p>
    <w:p>
      <w:pPr>
        <w:pBdr>
          <w:top w:val="nil"/>
          <w:left w:val="nil"/>
          <w:bottom w:val="nil"/>
          <w:right w:val="nil"/>
          <w:between w:val="nil"/>
          <w:bar w:val="nil"/>
        </w:pBdr>
        <w:spacing w:before="0" w:after="240"/>
        <w:rPr>
          <w:noProof/>
          <w:szCs w:val="24"/>
        </w:rPr>
      </w:pPr>
      <w:r>
        <w:rPr>
          <w:noProof/>
        </w:rPr>
        <w:t xml:space="preserve">Настоящото предложение не обхваща възможностите за риболов за ЕС, определени от IATTC. Съгласно член 43, параграф 3 от ДФЕС правомощието да приема мерки за определяне на цените, налозите, помощите и количествените ограничения, както и за определянето и разпределянето на възможностите за риболов, принадлежи на Съвета.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szCs w:val="24"/>
        </w:rPr>
      </w:pPr>
      <w:r>
        <w:rPr>
          <w:noProof/>
        </w:rPr>
        <w:t>Не се прилага.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szCs w:val="24"/>
        </w:rPr>
      </w:pPr>
      <w:r>
        <w:rPr>
          <w:noProof/>
        </w:rPr>
        <w:t>Предложението се основава на член 43, параграф 2 от ДФЕС, тъй като с него се установяват разпоредби, необходими за постигането на целите на общата политика в областта на рибарството.</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szCs w:val="24"/>
        </w:rPr>
      </w:pPr>
      <w:r>
        <w:rPr>
          <w:noProof/>
        </w:rPr>
        <w:t>Предложението попада в обхвата на изключителната компетентност на Съюза (член 3, параграф 1, буква г) от ДФЕС).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szCs w:val="24"/>
        </w:rPr>
      </w:pPr>
      <w:r>
        <w:rPr>
          <w:noProof/>
        </w:rPr>
        <w:t>С предложението ще се гарантира, че правото на Съюза е в съответствие с международните му задължения, приети от IATTC, и че Съюзът спазва решенията на РОУР, по които той е договаряща страна. С предложението се осигурява транспониране на посочените задължения, без да се надхвърля необходимото за постигане на заложената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szCs w:val="24"/>
        </w:rPr>
      </w:pPr>
      <w:r>
        <w:rPr>
          <w:noProof/>
        </w:rPr>
        <w:t>Избраният инструмент е регламент на Европейския парламент и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szCs w:val="24"/>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е да се транспонират и приложат съществуващите мерки на IATTC, които са задължителни за договарящите страни. Както по време на </w:t>
      </w:r>
      <w:r>
        <w:rPr>
          <w:noProof/>
        </w:rPr>
        <w:lastRenderedPageBreak/>
        <w:t xml:space="preserve">подготовката на заседанията на IATTC, на които бяха приети тези резолюции, така и по време на преговорите, проведени на годишното заседание на IATTC, бяха осъществени консултации с държавите членки, промишлеността и гражданското общество от целия ЕС. Поради това не беше счетено за необходимо да се организира консултация със заинтересованите страни във връзка с настоящото предложение за регламент.  </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szCs w:val="24"/>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szCs w:val="24"/>
        </w:rPr>
      </w:pPr>
      <w:r>
        <w:rPr>
          <w:noProof/>
        </w:rPr>
        <w:t>Не се прилага. Настоящото предложение се отнася до изпълнението на препоръка, която е директно приложима за държавите членки.</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szCs w:val="24"/>
        </w:rPr>
      </w:pPr>
      <w:r>
        <w:rPr>
          <w:noProof/>
        </w:rPr>
        <w:t>Настоящото предложение не е свързано с Програмата за пригодност и резултатност на регулаторната рамка (REFIT).</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szCs w:val="24"/>
        </w:rPr>
      </w:pPr>
      <w:r>
        <w:rPr>
          <w:noProof/>
        </w:rPr>
        <w:t>Настоящото предложение не оказва въздействие върху защитата на основните права на гражданите.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szCs w:val="24"/>
        </w:rPr>
      </w:pPr>
      <w:r>
        <w:rPr>
          <w:noProof/>
        </w:rPr>
        <w:t>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szCs w:val="24"/>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szCs w:val="24"/>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szCs w:val="24"/>
        </w:rPr>
      </w:pPr>
      <w:r>
        <w:rPr>
          <w:noProof/>
        </w:rPr>
        <w:t>Глава I съдържа общи разпоредби относно предмета, приложното поле и целта на предложението, както и приложимите определения. Настоящият регламент се прилага по отношение на корабите на ЕС, които извършват риболов в зоната, обхваната от Конвенцията IATTC.</w:t>
      </w:r>
    </w:p>
    <w:p>
      <w:pPr>
        <w:pBdr>
          <w:top w:val="nil"/>
          <w:left w:val="nil"/>
          <w:bottom w:val="nil"/>
          <w:right w:val="nil"/>
          <w:between w:val="nil"/>
          <w:bar w:val="nil"/>
        </w:pBdr>
        <w:spacing w:before="0" w:after="240"/>
        <w:rPr>
          <w:noProof/>
          <w:szCs w:val="24"/>
        </w:rPr>
      </w:pPr>
      <w:r>
        <w:rPr>
          <w:noProof/>
        </w:rPr>
        <w:t>Глава II се отнася до мерките за опазване и управление, включително разпоредбите относно корабите с мрежи гъргър, които извършват риболов на тропическа риба тон, забраната за риболов с помощта на измервателни буйове, разпоредбите относно риболова в близост до УПР, разполагането и проектните характеристики на УПР и набора от правила за трансбордиране в пристанище.</w:t>
      </w:r>
    </w:p>
    <w:p>
      <w:pPr>
        <w:pBdr>
          <w:top w:val="nil"/>
          <w:left w:val="nil"/>
          <w:bottom w:val="nil"/>
          <w:right w:val="nil"/>
          <w:between w:val="nil"/>
          <w:bar w:val="nil"/>
        </w:pBdr>
        <w:spacing w:before="0" w:after="240"/>
        <w:rPr>
          <w:noProof/>
          <w:szCs w:val="24"/>
        </w:rPr>
      </w:pPr>
      <w:r>
        <w:rPr>
          <w:noProof/>
        </w:rPr>
        <w:t xml:space="preserve">В глава III се определят мерките, предназначени за защита на определени морски видове в зоната, обхваната от Конвенцията IATTC, като например дългокрила акула, копринена акула и акула чук, както и скатове от сем. </w:t>
      </w:r>
      <w:r>
        <w:rPr>
          <w:i/>
          <w:noProof/>
        </w:rPr>
        <w:t>Mobulidae</w:t>
      </w:r>
      <w:r>
        <w:rPr>
          <w:noProof/>
        </w:rPr>
        <w:t xml:space="preserve">. Тези мерки включват </w:t>
      </w:r>
      <w:r>
        <w:rPr>
          <w:noProof/>
        </w:rPr>
        <w:lastRenderedPageBreak/>
        <w:t>задължения за предоставяне на данни и освобождаване, както и мерки, свързани със защитата на морските костенурки и морските птици.</w:t>
      </w:r>
    </w:p>
    <w:p>
      <w:pPr>
        <w:pBdr>
          <w:top w:val="nil"/>
          <w:left w:val="nil"/>
          <w:bottom w:val="nil"/>
          <w:right w:val="nil"/>
          <w:between w:val="nil"/>
          <w:bar w:val="nil"/>
        </w:pBdr>
        <w:spacing w:before="0" w:after="240"/>
        <w:rPr>
          <w:noProof/>
          <w:szCs w:val="24"/>
        </w:rPr>
      </w:pPr>
      <w:r>
        <w:rPr>
          <w:noProof/>
        </w:rPr>
        <w:t xml:space="preserve">Глава IV съдържа разпоредби относно схемата за наблюдение на IATTC, включително правила относно обхвата на програмата за наблюдение и общите задължения и задълженията за докладване на наблюдателите. </w:t>
      </w:r>
    </w:p>
    <w:p>
      <w:pPr>
        <w:pBdr>
          <w:top w:val="nil"/>
          <w:left w:val="nil"/>
          <w:bottom w:val="nil"/>
          <w:right w:val="nil"/>
          <w:between w:val="nil"/>
          <w:bar w:val="nil"/>
        </w:pBdr>
        <w:spacing w:before="0" w:after="240"/>
        <w:rPr>
          <w:noProof/>
          <w:szCs w:val="24"/>
        </w:rPr>
      </w:pPr>
      <w:r>
        <w:rPr>
          <w:noProof/>
        </w:rPr>
        <w:t>В глава V се определят изисквания за корабите, включително изисквания във връзка с Регионалния регистър на корабите на IATTC, задълженията за докладване и протокола за запечатване на рибните резервоари.</w:t>
      </w:r>
    </w:p>
    <w:p>
      <w:pPr>
        <w:pBdr>
          <w:top w:val="nil"/>
          <w:left w:val="nil"/>
          <w:bottom w:val="nil"/>
          <w:right w:val="nil"/>
          <w:between w:val="nil"/>
          <w:bar w:val="nil"/>
        </w:pBdr>
        <w:spacing w:before="0" w:after="240"/>
        <w:rPr>
          <w:noProof/>
          <w:szCs w:val="24"/>
        </w:rPr>
      </w:pPr>
      <w:r>
        <w:rPr>
          <w:noProof/>
        </w:rPr>
        <w:t>Глава VI съдържа информация относно задълженията за докладване, свързани с програмата за статистически данни, и изискванията по програмата за документация за големоок тон.</w:t>
      </w:r>
    </w:p>
    <w:p>
      <w:pPr>
        <w:pBdr>
          <w:top w:val="nil"/>
          <w:left w:val="nil"/>
          <w:bottom w:val="nil"/>
          <w:right w:val="nil"/>
          <w:between w:val="nil"/>
          <w:bar w:val="nil"/>
        </w:pBdr>
        <w:spacing w:before="0" w:after="240"/>
        <w:rPr>
          <w:noProof/>
          <w:szCs w:val="24"/>
        </w:rPr>
      </w:pPr>
      <w:r>
        <w:rPr>
          <w:noProof/>
        </w:rPr>
        <w:t>Глава VII съдържа заключителни разпоредби, включително относно поверителността на електронните доклади и съобщения, процедурата за внасяне на изменения, делегираните правомощия и измененията в съществуващото законодателство на ЕС.</w:t>
      </w:r>
    </w:p>
    <w:p>
      <w:pPr>
        <w:pBdr>
          <w:top w:val="nil"/>
          <w:left w:val="nil"/>
          <w:bottom w:val="nil"/>
          <w:right w:val="nil"/>
          <w:between w:val="nil"/>
          <w:bar w:val="nil"/>
        </w:pBdr>
        <w:spacing w:before="0" w:after="240"/>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2020/0139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определяне на мерки за управление, опазване и контрол, приложими в зоната на Конвенцията за укрепване на Междуамериканската комисия за тропическа риба тон, и за изменение на Регламент (ЕС) № 520/2007 на Съвета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Целта на общата политика в областта на рибарството, определена в Регламент (ЕС) № 1380/2013 на Европейския парламент и на Съвета</w:t>
      </w:r>
      <w:r>
        <w:rPr>
          <w:rStyle w:val="FootnoteReference"/>
          <w:noProof/>
        </w:rPr>
        <w:footnoteReference w:id="3"/>
      </w:r>
      <w:r>
        <w:rPr>
          <w:noProof/>
        </w:rPr>
        <w:t xml:space="preserve">, е да се гарантира експлоатация на живите водни ресурси, която осигурява устойчиви икономически, екологични и социални условия. </w:t>
      </w:r>
    </w:p>
    <w:p>
      <w:pPr>
        <w:pStyle w:val="ManualConsidrant"/>
        <w:rPr>
          <w:noProof/>
        </w:rPr>
      </w:pPr>
      <w:r>
        <w:t>(2)</w:t>
      </w:r>
      <w:r>
        <w:tab/>
      </w:r>
      <w:r>
        <w:rPr>
          <w:noProof/>
        </w:rPr>
        <w:t>С Решение 98/392/ЕО на Съвета</w:t>
      </w:r>
      <w:r>
        <w:rPr>
          <w:rStyle w:val="FootnoteReference"/>
          <w:noProof/>
        </w:rPr>
        <w:footnoteReference w:id="4"/>
      </w:r>
      <w:r>
        <w:rPr>
          <w:noProof/>
        </w:rPr>
        <w:t xml:space="preserve"> Европейската общност одобри Конвенцията на Организацията на обединените нации по морско право от 10 декември 1982 г. и Споразумението за прилагане на разпоредбите на конвенцията, свързани с опазването и управлението на трансгранично преминаващите и далекомигриращите рибни запаси</w:t>
      </w:r>
      <w:r>
        <w:rPr>
          <w:rStyle w:val="FootnoteReference"/>
          <w:noProof/>
        </w:rPr>
        <w:footnoteReference w:id="5"/>
      </w:r>
      <w:r>
        <w:rPr>
          <w:i/>
          <w:noProof/>
        </w:rPr>
        <w:t>,</w:t>
      </w:r>
      <w:r>
        <w:rPr>
          <w:noProof/>
        </w:rPr>
        <w:t xml:space="preserve"> които съдържат принципи и правила по отношение на опазването и управлението на живите морски ресурси. В рамките на своите по-широки международни задължения Европейският съюз участва в усилията за опазване на рибните запаси в международни води.</w:t>
      </w:r>
    </w:p>
    <w:p>
      <w:pPr>
        <w:pStyle w:val="ManualConsidrant"/>
        <w:rPr>
          <w:noProof/>
        </w:rPr>
      </w:pPr>
      <w:r>
        <w:t>(3)</w:t>
      </w:r>
      <w:r>
        <w:tab/>
      </w:r>
      <w:r>
        <w:rPr>
          <w:noProof/>
        </w:rPr>
        <w:t>С Решение 2006/539/ЕО на Съвета</w:t>
      </w:r>
      <w:r>
        <w:rPr>
          <w:rStyle w:val="FootnoteReference"/>
          <w:noProof/>
        </w:rPr>
        <w:footnoteReference w:id="6"/>
      </w:r>
      <w:r>
        <w:rPr>
          <w:noProof/>
        </w:rPr>
        <w:t xml:space="preserve"> Европейската общност одобри Конвенцията за укрепване на Междуамериканската комисия за тропическа риба тон (IATTC), създадена от Конвенцията между Съединените американски щати и Република Коста Рика от 1949 г. </w:t>
      </w:r>
    </w:p>
    <w:p>
      <w:pPr>
        <w:pStyle w:val="ManualConsidrant"/>
        <w:rPr>
          <w:noProof/>
        </w:rPr>
      </w:pPr>
      <w:r>
        <w:t>(4)</w:t>
      </w:r>
      <w:r>
        <w:tab/>
      </w:r>
      <w:r>
        <w:rPr>
          <w:noProof/>
        </w:rPr>
        <w:t>IATTC има правомощието да приема решения (резолюции), за да се осигури дългосрочното опазване и устойчивото използване на рибните ресурси в зоната на Конвенцията IATTC. Резолюциите на IATTC са задължителни за договарящите страни. Те са насочени основно към договарящите страни по Конвенцията IATTC, но съдържат и задължения за частните оператори (например капитаните на кораби). Резолюциите на IATTC влизат в сила четиридесет и пет дни след приемането им, като те трябва да бъдат въведени в правото на Съюза възможно най-скоро.</w:t>
      </w:r>
    </w:p>
    <w:p>
      <w:pPr>
        <w:pStyle w:val="ManualConsidrant"/>
        <w:rPr>
          <w:noProof/>
        </w:rPr>
      </w:pPr>
      <w:r>
        <w:t>(5)</w:t>
      </w:r>
      <w:r>
        <w:tab/>
      </w:r>
      <w:r>
        <w:rPr>
          <w:noProof/>
        </w:rPr>
        <w:t>С Решение 2005/938/ЕО на Съвета</w:t>
      </w:r>
      <w:r>
        <w:rPr>
          <w:rStyle w:val="FootnoteReference"/>
          <w:noProof/>
        </w:rPr>
        <w:footnoteReference w:id="7"/>
      </w:r>
      <w:r>
        <w:rPr>
          <w:rFonts w:ascii="AdvTTd832f767" w:hAnsi="AdvTTd832f767"/>
          <w:noProof/>
          <w:sz w:val="20"/>
        </w:rPr>
        <w:t xml:space="preserve"> </w:t>
      </w:r>
      <w:r>
        <w:rPr>
          <w:noProof/>
        </w:rPr>
        <w:t xml:space="preserve">Съюзът одобри Споразумението относно Международната програма за опазване на делфините („споразумението“), с което се създава посочената програма. </w:t>
      </w:r>
    </w:p>
    <w:p>
      <w:pPr>
        <w:pStyle w:val="ManualConsidrant"/>
        <w:rPr>
          <w:noProof/>
        </w:rPr>
      </w:pPr>
      <w:r>
        <w:t>(6)</w:t>
      </w:r>
      <w:r>
        <w:tab/>
      </w:r>
      <w:r>
        <w:rPr>
          <w:noProof/>
        </w:rPr>
        <w:t xml:space="preserve">В член XIV от споразумението се посочва, че IATTC трябва да има съществена роля в координирането на прилагането на споразумението и в изпълнението на мерките, които ще бъдат приети в рамките на IATTC. </w:t>
      </w:r>
    </w:p>
    <w:p>
      <w:pPr>
        <w:pStyle w:val="ManualConsidrant"/>
        <w:rPr>
          <w:noProof/>
        </w:rPr>
      </w:pPr>
      <w:r>
        <w:t>(7)</w:t>
      </w:r>
      <w:r>
        <w:tab/>
      </w:r>
      <w:r>
        <w:rPr>
          <w:noProof/>
        </w:rPr>
        <w:t xml:space="preserve">В рамките на Международната програма за опазване на делфините срещата на страните отговаря за приемане на мерки за прогресивно намаляване на случайната смъртност на делфини при улова на риба тон с мрежи гъргър в зоната на действие на споразумението до нива, доближаващи се до нулата, чрез установяване на годишни лимити. Мерките стават задължителни за Съюза. </w:t>
      </w:r>
    </w:p>
    <w:p>
      <w:pPr>
        <w:pStyle w:val="ManualConsidrant"/>
        <w:rPr>
          <w:noProof/>
          <w:szCs w:val="24"/>
        </w:rPr>
      </w:pPr>
      <w:r>
        <w:t>(8)</w:t>
      </w:r>
      <w:r>
        <w:tab/>
      </w:r>
      <w:r>
        <w:rPr>
          <w:noProof/>
        </w:rPr>
        <w:t>Най-скорошното въвеждане в правото на Съюза на препоръките на IATTC за опазване и правоприлагане беше извършено чрез Регламент (ЕО) № 520/2007 на Съвета</w:t>
      </w:r>
      <w:r>
        <w:rPr>
          <w:rStyle w:val="FootnoteReference"/>
          <w:noProof/>
          <w:szCs w:val="24"/>
        </w:rPr>
        <w:footnoteReference w:id="8"/>
      </w:r>
      <w:r>
        <w:rPr>
          <w:noProof/>
        </w:rPr>
        <w:t>.</w:t>
      </w:r>
    </w:p>
    <w:p>
      <w:pPr>
        <w:pStyle w:val="ManualConsidrant"/>
        <w:rPr>
          <w:noProof/>
          <w:szCs w:val="24"/>
        </w:rPr>
      </w:pPr>
      <w:r>
        <w:t>(9)</w:t>
      </w:r>
      <w:r>
        <w:tab/>
      </w:r>
      <w:r>
        <w:rPr>
          <w:noProof/>
        </w:rPr>
        <w:t xml:space="preserve">Тъй като е възможно резолюциите на IATTC да бъдат изменяни на нейните годишни заседания, както и с цел своевременното им включване в правото на Съюза, укрепване на еднаквите условия на конкуренция и по-нататъшно подпомагане на дългосрочното устойчиво управление на запасите, на Комисията следва да бъде делегирано правомощието да приема актове в съответствие с член 290 от Договора за функционирането на Европейския съюз по отношение на следните аспекти: техническите спецификации за въдици за акули, периодите на забрана, сроковете за докладване на информация от устройствата за привличане на рибата (УПР), разпоредбите относно проектните характеристики и разполагането на УПР, крайните срокове за събиране на данните, зоните и смекчаващите мерки за защита на морските птици, присъствието на научни наблюдатели, информацията, свързана с Регионалния регистър на корабите, препратките към таблицата за предоставяне на данни за корабните дневници и регистрите на разтоварванията, статистическия документ за големоок тон, различните крайни срокове за докладване и насоките за намаляване на смъртността на морските костенурки. </w:t>
      </w:r>
    </w:p>
    <w:p>
      <w:pPr>
        <w:pStyle w:val="ManualConsidrant"/>
        <w:rPr>
          <w:noProof/>
          <w:szCs w:val="24"/>
        </w:rPr>
      </w:pPr>
      <w:r>
        <w:t>(10)</w:t>
      </w:r>
      <w:r>
        <w:tab/>
      </w:r>
      <w:r>
        <w:rPr>
          <w:noProof/>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9"/>
      </w:r>
      <w:r>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(11)</w:t>
      </w:r>
      <w:r>
        <w:tab/>
      </w:r>
      <w:r>
        <w:rPr>
          <w:noProof/>
        </w:rPr>
        <w:t>Делегирането на правомощия, предвидено в настоящия регламент, не следва да засяга въвеждането на бъдещите резолюции на IATTC в правото на Съюза по реда на обикновената законодателна процедура.</w:t>
      </w:r>
    </w:p>
    <w:p>
      <w:pPr>
        <w:pStyle w:val="ManualConsidrant"/>
        <w:rPr>
          <w:noProof/>
          <w:szCs w:val="24"/>
        </w:rPr>
      </w:pPr>
      <w:r>
        <w:t>(12)</w:t>
      </w:r>
      <w:r>
        <w:tab/>
      </w:r>
      <w:r>
        <w:rPr>
          <w:noProof/>
        </w:rPr>
        <w:t xml:space="preserve">Член 3, параграф 3, член 4, параграф 3 и дял IV от Регламент (ЕО) № 520/2007 на Съвета се заличават, тъй като разпоредбите на настоящия регламент обхващат прилагането на всички мерки на IATTC, </w:t>
      </w:r>
    </w:p>
    <w:p>
      <w:pPr>
        <w:pStyle w:val="Formuledadoption"/>
        <w:rPr>
          <w:noProof/>
        </w:rPr>
      </w:pPr>
      <w:r>
        <w:rPr>
          <w:noProof/>
        </w:rPr>
        <w:t>ПРИЕХА НАСТОЯЩИЯ РЕГЛАМЕНТ:</w:t>
      </w:r>
    </w:p>
    <w:p>
      <w:pPr>
        <w:jc w:val="center"/>
        <w:rPr>
          <w:noProof/>
        </w:rPr>
      </w:pPr>
      <w:r>
        <w:rPr>
          <w:noProof/>
        </w:rPr>
        <w:t xml:space="preserve">ГЛАВА I </w:t>
      </w:r>
      <w:r>
        <w:rPr>
          <w:noProof/>
        </w:rPr>
        <w:br/>
        <w:t>ОБЩИ РАЗПОРЕДБИ</w:t>
      </w:r>
    </w:p>
    <w:p>
      <w:pPr>
        <w:pStyle w:val="Titrearticle"/>
        <w:rPr>
          <w:noProof/>
        </w:rPr>
      </w:pPr>
      <w:r>
        <w:rPr>
          <w:noProof/>
        </w:rPr>
        <w:t xml:space="preserve">Член 1 </w:t>
      </w:r>
      <w:r>
        <w:rPr>
          <w:noProof/>
        </w:rPr>
        <w:br/>
        <w:t>Предмет</w:t>
      </w:r>
    </w:p>
    <w:p>
      <w:pPr>
        <w:pStyle w:val="Titrearticle"/>
        <w:jc w:val="both"/>
        <w:rPr>
          <w:i w:val="0"/>
          <w:noProof/>
        </w:rPr>
      </w:pPr>
      <w:r>
        <w:rPr>
          <w:i w:val="0"/>
          <w:noProof/>
        </w:rPr>
        <w:t>В настоящия регламент се определят мерките за управление, опазване и контрол, свързани с риболова в зоната, обхваната от Конвенцията за укрепване на Междуамериканската комисия за тропическа риба тон</w:t>
      </w:r>
      <w:r>
        <w:rPr>
          <w:rStyle w:val="FootnoteReference"/>
          <w:i w:val="0"/>
          <w:noProof/>
        </w:rPr>
        <w:footnoteReference w:id="10"/>
      </w:r>
      <w:r>
        <w:rPr>
          <w:i w:val="0"/>
          <w:noProof/>
        </w:rPr>
        <w:t xml:space="preserve">, както и по отношение на запасите от риба тон и тоноподобни видове и от други видове риба, уловени от кораби, които извършват риболов на риба тон и тоноподобни видове, както и на видове, които принадлежат към същата екосистема. </w:t>
      </w:r>
    </w:p>
    <w:p>
      <w:pPr>
        <w:pStyle w:val="Titrearticle"/>
        <w:rPr>
          <w:noProof/>
        </w:rPr>
      </w:pPr>
      <w:r>
        <w:rPr>
          <w:noProof/>
        </w:rPr>
        <w:t xml:space="preserve">Член 2 </w:t>
      </w:r>
      <w:r>
        <w:rPr>
          <w:noProof/>
        </w:rPr>
        <w:br/>
        <w:t>Приложно поле</w:t>
      </w:r>
    </w:p>
    <w:p>
      <w:pPr>
        <w:pStyle w:val="ManualNumPar1"/>
        <w:rPr>
          <w:noProof/>
        </w:rPr>
      </w:pPr>
      <w:bookmarkStart w:id="1" w:name="_DV_M31"/>
      <w:bookmarkEnd w:id="1"/>
      <w:r>
        <w:t>1.</w:t>
      </w:r>
      <w:r>
        <w:tab/>
      </w:r>
      <w:r>
        <w:rPr>
          <w:noProof/>
        </w:rPr>
        <w:t xml:space="preserve">Настоящият регламент се прилага по отношение на риболовните кораби на Съюза, използвани или предназначени да се използват </w:t>
      </w:r>
      <w:bookmarkStart w:id="2" w:name="_DV_M29"/>
      <w:bookmarkEnd w:id="2"/>
      <w:r>
        <w:rPr>
          <w:noProof/>
        </w:rPr>
        <w:t>за риболовни дейности в зоната, обхваната от конвенцията.</w:t>
      </w:r>
    </w:p>
    <w:p>
      <w:pPr>
        <w:pStyle w:val="ManualNumPar1"/>
        <w:rPr>
          <w:noProof/>
        </w:rPr>
      </w:pPr>
      <w:r>
        <w:t>2.</w:t>
      </w:r>
      <w:r>
        <w:tab/>
      </w:r>
      <w:r>
        <w:rPr>
          <w:noProof/>
        </w:rPr>
        <w:t>Освен ако в настоящия регламент не е предвидено друго, той се прилага, без да се засягат действащите регламенти в сектора на рибарството, по-специално Регламент (ЕС) 2017/</w:t>
      </w:r>
      <w:bookmarkStart w:id="3" w:name="_DV_C39"/>
      <w:r>
        <w:rPr>
          <w:noProof/>
        </w:rPr>
        <w:t>2403 на Европейския парламент и на Съвета</w:t>
      </w:r>
      <w:r>
        <w:rPr>
          <w:rStyle w:val="FootnoteReference"/>
          <w:noProof/>
        </w:rPr>
        <w:footnoteReference w:id="11"/>
      </w:r>
      <w:bookmarkStart w:id="4" w:name="_DV_M32"/>
      <w:bookmarkEnd w:id="3"/>
      <w:bookmarkEnd w:id="4"/>
      <w:r>
        <w:rPr>
          <w:noProof/>
        </w:rPr>
        <w:t xml:space="preserve"> и регламенти (ЕО) № 1005/</w:t>
      </w:r>
      <w:bookmarkStart w:id="5" w:name="_DV_C43"/>
      <w:r>
        <w:rPr>
          <w:noProof/>
        </w:rPr>
        <w:t>2008</w:t>
      </w:r>
      <w:bookmarkEnd w:id="5"/>
      <w:r>
        <w:rPr>
          <w:rStyle w:val="FootnoteReference"/>
          <w:noProof/>
        </w:rPr>
        <w:footnoteReference w:id="12"/>
      </w:r>
      <w:bookmarkStart w:id="6" w:name="_DV_C47"/>
      <w:r>
        <w:rPr>
          <w:noProof/>
        </w:rPr>
        <w:t>, (ЕО) № 1224/2009</w:t>
      </w:r>
      <w:r>
        <w:rPr>
          <w:rStyle w:val="FootnoteReference"/>
          <w:noProof/>
        </w:rPr>
        <w:footnoteReference w:id="13"/>
      </w:r>
      <w:r>
        <w:rPr>
          <w:noProof/>
        </w:rPr>
        <w:t xml:space="preserve"> и (ЕО) № 1185/2003</w:t>
      </w:r>
      <w:r>
        <w:rPr>
          <w:rStyle w:val="FootnoteReference"/>
          <w:noProof/>
          <w:lang w:bidi="en-US"/>
        </w:rPr>
        <w:footnoteReference w:id="14"/>
      </w:r>
      <w:r>
        <w:rPr>
          <w:noProof/>
        </w:rPr>
        <w:t xml:space="preserve"> на Съвета</w:t>
      </w:r>
      <w:bookmarkEnd w:id="6"/>
      <w:r>
        <w:rPr>
          <w:noProof/>
        </w:rPr>
        <w:t>.</w:t>
      </w:r>
    </w:p>
    <w:p>
      <w:pPr>
        <w:pStyle w:val="Titrearticle"/>
        <w:rPr>
          <w:noProof/>
        </w:rPr>
      </w:pPr>
      <w:bookmarkStart w:id="7" w:name="_DV_M37"/>
      <w:bookmarkEnd w:id="7"/>
      <w:r>
        <w:rPr>
          <w:noProof/>
        </w:rPr>
        <w:t>Член 3</w:t>
      </w:r>
      <w:bookmarkStart w:id="8" w:name="_DV_M40"/>
      <w:bookmarkEnd w:id="8"/>
      <w:r>
        <w:rPr>
          <w:noProof/>
        </w:rPr>
        <w:t xml:space="preserve"> </w:t>
      </w:r>
      <w:r>
        <w:rPr>
          <w:noProof/>
        </w:rPr>
        <w:br/>
        <w:t>Определения</w:t>
      </w:r>
    </w:p>
    <w:p>
      <w:pPr>
        <w:rPr>
          <w:noProof/>
        </w:rPr>
      </w:pPr>
      <w:bookmarkStart w:id="9" w:name="_DV_M41"/>
      <w:bookmarkEnd w:id="9"/>
      <w:r>
        <w:rPr>
          <w:noProof/>
        </w:rPr>
        <w:t>За целите на настоящия регламент се прилагат следните определения:</w:t>
      </w:r>
    </w:p>
    <w:p>
      <w:pPr>
        <w:pStyle w:val="Point0"/>
        <w:rPr>
          <w:noProof/>
        </w:rPr>
      </w:pPr>
      <w:bookmarkStart w:id="10" w:name="_DV_M42"/>
      <w:bookmarkEnd w:id="10"/>
      <w:r>
        <w:t>(1)</w:t>
      </w:r>
      <w:r>
        <w:tab/>
      </w:r>
      <w:r>
        <w:rPr>
          <w:noProof/>
        </w:rPr>
        <w:t>„конвенцията“ означава Конвенцията за укрепване на Междуамериканската комисия за тропическа риба тон;</w:t>
      </w:r>
    </w:p>
    <w:p>
      <w:pPr>
        <w:pStyle w:val="Point0"/>
        <w:rPr>
          <w:noProof/>
        </w:rPr>
      </w:pPr>
      <w:r>
        <w:t>(2)</w:t>
      </w:r>
      <w:r>
        <w:tab/>
      </w:r>
      <w:r>
        <w:rPr>
          <w:noProof/>
        </w:rPr>
        <w:t xml:space="preserve">„зона на конвенцията“ означава географският район, в който се прилага конвенцията, както е описан в член III от нея; </w:t>
      </w:r>
    </w:p>
    <w:p>
      <w:pPr>
        <w:pStyle w:val="Point0"/>
        <w:rPr>
          <w:noProof/>
        </w:rPr>
      </w:pPr>
      <w:r>
        <w:t>(3)</w:t>
      </w:r>
      <w:r>
        <w:tab/>
      </w:r>
      <w:r>
        <w:rPr>
          <w:noProof/>
        </w:rPr>
        <w:t>„видове, обхванати от IATTC“ означава запасите от риба тон и тоноподобни видове, както и от други видове риба, уловени от кораби, които извършват риболов на риба тон и тоноподобни видове в зоната на конвенцията;</w:t>
      </w:r>
    </w:p>
    <w:p>
      <w:pPr>
        <w:pStyle w:val="Point0"/>
        <w:rPr>
          <w:noProof/>
        </w:rPr>
      </w:pPr>
      <w:r>
        <w:t>(4)</w:t>
      </w:r>
      <w:r>
        <w:tab/>
      </w:r>
      <w:r>
        <w:rPr>
          <w:noProof/>
        </w:rPr>
        <w:t>„риболовен кораб на Съюза“ означава всеки кораб, плаващ под знамето на държава — членка на Съюза, който се използва или е предназначен да се използва за търговска експлоатация на рибни ресурси, включително помощни кораби, кораби за преработка на риба и кораби, участващи в трансбордиране, както и транспортни кораби, оборудвани за транспорт на продукти от риболов, с изключение на контейнеровози;</w:t>
      </w:r>
    </w:p>
    <w:p>
      <w:pPr>
        <w:pStyle w:val="Point0"/>
        <w:rPr>
          <w:noProof/>
        </w:rPr>
      </w:pPr>
      <w:r>
        <w:t>(5)</w:t>
      </w:r>
      <w:r>
        <w:tab/>
      </w:r>
      <w:r>
        <w:rPr>
          <w:noProof/>
        </w:rPr>
        <w:t>„договарящи страни“ означава договарящите страни по конвенцията;</w:t>
      </w:r>
    </w:p>
    <w:p>
      <w:pPr>
        <w:pStyle w:val="Point0"/>
        <w:rPr>
          <w:noProof/>
        </w:rPr>
      </w:pPr>
      <w:r>
        <w:t>(6)</w:t>
      </w:r>
      <w:r>
        <w:tab/>
      </w:r>
      <w:r>
        <w:rPr>
          <w:noProof/>
        </w:rPr>
        <w:t>„мрежа гъргър“ означава ограждаща риболовна мрежа, чието дъно се тегли посредством затягащо въже на гъргъра на дъното на мрежата, което минава през определен брой халки по дънното въже, като така позволява мрежата да бъде свивана и затваряна;</w:t>
      </w:r>
    </w:p>
    <w:p>
      <w:pPr>
        <w:pStyle w:val="Point0"/>
        <w:rPr>
          <w:noProof/>
        </w:rPr>
      </w:pPr>
      <w:r>
        <w:t>(7)</w:t>
      </w:r>
      <w:r>
        <w:tab/>
      </w:r>
      <w:r>
        <w:rPr>
          <w:noProof/>
        </w:rPr>
        <w:t>„тропическа риба тон“ означава големоок тон, жълтопер тунец (албакор) и ивичест тон;</w:t>
      </w:r>
    </w:p>
    <w:p>
      <w:pPr>
        <w:pStyle w:val="Point0"/>
        <w:rPr>
          <w:noProof/>
        </w:rPr>
      </w:pPr>
      <w:r>
        <w:t>(8)</w:t>
      </w:r>
      <w:r>
        <w:tab/>
      </w:r>
      <w:r>
        <w:rPr>
          <w:noProof/>
        </w:rPr>
        <w:t>„измервателни буйове“ означава плаващи устройства, независимо дали са носещи се по повърхността или са закотвени, които се разполагат от правителствени или признати научни организации или образувания с цел електронно събиране на данни за околната среда, без да са предназначени за подпомагане на риболовните дейности, и за които секретариатът на IATTC е съответно уведомен;</w:t>
      </w:r>
    </w:p>
    <w:p>
      <w:pPr>
        <w:pStyle w:val="Point0"/>
        <w:rPr>
          <w:noProof/>
        </w:rPr>
      </w:pPr>
      <w:r>
        <w:t>(9)</w:t>
      </w:r>
      <w:r>
        <w:tab/>
      </w:r>
      <w:r>
        <w:rPr>
          <w:noProof/>
        </w:rPr>
        <w:t>„устройство за привличане на рибата“ или „УПР“ означава закотвени, плаващи, носещи се по повърхността или потопени предмети, разполагани или проследявани от кораби, включително чрез използване на радио- или спътникови буйове, с цел привличане на целевите видове риба тон за извършване на риболовна дейност с мрежи гъргър;</w:t>
      </w:r>
    </w:p>
    <w:p>
      <w:pPr>
        <w:pStyle w:val="Point0"/>
        <w:rPr>
          <w:noProof/>
        </w:rPr>
      </w:pPr>
      <w:r>
        <w:t>(10)</w:t>
      </w:r>
      <w:r>
        <w:tab/>
      </w:r>
      <w:r>
        <w:rPr>
          <w:noProof/>
        </w:rPr>
        <w:t>„взаимодействие“ с измервателните буйове включва, но не се ограничава до ограждане на буя с риболовни уреди, завързване или закрепване на кораба, риболовния уред или която и да е част или секция от кораба към измервателния буй или прекъсване на котвеното му въже;</w:t>
      </w:r>
    </w:p>
    <w:p>
      <w:pPr>
        <w:pStyle w:val="Point0"/>
        <w:rPr>
          <w:noProof/>
        </w:rPr>
      </w:pPr>
      <w:r>
        <w:t>(11)</w:t>
      </w:r>
      <w:r>
        <w:tab/>
      </w:r>
      <w:r>
        <w:rPr>
          <w:noProof/>
        </w:rPr>
        <w:t>„оператор“ означава физическото или юридическото лице, което управлява или притежава предприятие, извършващо която и да е от дейностите, свързани с който и да е етап от веригите за производство, преработка, пускане на пазара, дистрибуция и търговия на дребно на продуктите от риболов и аквакултури;</w:t>
      </w:r>
    </w:p>
    <w:p>
      <w:pPr>
        <w:pStyle w:val="Point0"/>
        <w:rPr>
          <w:noProof/>
        </w:rPr>
      </w:pPr>
      <w:r>
        <w:t>(12)</w:t>
      </w:r>
      <w:r>
        <w:tab/>
      </w:r>
      <w:r>
        <w:rPr>
          <w:noProof/>
        </w:rPr>
        <w:t>„НКК“ означава Научният консултативен комитет, учреден съгласно член XI от конвенцията;</w:t>
      </w:r>
    </w:p>
    <w:p>
      <w:pPr>
        <w:pStyle w:val="Point0"/>
        <w:rPr>
          <w:noProof/>
        </w:rPr>
      </w:pPr>
      <w:r>
        <w:t>(13)</w:t>
      </w:r>
      <w:r>
        <w:tab/>
      </w:r>
      <w:r>
        <w:rPr>
          <w:noProof/>
        </w:rPr>
        <w:t>„трансбордиране“ означава разтоварването на всички или на част от продуктите от риболов от борда на един кораб на друг кораб;</w:t>
      </w:r>
    </w:p>
    <w:p>
      <w:pPr>
        <w:pStyle w:val="Point0"/>
        <w:rPr>
          <w:noProof/>
        </w:rPr>
      </w:pPr>
      <w:r>
        <w:t>(14)</w:t>
      </w:r>
      <w:r>
        <w:tab/>
      </w:r>
      <w:r>
        <w:rPr>
          <w:noProof/>
        </w:rPr>
        <w:t>„Регионален регистър на корабите“ означава регистърът на корабите на IATTC;</w:t>
      </w:r>
    </w:p>
    <w:p>
      <w:pPr>
        <w:pStyle w:val="Point0"/>
        <w:rPr>
          <w:noProof/>
        </w:rPr>
      </w:pPr>
      <w:r>
        <w:t>(15)</w:t>
      </w:r>
      <w:r>
        <w:tab/>
      </w:r>
      <w:r>
        <w:rPr>
          <w:noProof/>
        </w:rPr>
        <w:t>„резолюция“ означава задължителните мерки, приети от IATTC съгласно член VII от конвенцията;</w:t>
      </w:r>
      <w:bookmarkStart w:id="11" w:name="_DV_M43"/>
      <w:bookmarkEnd w:id="11"/>
    </w:p>
    <w:p>
      <w:pPr>
        <w:pStyle w:val="Point0"/>
        <w:rPr>
          <w:noProof/>
        </w:rPr>
      </w:pPr>
      <w:r>
        <w:t>(16)</w:t>
      </w:r>
      <w:r>
        <w:tab/>
      </w:r>
      <w:r>
        <w:rPr>
          <w:noProof/>
        </w:rPr>
        <w:t>„формуляр на декларацията за трансбордиране на IATTC“ означава документът, съдържащ се в приложение 2 към Резолюция C-12-07;</w:t>
      </w:r>
    </w:p>
    <w:p>
      <w:pPr>
        <w:pStyle w:val="Point0"/>
        <w:rPr>
          <w:noProof/>
        </w:rPr>
      </w:pPr>
      <w:r>
        <w:t>(17)</w:t>
      </w:r>
      <w:r>
        <w:tab/>
      </w:r>
      <w:r>
        <w:rPr>
          <w:noProof/>
        </w:rPr>
        <w:t xml:space="preserve">„наблюдател“ означава лице, на което държава членка или договаряща страна е предоставила необходимите правомощия и удостоверения, за да наблюдава, контролира и събира информация на борда на риболовните кораби; </w:t>
      </w:r>
    </w:p>
    <w:p>
      <w:pPr>
        <w:pStyle w:val="Point0"/>
        <w:rPr>
          <w:noProof/>
        </w:rPr>
      </w:pPr>
      <w:r>
        <w:t>(18)</w:t>
      </w:r>
      <w:r>
        <w:tab/>
      </w:r>
      <w:r>
        <w:rPr>
          <w:noProof/>
        </w:rPr>
        <w:t>„парагада“ означава риболовен уред, състоящ се от основна въдица, на която са закрепени вторични въдици (мрежи) с голям брой куки, като дължината на въдиците и разстоянието между тях зависят от целевите видове;</w:t>
      </w:r>
    </w:p>
    <w:p>
      <w:pPr>
        <w:pStyle w:val="Point0"/>
        <w:rPr>
          <w:noProof/>
        </w:rPr>
      </w:pPr>
      <w:r>
        <w:t>(19)</w:t>
      </w:r>
      <w:r>
        <w:tab/>
      </w:r>
      <w:r>
        <w:rPr>
          <w:noProof/>
        </w:rPr>
        <w:t>„въдици за акули“ означава отделни въдици, прикрепени към плаващото въже или директно към поплавъците и използвани за улов на акули, както е показано на фигура 1 от Резолюция C-16-05;</w:t>
      </w:r>
    </w:p>
    <w:p>
      <w:pPr>
        <w:pStyle w:val="Point0"/>
        <w:rPr>
          <w:noProof/>
        </w:rPr>
      </w:pPr>
      <w:r>
        <w:t>(20)</w:t>
      </w:r>
      <w:r>
        <w:tab/>
      </w:r>
      <w:r>
        <w:rPr>
          <w:noProof/>
        </w:rPr>
        <w:t>„големи куки с кръгла извивка“ са куки, чийто връх е обърнат перпендикулярно обратно на тялото, при което се получава като цяло кръгла или овална форма и изместването на върха е не повече от 10 градуса;</w:t>
      </w:r>
    </w:p>
    <w:p>
      <w:pPr>
        <w:pStyle w:val="Point0"/>
        <w:rPr>
          <w:noProof/>
        </w:rPr>
      </w:pPr>
      <w:r>
        <w:t>(21)</w:t>
      </w:r>
      <w:r>
        <w:tab/>
      </w:r>
      <w:r>
        <w:rPr>
          <w:noProof/>
        </w:rPr>
        <w:t>„споразумение“ означава Споразумението относно Международната програма за опазване на делфините</w:t>
      </w:r>
      <w:r>
        <w:rPr>
          <w:rStyle w:val="FootnoteReference"/>
          <w:noProof/>
        </w:rPr>
        <w:footnoteReference w:id="15"/>
      </w:r>
      <w:r>
        <w:rPr>
          <w:noProof/>
        </w:rPr>
        <w:t xml:space="preserve">; </w:t>
      </w:r>
    </w:p>
    <w:p>
      <w:pPr>
        <w:pStyle w:val="Point0"/>
        <w:rPr>
          <w:noProof/>
        </w:rPr>
      </w:pPr>
      <w:r>
        <w:t>(22)</w:t>
      </w:r>
      <w:r>
        <w:tab/>
      </w:r>
      <w:r>
        <w:rPr>
          <w:noProof/>
        </w:rPr>
        <w:t>„запечатани рибни резервоари“ означава всяко пространство на борда на кораб, предназначено за замразяване, поддържане или съхранение на риба, достъпът до което е блокиран, за да се предотврати използването му за тези цели;</w:t>
      </w:r>
    </w:p>
    <w:p>
      <w:pPr>
        <w:pStyle w:val="Point0"/>
        <w:rPr>
          <w:noProof/>
        </w:rPr>
      </w:pPr>
      <w:r>
        <w:t>(23)</w:t>
      </w:r>
      <w:r>
        <w:tab/>
      </w:r>
      <w:r>
        <w:rPr>
          <w:noProof/>
        </w:rPr>
        <w:t>„WCPFC“ означава Комисията за риболова в Западния и Централния Тихи океан, създадена по силата на Конвенцията за опазването и управлението на далекомигриращите рибни запаси в Западния и Централния Тихи океан</w:t>
      </w:r>
      <w:r>
        <w:rPr>
          <w:rStyle w:val="FootnoteReference"/>
          <w:noProof/>
        </w:rPr>
        <w:footnoteReference w:id="16"/>
      </w:r>
      <w:r>
        <w:rPr>
          <w:noProof/>
        </w:rPr>
        <w:t>;</w:t>
      </w:r>
    </w:p>
    <w:p>
      <w:pPr>
        <w:pStyle w:val="Point0"/>
        <w:rPr>
          <w:noProof/>
        </w:rPr>
      </w:pPr>
      <w:r>
        <w:t>(24)</w:t>
      </w:r>
      <w:r>
        <w:tab/>
      </w:r>
      <w:r>
        <w:rPr>
          <w:noProof/>
        </w:rPr>
        <w:t xml:space="preserve"> „зона на припокриване“ означава зоната на припокриване на компетентност между географските зони на Конвенцията IATTC и Конвенцията WCPFC. Тази зона е част от Тихия океан, определена от следните граници: паралел 50° ю.ш. от пресечната му точка с меридиан 150° з.д. до пресечната точка с меридиан 130° з.д., и паралел 4° ю.ш. от пресечната му точка с меридиан 150° з.д. до пресечната точка с меридиан 130° з.д.</w:t>
      </w:r>
    </w:p>
    <w:p>
      <w:pPr>
        <w:jc w:val="center"/>
        <w:rPr>
          <w:noProof/>
        </w:rPr>
      </w:pPr>
      <w:bookmarkStart w:id="12" w:name="_DV_M44"/>
      <w:bookmarkEnd w:id="12"/>
      <w:r>
        <w:rPr>
          <w:noProof/>
        </w:rPr>
        <w:t>ГЛАВА II</w:t>
      </w:r>
    </w:p>
    <w:p>
      <w:pPr>
        <w:jc w:val="center"/>
        <w:rPr>
          <w:noProof/>
        </w:rPr>
      </w:pPr>
      <w:r>
        <w:rPr>
          <w:noProof/>
        </w:rPr>
        <w:t>МЕРКИ ЗА ОПАЗВАНЕ И УПРАВЛЕНИЕ</w:t>
      </w:r>
    </w:p>
    <w:p>
      <w:pPr>
        <w:pStyle w:val="Titrearticle"/>
        <w:rPr>
          <w:noProof/>
        </w:rPr>
      </w:pPr>
      <w:r>
        <w:rPr>
          <w:noProof/>
        </w:rPr>
        <w:t xml:space="preserve">Член 4 </w:t>
      </w:r>
      <w:r>
        <w:rPr>
          <w:noProof/>
        </w:rPr>
        <w:br/>
        <w:t xml:space="preserve">Периоди на забрана на улова на тропическа риба тон от кораби с мрежи гъргър </w:t>
      </w:r>
    </w:p>
    <w:p>
      <w:pPr>
        <w:pStyle w:val="ManualNumPar1"/>
        <w:rPr>
          <w:noProof/>
        </w:rPr>
      </w:pPr>
      <w:r>
        <w:t>1.</w:t>
      </w:r>
      <w:r>
        <w:tab/>
      </w:r>
      <w:r>
        <w:rPr>
          <w:noProof/>
        </w:rPr>
        <w:t xml:space="preserve">С цел прилагане на забраната за риболов, извършван от кораби с мрежи гъргър, всяка държава членка: </w:t>
      </w:r>
    </w:p>
    <w:p>
      <w:pPr>
        <w:pStyle w:val="Point0"/>
        <w:rPr>
          <w:noProof/>
        </w:rPr>
      </w:pPr>
      <w:r>
        <w:rPr>
          <w:noProof/>
        </w:rPr>
        <w:t>а)</w:t>
      </w:r>
      <w:r>
        <w:rPr>
          <w:noProof/>
        </w:rPr>
        <w:tab/>
        <w:t>в срок до 15 юни всяка година информира Комисията кой от двата периода на забрана — от 29 юли до 8 октомври или от 9 ноември до 19 януари, се прилага за нейните кораби. В срок до 15 юли всяка година Комисията уведомява секретариата на IATTC за приложимия период на забрана;</w:t>
      </w:r>
    </w:p>
    <w:p>
      <w:pPr>
        <w:pStyle w:val="Point0"/>
        <w:rPr>
          <w:noProof/>
        </w:rPr>
      </w:pPr>
      <w:r>
        <w:rPr>
          <w:noProof/>
        </w:rPr>
        <w:t>б)</w:t>
      </w:r>
      <w:r>
        <w:rPr>
          <w:noProof/>
        </w:rPr>
        <w:tab/>
        <w:t>информира за забраната всички заинтересовани страни от сектора за риба тон на своя територия;</w:t>
      </w:r>
    </w:p>
    <w:p>
      <w:pPr>
        <w:pStyle w:val="Point0"/>
        <w:rPr>
          <w:noProof/>
        </w:rPr>
      </w:pPr>
      <w:r>
        <w:rPr>
          <w:noProof/>
        </w:rPr>
        <w:t>в)</w:t>
      </w:r>
      <w:r>
        <w:rPr>
          <w:noProof/>
        </w:rPr>
        <w:tab/>
        <w:t>в срок до 15 юни всяка година информира Комисията за предприемането на посочените мерки;</w:t>
      </w:r>
    </w:p>
    <w:p>
      <w:pPr>
        <w:pStyle w:val="Point0"/>
        <w:rPr>
          <w:noProof/>
        </w:rPr>
      </w:pPr>
      <w:r>
        <w:rPr>
          <w:noProof/>
        </w:rPr>
        <w:t>г)</w:t>
      </w:r>
      <w:r>
        <w:rPr>
          <w:noProof/>
        </w:rPr>
        <w:tab/>
        <w:t xml:space="preserve">гарантира, че през целия период на забрана всички кораби с мрежи гъргър, които плават под нейно знаме, не извършват риболов в зоната на конвенцията. </w:t>
      </w:r>
    </w:p>
    <w:p>
      <w:pPr>
        <w:pStyle w:val="ManualNumPar1"/>
        <w:rPr>
          <w:noProof/>
          <w:color w:val="000000"/>
        </w:rPr>
      </w:pPr>
      <w:r>
        <w:t>2.</w:t>
      </w:r>
      <w:r>
        <w:tab/>
      </w:r>
      <w:r>
        <w:rPr>
          <w:noProof/>
        </w:rPr>
        <w:t>Когато риболовен кораб на Съюза не е в състояние да излезе в морето извън приложимия период на забрана, посочен в параграф 1, буква a), поради случай на непреодолима сила, състоящ се в изваждане от строя на риболовния кораб в хода на риболовните операции поради механична или структурна повреда, пожар или експлозия, в продължение на най-малко 75 последователни дни, държавата членка може да изпрати до Комисията искане за освобождаване за периода на забрана, заедно с необходимите доказателства, че корабът не е излязъл в морето поради непреодолима сила.</w:t>
      </w:r>
      <w:r>
        <w:rPr>
          <w:noProof/>
          <w:color w:val="000000"/>
        </w:rPr>
        <w:t xml:space="preserve"> Искането се изпраща до Комисията най-късно две седмици след отстраняване на причината за непреодолимата сила. Комисията извършва оценка на това искане и, когато е приложимо, го препраща на секретариата на IATTC за разглеждане от IATTC най-късно един месец след отстраняване на причината за непреодолимата сила.</w:t>
      </w:r>
    </w:p>
    <w:p>
      <w:pPr>
        <w:pStyle w:val="ManualNumPar1"/>
        <w:rPr>
          <w:noProof/>
        </w:rPr>
      </w:pPr>
      <w:r>
        <w:t>3.</w:t>
      </w:r>
      <w:r>
        <w:tab/>
      </w:r>
      <w:r>
        <w:rPr>
          <w:noProof/>
        </w:rPr>
        <w:t>Комисията уведомява държавата членка за предоставеното от IATTC одобрение на искането, посочено в параграф 2:</w:t>
      </w:r>
    </w:p>
    <w:p>
      <w:pPr>
        <w:pStyle w:val="Point0"/>
        <w:rPr>
          <w:noProof/>
        </w:rPr>
      </w:pPr>
      <w:r>
        <w:rPr>
          <w:noProof/>
        </w:rPr>
        <w:t>а)</w:t>
      </w:r>
      <w:r>
        <w:rPr>
          <w:noProof/>
        </w:rPr>
        <w:tab/>
        <w:t>в случай че корабът не е спазил период на забрана през същата година, в която е настъпила причината за непреодолимата сила, той спазва намален период на забрана от 40 последователни дни в един от двата периода на забрана през същата година вместо пълния период на забрана, посочен в параграф 1, буква а), като Комисията незабавно уведомява секретариата на IATTC за избрания период на забрана; или</w:t>
      </w:r>
    </w:p>
    <w:p>
      <w:pPr>
        <w:pStyle w:val="Point0"/>
        <w:rPr>
          <w:noProof/>
        </w:rPr>
      </w:pPr>
      <w:r>
        <w:rPr>
          <w:noProof/>
        </w:rPr>
        <w:t>б)</w:t>
      </w:r>
      <w:r>
        <w:rPr>
          <w:noProof/>
        </w:rPr>
        <w:tab/>
        <w:t>в случай че корабът вече е спазил период на забрана през същата година, в която е настъпила причината за непреодолимата сила, той спазва намален период на забрана от 40 последователни дни през следващата година в един от двата периода на забрана през въпросната година, за което Комисията се уведомява най-късно до 15 юли.</w:t>
      </w:r>
    </w:p>
    <w:p>
      <w:pPr>
        <w:pStyle w:val="ManualNumPar1"/>
        <w:rPr>
          <w:noProof/>
        </w:rPr>
      </w:pPr>
      <w:r>
        <w:t>4.</w:t>
      </w:r>
      <w:r>
        <w:tab/>
      </w:r>
      <w:r>
        <w:rPr>
          <w:noProof/>
        </w:rPr>
        <w:t>На борда на всеки кораб, който се ползва от освобождаването по параграф 3, трябва да присъства упълномощен наблюдател.</w:t>
      </w:r>
    </w:p>
    <w:p>
      <w:pPr>
        <w:pStyle w:val="ManualNumPar1"/>
        <w:rPr>
          <w:noProof/>
        </w:rPr>
      </w:pPr>
      <w:r>
        <w:t>5.</w:t>
      </w:r>
      <w:r>
        <w:tab/>
      </w:r>
      <w:r>
        <w:rPr>
          <w:noProof/>
        </w:rPr>
        <w:t xml:space="preserve">В допълнение към забраната за риболов по параграф 1, от 9 октомври до 8 ноември всяка година се забранява и риболовът на тропическа риба тон в зоната от 96º до 110º з.д. и между 4° с.ш. и 3° ю.ш. </w:t>
      </w:r>
    </w:p>
    <w:p>
      <w:pPr>
        <w:pStyle w:val="Titrearticle"/>
        <w:rPr>
          <w:noProof/>
        </w:rPr>
      </w:pPr>
      <w:bookmarkStart w:id="13" w:name="bookmark186"/>
      <w:r>
        <w:rPr>
          <w:noProof/>
        </w:rPr>
        <w:t>Член 5</w:t>
      </w:r>
    </w:p>
    <w:p>
      <w:pPr>
        <w:pStyle w:val="Titrearticle"/>
        <w:spacing w:before="120"/>
        <w:rPr>
          <w:noProof/>
        </w:rPr>
      </w:pPr>
      <w:r>
        <w:rPr>
          <w:noProof/>
        </w:rPr>
        <w:t>Забрана за риболов с помощта на измервателни буйове</w:t>
      </w:r>
    </w:p>
    <w:p>
      <w:pPr>
        <w:pStyle w:val="ManualNumPar1"/>
        <w:rPr>
          <w:noProof/>
        </w:rPr>
      </w:pPr>
      <w:r>
        <w:t>1.</w:t>
      </w:r>
      <w:r>
        <w:tab/>
      </w:r>
      <w:r>
        <w:rPr>
          <w:noProof/>
        </w:rPr>
        <w:t>Капитаните на риболовни кораби на Съюза гарантират, че техните кораби не влизат във взаимодействие с измервателни буйове в зоната на конвенцията.</w:t>
      </w:r>
    </w:p>
    <w:p>
      <w:pPr>
        <w:pStyle w:val="ManualNumPar1"/>
        <w:rPr>
          <w:noProof/>
        </w:rPr>
      </w:pPr>
      <w:r>
        <w:t>2.</w:t>
      </w:r>
      <w:r>
        <w:tab/>
      </w:r>
      <w:r>
        <w:rPr>
          <w:noProof/>
        </w:rPr>
        <w:t>Забранява се използването на риболовни уреди в рамките на една морска миля от закотвен измервателен буй в зоната на конвенцията.</w:t>
      </w:r>
    </w:p>
    <w:p>
      <w:pPr>
        <w:pStyle w:val="ManualNumPar1"/>
        <w:rPr>
          <w:noProof/>
        </w:rPr>
      </w:pPr>
      <w:r>
        <w:t>3.</w:t>
      </w:r>
      <w:r>
        <w:tab/>
      </w:r>
      <w:r>
        <w:rPr>
          <w:noProof/>
        </w:rPr>
        <w:t>Забранява се вземането на борда на измервателен буй, освен ако държавата членка, договарящата страна или собственикът, отговорни за този буй, изрично разрешават или отправят искане за това.</w:t>
      </w:r>
    </w:p>
    <w:p>
      <w:pPr>
        <w:pStyle w:val="ManualNumPar1"/>
        <w:rPr>
          <w:noProof/>
        </w:rPr>
      </w:pPr>
      <w:r>
        <w:t>4.</w:t>
      </w:r>
      <w:r>
        <w:tab/>
      </w:r>
      <w:r>
        <w:rPr>
          <w:noProof/>
        </w:rPr>
        <w:t>Ако риболовен уред се заплете в измервателен буй, заплетеният риболовен уред се отстранява, като се нанасят възможно най-малко щети върху измервателния буй.</w:t>
      </w:r>
    </w:p>
    <w:p>
      <w:pPr>
        <w:pStyle w:val="ManualNumPar1"/>
        <w:rPr>
          <w:noProof/>
        </w:rPr>
      </w:pPr>
      <w:r>
        <w:t>5.</w:t>
      </w:r>
      <w:r>
        <w:tab/>
      </w:r>
      <w:r>
        <w:rPr>
          <w:noProof/>
        </w:rPr>
        <w:t>В рамките на научноизследователски програми, за които IATTC е официално уведомена, могат да се експлоатират риболовни кораби на Съюза в радиус от една морска миля от измервателния буй, при условие че корабът не взаимодейства с измервателния буй, нито разполага риболовни уреди, както е посочено в параграфи 1 и 2.</w:t>
      </w:r>
    </w:p>
    <w:p>
      <w:pPr>
        <w:pStyle w:val="Titrearticle"/>
        <w:spacing w:before="120"/>
        <w:rPr>
          <w:noProof/>
        </w:rPr>
      </w:pPr>
      <w:r>
        <w:rPr>
          <w:noProof/>
        </w:rPr>
        <w:t xml:space="preserve">Член 6 </w:t>
      </w:r>
      <w:r>
        <w:rPr>
          <w:noProof/>
        </w:rPr>
        <w:br/>
        <w:t xml:space="preserve">Устройства за привличане на рибата (УПР) </w:t>
      </w:r>
    </w:p>
    <w:p>
      <w:pPr>
        <w:pStyle w:val="ManualNumPar1"/>
        <w:rPr>
          <w:noProof/>
        </w:rPr>
      </w:pPr>
      <w:r>
        <w:t>1.</w:t>
      </w:r>
      <w:r>
        <w:tab/>
      </w:r>
      <w:r>
        <w:rPr>
          <w:noProof/>
        </w:rPr>
        <w:t>УПР се активират само на борда на кораби на Съюза с мрежи гъргър.</w:t>
      </w:r>
    </w:p>
    <w:p>
      <w:pPr>
        <w:pStyle w:val="ManualNumPar1"/>
        <w:rPr>
          <w:noProof/>
        </w:rPr>
      </w:pPr>
      <w:r>
        <w:t>2.</w:t>
      </w:r>
      <w:r>
        <w:tab/>
      </w:r>
      <w:r>
        <w:rPr>
          <w:noProof/>
        </w:rPr>
        <w:t>Дадено УПР се счита за активно, когато е разположено в морето, започва да предава данни за своето местоположение и се проследява от кораба, неговия собственик или оператор.</w:t>
      </w:r>
      <w:r>
        <w:rPr>
          <w:noProof/>
        </w:rPr>
        <w:tab/>
      </w:r>
    </w:p>
    <w:p>
      <w:pPr>
        <w:pStyle w:val="ManualNumPar1"/>
        <w:rPr>
          <w:noProof/>
        </w:rPr>
      </w:pPr>
      <w:r>
        <w:t>3.</w:t>
      </w:r>
      <w:r>
        <w:tab/>
      </w:r>
      <w:r>
        <w:rPr>
          <w:noProof/>
        </w:rPr>
        <w:t xml:space="preserve">Риболовните кораби на Съюза ежедневно докладват на Комисията за всички активни УПР, като информацията се предава на интервали със закъснение от най-малко 60 дни, но с интервал от време не повече от 90 дни между всеки доклад. Комисията незабавно препраща тази информация на секретариата на IATTC. </w:t>
      </w:r>
    </w:p>
    <w:p>
      <w:pPr>
        <w:pStyle w:val="ManualNumPar1"/>
        <w:rPr>
          <w:noProof/>
        </w:rPr>
      </w:pPr>
      <w:r>
        <w:t>4.</w:t>
      </w:r>
      <w:r>
        <w:tab/>
      </w:r>
      <w:r>
        <w:rPr>
          <w:noProof/>
        </w:rPr>
        <w:t>Операторите на кораби на Съюза събират информация и докладват на държавите членки за всяко взаимодействие с УПР. За всяко взаимодействие те регистрират следната информация:</w:t>
      </w:r>
    </w:p>
    <w:p>
      <w:pPr>
        <w:pStyle w:val="Point0"/>
        <w:rPr>
          <w:noProof/>
        </w:rPr>
      </w:pPr>
      <w:r>
        <w:rPr>
          <w:noProof/>
        </w:rPr>
        <w:t>а)</w:t>
      </w:r>
      <w:r>
        <w:rPr>
          <w:noProof/>
        </w:rPr>
        <w:tab/>
        <w:t>местоположението на УПР;</w:t>
      </w:r>
    </w:p>
    <w:p>
      <w:pPr>
        <w:pStyle w:val="Point0"/>
        <w:rPr>
          <w:noProof/>
        </w:rPr>
      </w:pPr>
      <w:r>
        <w:rPr>
          <w:noProof/>
        </w:rPr>
        <w:t>б)</w:t>
      </w:r>
      <w:r>
        <w:rPr>
          <w:noProof/>
        </w:rPr>
        <w:tab/>
        <w:t>дата и час на разполагането на УПР;</w:t>
      </w:r>
    </w:p>
    <w:p>
      <w:pPr>
        <w:pStyle w:val="Point0"/>
        <w:rPr>
          <w:noProof/>
        </w:rPr>
      </w:pPr>
      <w:r>
        <w:rPr>
          <w:noProof/>
        </w:rPr>
        <w:t>в)</w:t>
      </w:r>
      <w:r>
        <w:rPr>
          <w:noProof/>
        </w:rPr>
        <w:tab/>
        <w:t>идентификация на УПР по IATTC (т.е. маркировка на УПР или идентификация на маяка; вид буй; или всяка информация, която позволява да се идентифицира собственикът);</w:t>
      </w:r>
    </w:p>
    <w:p>
      <w:pPr>
        <w:pStyle w:val="Point0"/>
        <w:rPr>
          <w:noProof/>
        </w:rPr>
      </w:pPr>
      <w:r>
        <w:rPr>
          <w:noProof/>
        </w:rPr>
        <w:t>г)</w:t>
      </w:r>
      <w:r>
        <w:rPr>
          <w:noProof/>
        </w:rPr>
        <w:tab/>
        <w:t>вид УПР (например закотвени УПР, плаващи естествено УПР, плаващи изкуствено УПР);</w:t>
      </w:r>
    </w:p>
    <w:p>
      <w:pPr>
        <w:pStyle w:val="Point0"/>
        <w:rPr>
          <w:noProof/>
        </w:rPr>
      </w:pPr>
      <w:r>
        <w:rPr>
          <w:noProof/>
        </w:rPr>
        <w:t>д)</w:t>
      </w:r>
      <w:r>
        <w:rPr>
          <w:noProof/>
        </w:rPr>
        <w:tab/>
        <w:t>проектни характеристики на УПР (размери и материал на плаващата част и на подводната висяща конструкция);</w:t>
      </w:r>
    </w:p>
    <w:p>
      <w:pPr>
        <w:pStyle w:val="Point0"/>
        <w:rPr>
          <w:noProof/>
        </w:rPr>
      </w:pPr>
      <w:r>
        <w:rPr>
          <w:noProof/>
        </w:rPr>
        <w:t>е)</w:t>
      </w:r>
      <w:r>
        <w:rPr>
          <w:noProof/>
        </w:rPr>
        <w:tab/>
        <w:t>вид дейност (пускане и извеждане, разполагане, вдигане, изтегляне, загуба, намеса по електронното оборудване и др.);</w:t>
      </w:r>
    </w:p>
    <w:p>
      <w:pPr>
        <w:pStyle w:val="Point0"/>
        <w:rPr>
          <w:noProof/>
        </w:rPr>
      </w:pPr>
      <w:r>
        <w:rPr>
          <w:noProof/>
        </w:rPr>
        <w:t>ж)</w:t>
      </w:r>
      <w:r>
        <w:rPr>
          <w:noProof/>
        </w:rPr>
        <w:tab/>
        <w:t>ако дейността е свързана с операция по пускане и изваждане — резултатите от операцията по пускане и изваждане, изразени като улов и прилов; и</w:t>
      </w:r>
    </w:p>
    <w:p>
      <w:pPr>
        <w:pStyle w:val="Point0"/>
        <w:rPr>
          <w:noProof/>
        </w:rPr>
      </w:pPr>
      <w:r>
        <w:rPr>
          <w:noProof/>
        </w:rPr>
        <w:t>з)</w:t>
      </w:r>
      <w:r>
        <w:rPr>
          <w:noProof/>
        </w:rPr>
        <w:tab/>
        <w:t>характеристики на всеки прикрепен буй или оборудване за позициониране (система за позициониране, снабдена или не със сонар, и др.).</w:t>
      </w:r>
    </w:p>
    <w:p>
      <w:pPr>
        <w:pStyle w:val="ManualNumPar1"/>
        <w:rPr>
          <w:noProof/>
        </w:rPr>
      </w:pPr>
      <w:r>
        <w:t>5.</w:t>
      </w:r>
      <w:r>
        <w:tab/>
      </w:r>
      <w:r>
        <w:rPr>
          <w:noProof/>
        </w:rPr>
        <w:t xml:space="preserve">Държавите членки предават на Комисията събраните данни за предходната календарна година не по-късно от 75 дни преди всяко редовно заседание на НКК. Комисията препраща тази информация не по-късно от 60 дни преди заседанието на НКК. </w:t>
      </w:r>
    </w:p>
    <w:p>
      <w:pPr>
        <w:pStyle w:val="ManualNumPar1"/>
        <w:rPr>
          <w:noProof/>
          <w:sz w:val="2"/>
          <w:szCs w:val="2"/>
        </w:rPr>
      </w:pPr>
      <w:r>
        <w:t>6.</w:t>
      </w:r>
      <w:r>
        <w:tab/>
      </w:r>
      <w:r>
        <w:rPr>
          <w:noProof/>
        </w:rPr>
        <w:t xml:space="preserve">6. </w:t>
      </w:r>
      <w:r>
        <w:rPr>
          <w:noProof/>
        </w:rPr>
        <w:tab/>
        <w:t>Идентификацията, проектните характеристики и разполагането на УПР от корабите на Съюза трябва да отговарят съответно на приложения I и II към Резолюция C-19-01.</w:t>
      </w:r>
      <w:bookmarkEnd w:id="13"/>
    </w:p>
    <w:p>
      <w:pPr>
        <w:pStyle w:val="Titrearticle"/>
        <w:spacing w:before="120"/>
        <w:rPr>
          <w:noProof/>
        </w:rPr>
      </w:pPr>
      <w:r>
        <w:rPr>
          <w:noProof/>
        </w:rPr>
        <w:t>Член 7</w:t>
      </w:r>
    </w:p>
    <w:p>
      <w:pPr>
        <w:pStyle w:val="Titrearticle"/>
        <w:spacing w:before="120"/>
        <w:rPr>
          <w:noProof/>
        </w:rPr>
      </w:pPr>
      <w:r>
        <w:rPr>
          <w:noProof/>
        </w:rPr>
        <w:t>Трансбордирания в пристанище</w:t>
      </w:r>
    </w:p>
    <w:p>
      <w:pPr>
        <w:pStyle w:val="Text1"/>
        <w:rPr>
          <w:noProof/>
        </w:rPr>
      </w:pPr>
      <w:r>
        <w:rPr>
          <w:noProof/>
        </w:rPr>
        <w:t xml:space="preserve">Всички трансбордирания в зоната на Конвенцията IATTC на рибни видове, обхванати от IATTC, се извършват в пристанище.  </w:t>
      </w:r>
    </w:p>
    <w:p>
      <w:pPr>
        <w:jc w:val="center"/>
        <w:rPr>
          <w:noProof/>
        </w:rPr>
      </w:pPr>
      <w:r>
        <w:rPr>
          <w:noProof/>
        </w:rPr>
        <w:t>ГЛАВА III</w:t>
      </w:r>
    </w:p>
    <w:p>
      <w:pPr>
        <w:keepNext/>
        <w:jc w:val="center"/>
        <w:rPr>
          <w:noProof/>
        </w:rPr>
      </w:pPr>
      <w:r>
        <w:rPr>
          <w:noProof/>
        </w:rPr>
        <w:t>ЗАЩИТА НА МОРСКИТЕ ВИДОВЕ</w:t>
      </w:r>
    </w:p>
    <w:p>
      <w:pPr>
        <w:keepNext/>
        <w:jc w:val="center"/>
        <w:rPr>
          <w:noProof/>
        </w:rPr>
      </w:pPr>
      <w:r>
        <w:rPr>
          <w:noProof/>
        </w:rPr>
        <w:t>РАЗДЕЛ 1</w:t>
      </w:r>
    </w:p>
    <w:p>
      <w:pPr>
        <w:keepNext/>
        <w:jc w:val="center"/>
        <w:rPr>
          <w:noProof/>
        </w:rPr>
      </w:pPr>
      <w:r>
        <w:rPr>
          <w:noProof/>
        </w:rPr>
        <w:t>ВИДОВЕ ОТ ПОДКЛАС ПЛАСТИНЧАТОХРИЛИ</w:t>
      </w:r>
    </w:p>
    <w:p>
      <w:pPr>
        <w:pStyle w:val="Titrearticle"/>
        <w:rPr>
          <w:noProof/>
        </w:rPr>
      </w:pPr>
      <w:r>
        <w:rPr>
          <w:noProof/>
        </w:rPr>
        <w:t>Член 8</w:t>
      </w:r>
    </w:p>
    <w:p>
      <w:pPr>
        <w:pStyle w:val="Titrearticle"/>
        <w:spacing w:before="120"/>
        <w:rPr>
          <w:noProof/>
        </w:rPr>
      </w:pPr>
      <w:r>
        <w:rPr>
          <w:noProof/>
        </w:rPr>
        <w:t>Дългокрили акули</w:t>
      </w:r>
    </w:p>
    <w:p>
      <w:pPr>
        <w:pStyle w:val="ManualNumPar1"/>
        <w:rPr>
          <w:noProof/>
        </w:rPr>
      </w:pPr>
      <w:r>
        <w:t>1.</w:t>
      </w:r>
      <w:r>
        <w:tab/>
      </w:r>
      <w:r>
        <w:rPr>
          <w:noProof/>
        </w:rPr>
        <w:t>Задържането на борда, трансбордирането, разтоварването, съхранението, продажбата и предлагането за продажба на части или цели трупове на дългокрили акули (</w:t>
      </w:r>
      <w:r>
        <w:rPr>
          <w:i/>
          <w:noProof/>
        </w:rPr>
        <w:t>Carcharhinus longimanus</w:t>
      </w:r>
      <w:r>
        <w:rPr>
          <w:noProof/>
        </w:rPr>
        <w:t>) се забранява.</w:t>
      </w:r>
    </w:p>
    <w:p>
      <w:pPr>
        <w:pStyle w:val="ManualNumPar1"/>
        <w:rPr>
          <w:noProof/>
        </w:rPr>
      </w:pPr>
      <w:r>
        <w:t>2.</w:t>
      </w:r>
      <w:r>
        <w:tab/>
      </w:r>
      <w:r>
        <w:rPr>
          <w:noProof/>
        </w:rPr>
        <w:t xml:space="preserve">Дългокрилите акули се освобождават незабавно неувредени — доколкото това е практически възможно — при докарването им до кораба. </w:t>
      </w:r>
    </w:p>
    <w:p>
      <w:pPr>
        <w:pStyle w:val="ManualNumPar1"/>
        <w:rPr>
          <w:noProof/>
        </w:rPr>
      </w:pPr>
      <w:r>
        <w:t>3.</w:t>
      </w:r>
      <w:r>
        <w:tab/>
      </w:r>
      <w:r>
        <w:rPr>
          <w:noProof/>
        </w:rPr>
        <w:t xml:space="preserve">Чрез програмите за наблюдение държавите членки регистрират, наред с другото, броя на изхвърлените и освободените дългокрили акули, като посочват състоянието (мъртви или живи), включително броя на освободените дългокрили акули съгласно параграф 2. </w:t>
      </w:r>
    </w:p>
    <w:p>
      <w:pPr>
        <w:pStyle w:val="Titrearticle"/>
        <w:rPr>
          <w:noProof/>
        </w:rPr>
      </w:pPr>
      <w:r>
        <w:rPr>
          <w:noProof/>
        </w:rPr>
        <w:t>Член 9</w:t>
      </w:r>
    </w:p>
    <w:p>
      <w:pPr>
        <w:pStyle w:val="Titrearticle"/>
        <w:spacing w:before="120"/>
        <w:rPr>
          <w:noProof/>
        </w:rPr>
      </w:pPr>
      <w:r>
        <w:rPr>
          <w:noProof/>
        </w:rPr>
        <w:t>Скатове от сем. Mobulidae</w:t>
      </w:r>
    </w:p>
    <w:p>
      <w:pPr>
        <w:pStyle w:val="ManualNumPar1"/>
        <w:rPr>
          <w:noProof/>
        </w:rPr>
      </w:pPr>
      <w:r>
        <w:t>1.</w:t>
      </w:r>
      <w:r>
        <w:tab/>
      </w:r>
      <w:r>
        <w:rPr>
          <w:noProof/>
        </w:rPr>
        <w:t xml:space="preserve">Забранява се задържането на борда, трансбордирането, разтоварването, съхранението, продажбата или предлагането за продажба на части или цели трупове на скатове от сем. </w:t>
      </w:r>
      <w:r>
        <w:rPr>
          <w:i/>
          <w:iCs/>
          <w:noProof/>
        </w:rPr>
        <w:t>Mobulidae</w:t>
      </w:r>
      <w:r>
        <w:rPr>
          <w:noProof/>
        </w:rPr>
        <w:t xml:space="preserve"> (което включва родовете </w:t>
      </w:r>
      <w:r>
        <w:rPr>
          <w:i/>
          <w:iCs/>
          <w:noProof/>
        </w:rPr>
        <w:t>Manta</w:t>
      </w:r>
      <w:r>
        <w:rPr>
          <w:noProof/>
        </w:rPr>
        <w:t xml:space="preserve"> и </w:t>
      </w:r>
      <w:r>
        <w:rPr>
          <w:i/>
          <w:iCs/>
          <w:noProof/>
        </w:rPr>
        <w:t>Mobula</w:t>
      </w:r>
      <w:r>
        <w:rPr>
          <w:noProof/>
        </w:rPr>
        <w:t>), уловени в зоната на конвенцията.</w:t>
      </w:r>
    </w:p>
    <w:p>
      <w:pPr>
        <w:pStyle w:val="ManualNumPar1"/>
        <w:rPr>
          <w:noProof/>
        </w:rPr>
      </w:pPr>
      <w:r>
        <w:t>2.</w:t>
      </w:r>
      <w:r>
        <w:tab/>
      </w:r>
      <w:r>
        <w:rPr>
          <w:noProof/>
        </w:rPr>
        <w:t xml:space="preserve">Ако скатове от сем. </w:t>
      </w:r>
      <w:r>
        <w:rPr>
          <w:i/>
          <w:noProof/>
        </w:rPr>
        <w:t>Mobulidae</w:t>
      </w:r>
      <w:r>
        <w:rPr>
          <w:noProof/>
        </w:rPr>
        <w:t xml:space="preserve"> бъдат уловени случайно и замразени като част от дейността на риболовен кораб с мрежа гъргър, корабът предава на отговорните органи в мястото на разтоварване целите скатове от сем. </w:t>
      </w:r>
      <w:r>
        <w:rPr>
          <w:i/>
          <w:noProof/>
        </w:rPr>
        <w:t>Mobulidae</w:t>
      </w:r>
      <w:r>
        <w:rPr>
          <w:noProof/>
        </w:rPr>
        <w:t>. Предадените по този начин скатове от сем.</w:t>
      </w:r>
      <w:r>
        <w:rPr>
          <w:i/>
          <w:noProof/>
        </w:rPr>
        <w:t xml:space="preserve"> Mobulidae</w:t>
      </w:r>
      <w:r>
        <w:rPr>
          <w:noProof/>
        </w:rPr>
        <w:t xml:space="preserve"> не могат да бъдат продавани или разменяни, но могат да бъдат дарени за домашна консумация от човека.</w:t>
      </w:r>
    </w:p>
    <w:p>
      <w:pPr>
        <w:pStyle w:val="ManualNumPar1"/>
        <w:rPr>
          <w:noProof/>
        </w:rPr>
      </w:pPr>
      <w:r>
        <w:t>3.</w:t>
      </w:r>
      <w:r>
        <w:tab/>
      </w:r>
      <w:r>
        <w:rPr>
          <w:noProof/>
        </w:rPr>
        <w:t xml:space="preserve">Уловените случайно скатове от сем. </w:t>
      </w:r>
      <w:r>
        <w:rPr>
          <w:i/>
          <w:noProof/>
        </w:rPr>
        <w:t>Mobulidae</w:t>
      </w:r>
      <w:r>
        <w:rPr>
          <w:noProof/>
        </w:rPr>
        <w:t xml:space="preserve"> се освобождават незабавно неувредени — доколкото това е практически възможно — веднага след като бъдат забелязани в мрежата, на куката или на палубата. Освобождаването се извършва по начин, който води до възможно най-малко увреждане на уловените скатове от сем. </w:t>
      </w:r>
      <w:r>
        <w:rPr>
          <w:i/>
          <w:noProof/>
        </w:rPr>
        <w:t>Mobulidae</w:t>
      </w:r>
      <w:r>
        <w:rPr>
          <w:noProof/>
        </w:rPr>
        <w:t>, без да се застрашава безопасността на хората, като се следват насоките, описани подробно в приложение 1 към Резолюция C-15-04 на IATTC.</w:t>
      </w:r>
    </w:p>
    <w:p>
      <w:pPr>
        <w:pStyle w:val="ManualNumPar1"/>
        <w:rPr>
          <w:noProof/>
        </w:rPr>
      </w:pPr>
      <w:r>
        <w:t>4.</w:t>
      </w:r>
      <w:r>
        <w:tab/>
      </w:r>
      <w:r>
        <w:rPr>
          <w:noProof/>
        </w:rPr>
        <w:t xml:space="preserve">Чрез програмите за наблюдение държавите членки регистрират, наред с другото, броя на изхвърлените и освободените скатове от сем. </w:t>
      </w:r>
      <w:r>
        <w:rPr>
          <w:i/>
          <w:noProof/>
        </w:rPr>
        <w:t>Mobulidae</w:t>
      </w:r>
      <w:r>
        <w:rPr>
          <w:noProof/>
        </w:rPr>
        <w:t xml:space="preserve">, като посочват състоянието (мъртви или живи), включително броя на предадените скатове от сем. </w:t>
      </w:r>
      <w:r>
        <w:rPr>
          <w:i/>
          <w:noProof/>
        </w:rPr>
        <w:t>Mobulidae</w:t>
      </w:r>
      <w:r>
        <w:rPr>
          <w:noProof/>
        </w:rPr>
        <w:t xml:space="preserve"> съгласно параграф 2. </w:t>
      </w:r>
    </w:p>
    <w:p>
      <w:pPr>
        <w:pStyle w:val="Titrearticle"/>
        <w:rPr>
          <w:noProof/>
        </w:rPr>
      </w:pPr>
      <w:r>
        <w:rPr>
          <w:noProof/>
        </w:rPr>
        <w:t>Член 10</w:t>
      </w:r>
    </w:p>
    <w:p>
      <w:pPr>
        <w:pStyle w:val="Titrearticle"/>
        <w:rPr>
          <w:noProof/>
        </w:rPr>
      </w:pPr>
      <w:r>
        <w:rPr>
          <w:noProof/>
        </w:rPr>
        <w:t>Копринени акули</w:t>
      </w:r>
    </w:p>
    <w:p>
      <w:pPr>
        <w:pStyle w:val="ManualNumPar1"/>
        <w:rPr>
          <w:noProof/>
        </w:rPr>
      </w:pPr>
      <w:r>
        <w:t>1.</w:t>
      </w:r>
      <w:r>
        <w:tab/>
      </w:r>
      <w:r>
        <w:rPr>
          <w:noProof/>
        </w:rPr>
        <w:t>Забранява се задържането на борда, трансбордирането, разтоварването, съхранението, продажбата или предлагането за продажба на части или цели трупове на копринени акули (</w:t>
      </w:r>
      <w:r>
        <w:rPr>
          <w:i/>
          <w:noProof/>
        </w:rPr>
        <w:t>Carcharhinus falciformis</w:t>
      </w:r>
      <w:r>
        <w:rPr>
          <w:noProof/>
        </w:rPr>
        <w:t xml:space="preserve">), уловени от кораби с мрежи гъргър в зоната на конвенцията. </w:t>
      </w:r>
    </w:p>
    <w:p>
      <w:pPr>
        <w:pStyle w:val="ManualNumPar1"/>
        <w:rPr>
          <w:noProof/>
        </w:rPr>
      </w:pPr>
      <w:r>
        <w:t>2.</w:t>
      </w:r>
      <w:r>
        <w:tab/>
      </w:r>
      <w:r>
        <w:rPr>
          <w:noProof/>
        </w:rPr>
        <w:t xml:space="preserve">Ако обаче копринени акули бъдат уловени случайно и замразени като част от дейностите на риболовен кораб с мрежа гъргър, целите екземпляри от този вид трябва да бъде предадена на правителствените органи, в случай че те присъстват на мястото на разтоварване. Ако не присъстват правителствени органи, предадените цели копринени акули не могат да бъдат продавани или разменяни, но могат да бъдат дарени за консумация от човека в домашни условия. За предадените по този начин копринени акули се изпраща доклад до секретариата на IATTC. </w:t>
      </w:r>
    </w:p>
    <w:p>
      <w:pPr>
        <w:pStyle w:val="ManualNumPar1"/>
        <w:rPr>
          <w:noProof/>
        </w:rPr>
      </w:pPr>
      <w:r>
        <w:t>3.</w:t>
      </w:r>
      <w:r>
        <w:tab/>
      </w:r>
      <w:r>
        <w:rPr>
          <w:noProof/>
        </w:rPr>
        <w:t xml:space="preserve">Корабите с парагади, които случайно уловят акули, ограничават прилова на копринени акули до най-много 20 % от теглото на общия улов на риболовен рейс. </w:t>
      </w:r>
    </w:p>
    <w:p>
      <w:pPr>
        <w:pStyle w:val="ManualNumPar1"/>
        <w:rPr>
          <w:noProof/>
        </w:rPr>
      </w:pPr>
      <w:r>
        <w:t>4.</w:t>
      </w:r>
      <w:r>
        <w:tab/>
      </w:r>
      <w:r>
        <w:rPr>
          <w:noProof/>
        </w:rPr>
        <w:t xml:space="preserve">Риболовните кораби на Съюза не могат да извършват риболовни дейности в идентифицираните от IATTC зони, в които се извършва размножаването на копринени акули. </w:t>
      </w:r>
    </w:p>
    <w:p>
      <w:pPr>
        <w:pStyle w:val="Titrearticle"/>
        <w:rPr>
          <w:noProof/>
        </w:rPr>
      </w:pPr>
      <w:r>
        <w:rPr>
          <w:noProof/>
        </w:rPr>
        <w:t>Член 11</w:t>
      </w:r>
    </w:p>
    <w:p>
      <w:pPr>
        <w:pStyle w:val="Titrearticle"/>
        <w:rPr>
          <w:noProof/>
        </w:rPr>
      </w:pPr>
      <w:r>
        <w:rPr>
          <w:noProof/>
        </w:rPr>
        <w:t xml:space="preserve">Китови акули </w:t>
      </w:r>
    </w:p>
    <w:p>
      <w:pPr>
        <w:pStyle w:val="ManualNumPar1"/>
        <w:rPr>
          <w:noProof/>
        </w:rPr>
      </w:pPr>
      <w:r>
        <w:t>1.</w:t>
      </w:r>
      <w:r>
        <w:tab/>
      </w:r>
      <w:r>
        <w:rPr>
          <w:noProof/>
        </w:rPr>
        <w:t>На риболовните кораби на Съюза се забранява да залагат мрежи гъргър за пасажи от риба тон, смесени с живи китови акули (</w:t>
      </w:r>
      <w:r>
        <w:rPr>
          <w:i/>
          <w:noProof/>
        </w:rPr>
        <w:t>Rhincodon typus</w:t>
      </w:r>
      <w:r>
        <w:rPr>
          <w:noProof/>
        </w:rPr>
        <w:t xml:space="preserve">), ако китовите акули са били забелязани преди да започне залагането на мрежата.  </w:t>
      </w:r>
    </w:p>
    <w:p>
      <w:pPr>
        <w:pStyle w:val="ManualNumPar1"/>
        <w:rPr>
          <w:noProof/>
        </w:rPr>
      </w:pPr>
      <w:r>
        <w:t>2.</w:t>
      </w:r>
      <w:r>
        <w:tab/>
      </w:r>
      <w:r>
        <w:rPr>
          <w:noProof/>
        </w:rPr>
        <w:t xml:space="preserve">В случай че китова акула е оградена неумишлено от мрежа гъргър, капитанът на кораба:  </w:t>
      </w:r>
    </w:p>
    <w:p>
      <w:pPr>
        <w:spacing w:before="0" w:after="107" w:line="249" w:lineRule="auto"/>
        <w:ind w:firstLine="360"/>
        <w:rPr>
          <w:noProof/>
        </w:rPr>
      </w:pPr>
      <w:r>
        <w:rPr>
          <w:noProof/>
        </w:rPr>
        <w:t>a)</w:t>
      </w:r>
      <w:r>
        <w:rPr>
          <w:noProof/>
        </w:rPr>
        <w:tab/>
        <w:t>гарантира, че са предприети всички разумни стъпки, за да се гарантира безопасното ѝ освобождаване; и</w:t>
      </w:r>
    </w:p>
    <w:p>
      <w:pPr>
        <w:spacing w:before="0" w:after="107" w:line="249" w:lineRule="auto"/>
        <w:ind w:left="720" w:hanging="360"/>
        <w:rPr>
          <w:noProof/>
        </w:rPr>
      </w:pPr>
      <w:r>
        <w:rPr>
          <w:noProof/>
        </w:rPr>
        <w:t>б)</w:t>
      </w:r>
      <w:r>
        <w:rPr>
          <w:noProof/>
        </w:rPr>
        <w:tab/>
        <w:t xml:space="preserve">докладва за инцидента на държавата членка, включително броя на засегнатите екземпляри, данни за начина и причините за ограждането, мястото на ограждането, мерките, предприети за гарантиране на безопасно освобождаване, и оценката на състоянието на животното/животните при освобождаване (включително дали някои от тях са били освободени живи, но впоследствие са умрели). </w:t>
      </w:r>
    </w:p>
    <w:p>
      <w:pPr>
        <w:pStyle w:val="ManualNumPar1"/>
        <w:rPr>
          <w:noProof/>
        </w:rPr>
      </w:pPr>
      <w:r>
        <w:t>3.</w:t>
      </w:r>
      <w:r>
        <w:tab/>
      </w:r>
      <w:r>
        <w:rPr>
          <w:noProof/>
        </w:rPr>
        <w:t>Изтеглянето на китовите акули от мрежата гъргър не може да се извършва чрез повдигане на мрежата, а само чрез нейното спускане.</w:t>
      </w:r>
    </w:p>
    <w:p>
      <w:pPr>
        <w:pStyle w:val="Titrearticle"/>
        <w:rPr>
          <w:noProof/>
        </w:rPr>
      </w:pPr>
      <w:r>
        <w:rPr>
          <w:noProof/>
        </w:rPr>
        <w:t>Член 12</w:t>
      </w:r>
    </w:p>
    <w:p>
      <w:pPr>
        <w:pStyle w:val="Titrearticle"/>
        <w:rPr>
          <w:noProof/>
        </w:rPr>
      </w:pPr>
      <w:r>
        <w:rPr>
          <w:noProof/>
        </w:rPr>
        <w:t>Безопасно освобождаване на акули от корабите с мрежи гъргър</w:t>
      </w:r>
    </w:p>
    <w:p>
      <w:pPr>
        <w:pStyle w:val="ManualNumPar1"/>
        <w:rPr>
          <w:noProof/>
        </w:rPr>
      </w:pPr>
      <w:r>
        <w:t>1.</w:t>
      </w:r>
      <w:r>
        <w:tab/>
      </w:r>
      <w:r>
        <w:rPr>
          <w:noProof/>
        </w:rPr>
        <w:t xml:space="preserve">Корабите на Съюза незабавно освобождават уловените акули, които няма да бъдат задържани (независимо дали са живи или мъртви), неувредени — доколкото това е практически възможно — веднага след като бъдат забелязани в мрежата или на палубата, без да се застрашава безопасността на хората. </w:t>
      </w:r>
    </w:p>
    <w:p>
      <w:pPr>
        <w:pStyle w:val="ManualNumPar1"/>
        <w:rPr>
          <w:noProof/>
        </w:rPr>
      </w:pPr>
      <w:r>
        <w:t>2.</w:t>
      </w:r>
      <w:r>
        <w:tab/>
      </w:r>
      <w:r>
        <w:rPr>
          <w:noProof/>
        </w:rPr>
        <w:t>Ако дадена акула е жива, когато е хваната от кораб с мрежа гъргър, и няма да бъде задържана, тя се освобождава, като се използват следните процедури или също толкова ефективни средства:</w:t>
      </w:r>
    </w:p>
    <w:p>
      <w:pPr>
        <w:pStyle w:val="Point0"/>
        <w:rPr>
          <w:noProof/>
        </w:rPr>
      </w:pPr>
      <w:r>
        <w:rPr>
          <w:noProof/>
        </w:rPr>
        <w:t>а)</w:t>
      </w:r>
      <w:r>
        <w:rPr>
          <w:noProof/>
        </w:rPr>
        <w:tab/>
        <w:t>акулите се освобождават от мрежата, като се пускат директно в океана през устройството за изтегляне и връзване на въжетата. Акулите, които не могат да бъдат освободени преди разтоварването им на палубата, без да се застрашава безопасността на хората, се връщат във водата възможно най-бързо, като се използва рампа, разположена на палубата и свързана с отвор отстрани на кораба, или през аварийните люкове. Ако не са налични рампи или аварийни люкове, акулите се спускат във водата с въжета или мрежи за товари, като се използва кран или подобно оборудване, ако има такова;</w:t>
      </w:r>
    </w:p>
    <w:p>
      <w:pPr>
        <w:pStyle w:val="Point0"/>
        <w:rPr>
          <w:noProof/>
        </w:rPr>
      </w:pPr>
      <w:r>
        <w:rPr>
          <w:noProof/>
        </w:rPr>
        <w:t>б)</w:t>
      </w:r>
      <w:r>
        <w:rPr>
          <w:noProof/>
        </w:rPr>
        <w:tab/>
        <w:t>забранява се използването на канджи, куки или подобни инструменти при съприкосновение с акули. Акулите не могат да бъдат повдигани откъм главата, опашката, хрилните отвори или стигмите, нито чрез използване на тел около или през тялото; също така не се разрешава пробиването на дупки през тялото на акулите (например за прокарването на кабел, с който да бъде повдигната акулата).</w:t>
      </w:r>
    </w:p>
    <w:p>
      <w:pPr>
        <w:pStyle w:val="Titrearticle"/>
        <w:rPr>
          <w:noProof/>
        </w:rPr>
      </w:pPr>
      <w:r>
        <w:rPr>
          <w:noProof/>
        </w:rPr>
        <w:t>Член 13</w:t>
      </w:r>
    </w:p>
    <w:p>
      <w:pPr>
        <w:pStyle w:val="Titrearticle"/>
        <w:rPr>
          <w:noProof/>
        </w:rPr>
      </w:pPr>
      <w:r>
        <w:rPr>
          <w:noProof/>
        </w:rPr>
        <w:t>Забрана за използване на въдици за акули от кораби с парагади</w:t>
      </w:r>
    </w:p>
    <w:p>
      <w:pPr>
        <w:rPr>
          <w:noProof/>
        </w:rPr>
      </w:pPr>
      <w:r>
        <w:rPr>
          <w:noProof/>
        </w:rPr>
        <w:t>Забранява се използването на въдици за акули от риболовните кораби на Съюза с парагади.</w:t>
      </w:r>
    </w:p>
    <w:p>
      <w:pPr>
        <w:pStyle w:val="Titrearticle"/>
        <w:rPr>
          <w:noProof/>
        </w:rPr>
      </w:pPr>
      <w:r>
        <w:rPr>
          <w:noProof/>
        </w:rPr>
        <w:t>Член 14</w:t>
      </w:r>
    </w:p>
    <w:p>
      <w:pPr>
        <w:pStyle w:val="Titrearticle"/>
        <w:spacing w:before="120"/>
        <w:rPr>
          <w:noProof/>
        </w:rPr>
      </w:pPr>
      <w:r>
        <w:rPr>
          <w:noProof/>
        </w:rPr>
        <w:t>Събиране на данни относно видовете акули</w:t>
      </w:r>
    </w:p>
    <w:p>
      <w:pPr>
        <w:pStyle w:val="ManualNumPar1"/>
        <w:rPr>
          <w:noProof/>
        </w:rPr>
      </w:pPr>
      <w:r>
        <w:t>1.</w:t>
      </w:r>
      <w:r>
        <w:tab/>
      </w:r>
      <w:r>
        <w:rPr>
          <w:noProof/>
        </w:rPr>
        <w:t xml:space="preserve">Капитаните на риболовните кораби на Съюза събират и предоставят данните за улова на копринени акули и акули чук на държавите членки, които ги изпращат на Комисията до 31 март всяка година. Комисията препраща тази информация на секретариата на IATTC. </w:t>
      </w:r>
    </w:p>
    <w:p>
      <w:pPr>
        <w:pStyle w:val="ManualNumPar1"/>
        <w:rPr>
          <w:noProof/>
        </w:rPr>
      </w:pPr>
      <w:r>
        <w:t>2.</w:t>
      </w:r>
      <w:r>
        <w:tab/>
      </w:r>
      <w:r>
        <w:rPr>
          <w:noProof/>
        </w:rPr>
        <w:t>Наблюдателите на корабите на Съюза регистрират броя и състоянието (мъртви/живи) на уловените и освободените копринени акули и акули чук.</w:t>
      </w:r>
    </w:p>
    <w:p>
      <w:pPr>
        <w:keepNext/>
        <w:jc w:val="center"/>
        <w:rPr>
          <w:noProof/>
        </w:rPr>
      </w:pPr>
      <w:r>
        <w:rPr>
          <w:noProof/>
        </w:rPr>
        <w:t>РАЗДЕЛ 2</w:t>
      </w:r>
    </w:p>
    <w:p>
      <w:pPr>
        <w:keepNext/>
        <w:jc w:val="center"/>
        <w:rPr>
          <w:noProof/>
        </w:rPr>
      </w:pPr>
      <w:r>
        <w:rPr>
          <w:noProof/>
        </w:rPr>
        <w:t>ДРУГИ ВИДОВЕ</w:t>
      </w:r>
    </w:p>
    <w:p>
      <w:pPr>
        <w:pStyle w:val="Titrearticle"/>
        <w:rPr>
          <w:noProof/>
        </w:rPr>
      </w:pPr>
      <w:r>
        <w:rPr>
          <w:noProof/>
        </w:rPr>
        <w:t>Член 15</w:t>
      </w:r>
    </w:p>
    <w:p>
      <w:pPr>
        <w:pStyle w:val="Titrearticle"/>
        <w:spacing w:before="120"/>
        <w:rPr>
          <w:noProof/>
        </w:rPr>
      </w:pPr>
      <w:r>
        <w:rPr>
          <w:noProof/>
        </w:rPr>
        <w:t>Морски птици</w:t>
      </w:r>
    </w:p>
    <w:p>
      <w:pPr>
        <w:pStyle w:val="ManualNumPar1"/>
        <w:rPr>
          <w:rFonts w:eastAsia="Times New Roman"/>
          <w:noProof/>
          <w:color w:val="000000"/>
          <w:szCs w:val="24"/>
        </w:rPr>
      </w:pPr>
      <w:r>
        <w:t>1.</w:t>
      </w:r>
      <w:r>
        <w:tab/>
      </w:r>
      <w:r>
        <w:rPr>
          <w:noProof/>
        </w:rPr>
        <w:t xml:space="preserve">Кораби с парагади, които използват хидравлични, механични или електрически системи и които извършват риболов на видове в обхвата на зоната на конвенцията на север от 23° с.ш. и на юг от 30° ю.ш., както и в зоната, ограничена от бреговата линия на 2° с.ш., на запад до 2° с.ш.—95° з.д., на юг до 15° ю.ш.—95° з.д., на изток до 15° ю.ш.—85° з.д. и на юг до 30° ю.ш., прилагат най-малко две от смекчаващите мерки, съдържащи се в таблицата в приложението към настоящия регламент, включително най-малко една мярка от колона A. Корабите не могат да използват една и съща мярка от колона A и от колона Б. </w:t>
      </w:r>
    </w:p>
    <w:p>
      <w:pPr>
        <w:pStyle w:val="ManualNumPar1"/>
        <w:rPr>
          <w:noProof/>
        </w:rPr>
      </w:pPr>
      <w:r>
        <w:t>2.</w:t>
      </w:r>
      <w:r>
        <w:tab/>
      </w:r>
      <w:r>
        <w:rPr>
          <w:noProof/>
        </w:rPr>
        <w:t>Независимо от параграф 1 страничното залагане със завеси за възпиране на птиците и вторични въдици с тежести трябва да се извършва единствено в зоната на север от 23° с.ш., докато научните изследвания установят полезността на тази мярка във водите на юг от 30° ю.ш. Страничното залагане със завеси за възпиране на птиците и вторични въдици с тежести от колона A ще се счита за две смекчаващи мерки.</w:t>
      </w:r>
    </w:p>
    <w:p>
      <w:pPr>
        <w:pStyle w:val="ManualNumPar1"/>
        <w:rPr>
          <w:noProof/>
        </w:rPr>
      </w:pPr>
      <w:r>
        <w:t>3.</w:t>
      </w:r>
      <w:r>
        <w:tab/>
      </w:r>
      <w:r>
        <w:rPr>
          <w:noProof/>
        </w:rPr>
        <w:t>Ако се избере използването на въдица със серпентини от колона A и от колона Б, това се равнява на едновременно използване на две (т.e. сдвоени) въдици със серпентини.</w:t>
      </w:r>
    </w:p>
    <w:p>
      <w:pPr>
        <w:pStyle w:val="Titrearticle"/>
        <w:rPr>
          <w:noProof/>
        </w:rPr>
      </w:pPr>
      <w:r>
        <w:rPr>
          <w:noProof/>
        </w:rPr>
        <w:t>Член 16</w:t>
      </w:r>
    </w:p>
    <w:p>
      <w:pPr>
        <w:pStyle w:val="Titrearticle"/>
        <w:spacing w:before="120"/>
        <w:contextualSpacing/>
        <w:rPr>
          <w:noProof/>
        </w:rPr>
      </w:pPr>
      <w:r>
        <w:rPr>
          <w:noProof/>
        </w:rPr>
        <w:t>Морски костенурки</w:t>
      </w:r>
    </w:p>
    <w:p>
      <w:pPr>
        <w:pStyle w:val="ManualNumPar1"/>
        <w:rPr>
          <w:noProof/>
        </w:rPr>
      </w:pPr>
      <w:r>
        <w:t>1.</w:t>
      </w:r>
      <w:r>
        <w:tab/>
      </w:r>
      <w:r>
        <w:rPr>
          <w:noProof/>
        </w:rPr>
        <w:t xml:space="preserve">Корабите на Съюза незабавно освобождават по начин, който причинява възможно най-малко увреждане — доколкото това е практически възможно — всички морски костенурки, без да се застрашава безопасността на хората, като най-малко един член от екипажа е обучен да прилага техники за съприкосновение и освобождаване на морски костенурки с цел увеличаване на шансовете за оцеляване след освобождаването им. </w:t>
      </w:r>
    </w:p>
    <w:p>
      <w:pPr>
        <w:pStyle w:val="ManualNumPar1"/>
        <w:rPr>
          <w:noProof/>
        </w:rPr>
      </w:pPr>
      <w:r>
        <w:t>2.</w:t>
      </w:r>
      <w:r>
        <w:tab/>
      </w:r>
      <w:r>
        <w:rPr>
          <w:noProof/>
        </w:rPr>
        <w:t xml:space="preserve">Държавите членки продължават да участват и насърчават изследванията за идентифициране на техники за по-нататъшно намаляване на прилова на морски костенурки във всички видове уреди, използвани в източната част на Тихия океан. </w:t>
      </w:r>
    </w:p>
    <w:p>
      <w:pPr>
        <w:pStyle w:val="ManualNumPar1"/>
        <w:rPr>
          <w:noProof/>
        </w:rPr>
      </w:pPr>
      <w:r>
        <w:t>3.</w:t>
      </w:r>
      <w:r>
        <w:tab/>
      </w:r>
      <w:r>
        <w:rPr>
          <w:noProof/>
        </w:rPr>
        <w:t>Капитанът на кораб с мрежа гъргър:</w:t>
      </w:r>
    </w:p>
    <w:p>
      <w:pPr>
        <w:pStyle w:val="Point0"/>
        <w:rPr>
          <w:noProof/>
        </w:rPr>
      </w:pPr>
      <w:r>
        <w:rPr>
          <w:noProof/>
        </w:rPr>
        <w:t>а)</w:t>
      </w:r>
      <w:r>
        <w:rPr>
          <w:noProof/>
        </w:rPr>
        <w:tab/>
        <w:t>избягва — доколкото това е практически възможно — ограждането и носенето на борда на морски костенурки, и използва, когато е подходящо, инструменти за безопасно освобождаване на морските костенурки, както и предприема всички разумни стъпки, в случай че морска костенурка бъде забелязана в мрежата гъргър, за да гарантира безопасното ѝ освобождаване;</w:t>
      </w:r>
    </w:p>
    <w:p>
      <w:pPr>
        <w:pStyle w:val="Point0"/>
        <w:rPr>
          <w:noProof/>
        </w:rPr>
      </w:pPr>
      <w:r>
        <w:rPr>
          <w:noProof/>
        </w:rPr>
        <w:t>б)</w:t>
      </w:r>
      <w:r>
        <w:rPr>
          <w:noProof/>
        </w:rPr>
        <w:tab/>
        <w:t>предприема необходимите действия за наблюдение на УПР за заплитане на морски костенурки и осигурява освобождаването на всички морски костенурки, заплетени в УПР;</w:t>
      </w:r>
    </w:p>
    <w:p>
      <w:pPr>
        <w:pStyle w:val="Point0"/>
        <w:rPr>
          <w:noProof/>
        </w:rPr>
      </w:pPr>
      <w:r>
        <w:rPr>
          <w:noProof/>
        </w:rPr>
        <w:t>в)</w:t>
      </w:r>
      <w:r>
        <w:rPr>
          <w:noProof/>
        </w:rPr>
        <w:tab/>
        <w:t>регистрира всички наблюдавани взаимодействия с морски костенурки по време на риболовни операции с мрежи гъргър и докладва тази информация на националните органи.</w:t>
      </w:r>
    </w:p>
    <w:p>
      <w:pPr>
        <w:pStyle w:val="ManualNumPar1"/>
        <w:rPr>
          <w:noProof/>
        </w:rPr>
      </w:pPr>
      <w:r>
        <w:t>4.</w:t>
      </w:r>
      <w:r>
        <w:tab/>
      </w:r>
      <w:r>
        <w:rPr>
          <w:noProof/>
        </w:rPr>
        <w:t>Капитанът на кораб с парагади:</w:t>
      </w:r>
    </w:p>
    <w:p>
      <w:pPr>
        <w:pStyle w:val="Point0"/>
        <w:rPr>
          <w:noProof/>
        </w:rPr>
      </w:pPr>
      <w:r>
        <w:rPr>
          <w:noProof/>
        </w:rPr>
        <w:t>а)</w:t>
      </w:r>
      <w:r>
        <w:rPr>
          <w:noProof/>
        </w:rPr>
        <w:tab/>
        <w:t>носи на борда и, когато възникне взаимодействие с морски костенурки, използва необходимото оборудване (например прибори за сваляне на кукичките, за прекъсване на риболовната линия и риболовни кепове с мрежи) за бързото освобождаване на случайно уловените морски костенурки;</w:t>
      </w:r>
    </w:p>
    <w:p>
      <w:pPr>
        <w:pStyle w:val="Point0"/>
        <w:rPr>
          <w:noProof/>
        </w:rPr>
      </w:pPr>
      <w:r>
        <w:rPr>
          <w:noProof/>
        </w:rPr>
        <w:t>б)</w:t>
      </w:r>
      <w:r>
        <w:rPr>
          <w:noProof/>
        </w:rPr>
        <w:tab/>
        <w:t>когато по-голяма част от куките се използват за улов на риба на дълбочина, по-малка от 100 m, използва една от следните две смекчаващи мерки: големи куки с кръгла извивка или използване само на риба за стръв;</w:t>
      </w:r>
    </w:p>
    <w:p>
      <w:pPr>
        <w:pStyle w:val="Point0"/>
        <w:rPr>
          <w:noProof/>
        </w:rPr>
      </w:pPr>
      <w:r>
        <w:rPr>
          <w:noProof/>
        </w:rPr>
        <w:t>в)</w:t>
      </w:r>
      <w:r>
        <w:rPr>
          <w:noProof/>
        </w:rPr>
        <w:tab/>
        <w:t>докладва всички взаимодействия на националните органи.</w:t>
      </w:r>
    </w:p>
    <w:p>
      <w:pPr>
        <w:pStyle w:val="ManualNumPar1"/>
        <w:rPr>
          <w:noProof/>
        </w:rPr>
      </w:pPr>
      <w:r>
        <w:t>5.</w:t>
      </w:r>
      <w:r>
        <w:tab/>
      </w:r>
      <w:r>
        <w:rPr>
          <w:noProof/>
        </w:rPr>
        <w:t xml:space="preserve">Държавите членки подкрепят научните изследвания и разработването на изменения в проектните характеристики на УПР с цел намаляване на заплитането на морски костенурки, както и предприемат мерки за насърчаване на използването на проектни характеристики, които са доказано успешни за такова намаляване. </w:t>
      </w:r>
    </w:p>
    <w:p>
      <w:pPr>
        <w:pStyle w:val="Titrearticle"/>
        <w:rPr>
          <w:noProof/>
        </w:rPr>
      </w:pPr>
      <w:r>
        <w:rPr>
          <w:noProof/>
        </w:rPr>
        <w:t>Член 17</w:t>
      </w:r>
    </w:p>
    <w:p>
      <w:pPr>
        <w:pStyle w:val="Titrearticle"/>
        <w:rPr>
          <w:noProof/>
        </w:rPr>
      </w:pPr>
      <w:r>
        <w:rPr>
          <w:noProof/>
        </w:rPr>
        <w:t>Опазване на делфините</w:t>
      </w:r>
    </w:p>
    <w:p>
      <w:pPr>
        <w:pStyle w:val="Text1"/>
        <w:rPr>
          <w:noProof/>
        </w:rPr>
      </w:pPr>
      <w:r>
        <w:rPr>
          <w:noProof/>
        </w:rPr>
        <w:t>Единствено риболовни кораби на Съюза, които действат съгласно условията, залегнали в споразумението, и за които е определена граница на смъртност при делфините, получават разрешение да ограждат пасажи или групи делфини с мрежи гъргър, когато извършват риболов на жълтопер тунец в зоната на конвенцията.</w:t>
      </w:r>
    </w:p>
    <w:p>
      <w:pPr>
        <w:pStyle w:val="Text1"/>
        <w:rPr>
          <w:noProof/>
          <w:lang w:bidi="en-US"/>
        </w:rPr>
      </w:pPr>
    </w:p>
    <w:p>
      <w:pPr>
        <w:keepNext/>
        <w:jc w:val="center"/>
        <w:rPr>
          <w:noProof/>
        </w:rPr>
      </w:pPr>
      <w:r>
        <w:rPr>
          <w:noProof/>
        </w:rPr>
        <w:t>ГЛАВА IV</w:t>
      </w:r>
    </w:p>
    <w:p>
      <w:pPr>
        <w:keepNext/>
        <w:jc w:val="center"/>
        <w:rPr>
          <w:noProof/>
        </w:rPr>
      </w:pPr>
      <w:r>
        <w:rPr>
          <w:noProof/>
        </w:rPr>
        <w:t>НАУЧНИ НАБЛЮДАТЕЛИ</w:t>
      </w:r>
    </w:p>
    <w:p>
      <w:pPr>
        <w:pStyle w:val="Titrearticle"/>
        <w:rPr>
          <w:noProof/>
        </w:rPr>
      </w:pPr>
      <w:r>
        <w:rPr>
          <w:noProof/>
        </w:rPr>
        <w:t>Член 18</w:t>
      </w:r>
    </w:p>
    <w:p>
      <w:pPr>
        <w:pStyle w:val="Titrearticle"/>
        <w:spacing w:before="120"/>
        <w:rPr>
          <w:noProof/>
        </w:rPr>
      </w:pPr>
      <w:r>
        <w:rPr>
          <w:noProof/>
        </w:rPr>
        <w:t>Научни наблюдатели на кораби с парагади</w:t>
      </w:r>
    </w:p>
    <w:p>
      <w:pPr>
        <w:pStyle w:val="ManualNumPar1"/>
        <w:rPr>
          <w:noProof/>
        </w:rPr>
      </w:pPr>
      <w:r>
        <w:t>1.</w:t>
      </w:r>
      <w:r>
        <w:tab/>
      </w:r>
      <w:r>
        <w:rPr>
          <w:noProof/>
        </w:rPr>
        <w:t xml:space="preserve">Държавите членки гарантират, че при най-малко 5 % от риболовното усилие, предприето от техните кораби с обща дължина над 20 m, е осигурено присъствие на научен наблюдател на борда. </w:t>
      </w:r>
    </w:p>
    <w:p>
      <w:pPr>
        <w:pStyle w:val="ManualNumPar1"/>
        <w:rPr>
          <w:noProof/>
        </w:rPr>
      </w:pPr>
      <w:r>
        <w:t>2.</w:t>
      </w:r>
      <w:r>
        <w:tab/>
      </w:r>
      <w:r>
        <w:rPr>
          <w:noProof/>
        </w:rPr>
        <w:t>Научните наблюдатели регистрират улова на целевите видове риба, състава на видовете и всякаква друга налична биологична информация, както и всички взаимодействия с нецелеви видове, като например морски костенурки, морски птици и акули.</w:t>
      </w:r>
    </w:p>
    <w:p>
      <w:pPr>
        <w:pStyle w:val="ManualNumPar1"/>
        <w:rPr>
          <w:noProof/>
        </w:rPr>
      </w:pPr>
      <w:r>
        <w:t>3.</w:t>
      </w:r>
      <w:r>
        <w:tab/>
      </w:r>
      <w:r>
        <w:rPr>
          <w:noProof/>
        </w:rPr>
        <w:t>Научните наблюдатели на борда на корабите на Съюза предоставят на органите на държавите членки доклад за своите наблюдения най-късно до 15 дни след края на всеки риболовен рейс. Този доклад се изпраща на Комисията съгласно член 25, параграф 5 от настоящия регламент.</w:t>
      </w:r>
    </w:p>
    <w:p>
      <w:pPr>
        <w:pStyle w:val="Titrearticle"/>
        <w:rPr>
          <w:noProof/>
        </w:rPr>
      </w:pPr>
      <w:r>
        <w:rPr>
          <w:noProof/>
        </w:rPr>
        <w:t>Член 19</w:t>
      </w:r>
    </w:p>
    <w:p>
      <w:pPr>
        <w:pStyle w:val="Titrearticle"/>
        <w:spacing w:before="120"/>
        <w:rPr>
          <w:noProof/>
        </w:rPr>
      </w:pPr>
      <w:r>
        <w:rPr>
          <w:noProof/>
        </w:rPr>
        <w:t>Безопасност на научните наблюдатели в морето</w:t>
      </w:r>
    </w:p>
    <w:p>
      <w:pPr>
        <w:pStyle w:val="ManualNumPar1"/>
        <w:rPr>
          <w:noProof/>
        </w:rPr>
      </w:pPr>
      <w:r>
        <w:t>1.</w:t>
      </w:r>
      <w:r>
        <w:tab/>
      </w:r>
      <w:r>
        <w:rPr>
          <w:noProof/>
        </w:rPr>
        <w:t>Разпоредбите на настоящия член не засягат посочените в приложение II към споразумението задължения на наблюдателите и отговорности на капитана на риболовния кораб.</w:t>
      </w:r>
    </w:p>
    <w:p>
      <w:pPr>
        <w:pStyle w:val="ManualNumPar1"/>
        <w:rPr>
          <w:noProof/>
        </w:rPr>
      </w:pPr>
      <w:r>
        <w:t>2.</w:t>
      </w:r>
      <w:r>
        <w:tab/>
      </w:r>
      <w:r>
        <w:rPr>
          <w:noProof/>
        </w:rPr>
        <w:t>Капитанът на риболовния кораб:</w:t>
      </w:r>
    </w:p>
    <w:p>
      <w:pPr>
        <w:pStyle w:val="Point0"/>
        <w:rPr>
          <w:noProof/>
        </w:rPr>
      </w:pPr>
      <w:r>
        <w:rPr>
          <w:noProof/>
        </w:rPr>
        <w:t>а)</w:t>
      </w:r>
      <w:r>
        <w:rPr>
          <w:noProof/>
        </w:rPr>
        <w:tab/>
        <w:t xml:space="preserve">предприема всички необходими мерки, за да гарантира, че наблюдателите могат да изпълняват своите задължения компетентно и безопасно; </w:t>
      </w:r>
    </w:p>
    <w:p>
      <w:pPr>
        <w:pStyle w:val="Point0"/>
        <w:rPr>
          <w:noProof/>
        </w:rPr>
      </w:pPr>
      <w:r>
        <w:rPr>
          <w:noProof/>
        </w:rPr>
        <w:t>б)</w:t>
      </w:r>
      <w:r>
        <w:rPr>
          <w:noProof/>
        </w:rPr>
        <w:tab/>
        <w:t xml:space="preserve">се стреми да гарантира, че наблюдателите сменят корабите между изпълнението на отделните си мисии; </w:t>
      </w:r>
    </w:p>
    <w:p>
      <w:pPr>
        <w:pStyle w:val="Point0"/>
        <w:rPr>
          <w:noProof/>
        </w:rPr>
      </w:pPr>
      <w:r>
        <w:rPr>
          <w:noProof/>
        </w:rPr>
        <w:t>в)</w:t>
      </w:r>
      <w:r>
        <w:rPr>
          <w:noProof/>
        </w:rPr>
        <w:tab/>
        <w:t xml:space="preserve">гарантира, че корабът, на който е разположен наблюдател, осигурява по време на неговия престой подходяща храна и настаняване, които по възможност са на същото ниво като за офицерския състав; </w:t>
      </w:r>
    </w:p>
    <w:p>
      <w:pPr>
        <w:pStyle w:val="Point0"/>
        <w:rPr>
          <w:noProof/>
        </w:rPr>
      </w:pPr>
      <w:r>
        <w:rPr>
          <w:noProof/>
        </w:rPr>
        <w:t>г)</w:t>
      </w:r>
      <w:r>
        <w:rPr>
          <w:noProof/>
        </w:rPr>
        <w:tab/>
        <w:t>гарантира, че на наблюдателите се осигурява цялото необходимо сътрудничество, за да могат те да изпълняват своите задължения безопасно, като включително им е предоставен достъп при поискване до задържания улов и до улова, предназначен за изхвърляне.</w:t>
      </w:r>
    </w:p>
    <w:p>
      <w:pPr>
        <w:pStyle w:val="ManualNumPar1"/>
        <w:rPr>
          <w:noProof/>
        </w:rPr>
      </w:pPr>
      <w:r>
        <w:t>3.</w:t>
      </w:r>
      <w:r>
        <w:tab/>
      </w:r>
      <w:r>
        <w:rPr>
          <w:noProof/>
        </w:rPr>
        <w:t>Държавите членки предприемат мерки за гарантиране на безопасността на наблюдателите и членовете на екипажа в съответствие с Резолюция C-11-08 на IATTC за подобряване на безопасността на наблюдателите в морето, както и съответните стандарти на Съюза и международните трудови стандарти</w:t>
      </w:r>
      <w:r>
        <w:rPr>
          <w:rStyle w:val="FootnoteReference"/>
          <w:noProof/>
          <w:lang w:bidi="en-US"/>
        </w:rPr>
        <w:footnoteReference w:id="17"/>
      </w:r>
      <w:r>
        <w:rPr>
          <w:noProof/>
        </w:rPr>
        <w:t xml:space="preserve">. </w:t>
      </w:r>
    </w:p>
    <w:p>
      <w:pPr>
        <w:pStyle w:val="ManualNumPar1"/>
        <w:rPr>
          <w:noProof/>
        </w:rPr>
      </w:pPr>
      <w:r>
        <w:t>4.</w:t>
      </w:r>
      <w:r>
        <w:tab/>
      </w:r>
      <w:r>
        <w:rPr>
          <w:noProof/>
        </w:rPr>
        <w:t>Държавите членки гарантират, че наблюдателите отговарят на критериите за квалификация, посочени в приложение II към споразумението.</w:t>
      </w:r>
    </w:p>
    <w:p>
      <w:pPr>
        <w:pStyle w:val="ManualNumPar1"/>
        <w:rPr>
          <w:noProof/>
        </w:rPr>
      </w:pPr>
      <w:r>
        <w:t>5.</w:t>
      </w:r>
      <w:r>
        <w:tab/>
      </w:r>
      <w:r>
        <w:rPr>
          <w:noProof/>
        </w:rPr>
        <w:t>В случай че наблюдател почине, изчезне или се предполага, че е паднал зад борда, капитанът на риболовния кораб гарантира, че риболовният кораб:</w:t>
      </w:r>
    </w:p>
    <w:p>
      <w:pPr>
        <w:pStyle w:val="Point0"/>
        <w:rPr>
          <w:noProof/>
        </w:rPr>
      </w:pPr>
      <w:r>
        <w:rPr>
          <w:noProof/>
        </w:rPr>
        <w:t>а)</w:t>
      </w:r>
      <w:r>
        <w:rPr>
          <w:noProof/>
        </w:rPr>
        <w:tab/>
        <w:t>незабавно прекратява всякакви риболовни операции;</w:t>
      </w:r>
    </w:p>
    <w:p>
      <w:pPr>
        <w:pStyle w:val="Point0"/>
        <w:rPr>
          <w:noProof/>
        </w:rPr>
      </w:pPr>
      <w:r>
        <w:rPr>
          <w:noProof/>
        </w:rPr>
        <w:t>б)</w:t>
      </w:r>
      <w:r>
        <w:rPr>
          <w:noProof/>
        </w:rPr>
        <w:tab/>
        <w:t xml:space="preserve">незабавно започва операции по издирване и спасяване, ако наблюдателят е изчезнал или се предполага, че е паднал зад борда, като издирването продължава най-малко 72 часа, освен ако държавата членка на знамето не е дала инструкции за продължаване на издирването; </w:t>
      </w:r>
    </w:p>
    <w:p>
      <w:pPr>
        <w:pStyle w:val="Point0"/>
        <w:rPr>
          <w:noProof/>
        </w:rPr>
      </w:pPr>
      <w:r>
        <w:rPr>
          <w:noProof/>
        </w:rPr>
        <w:t>в)</w:t>
      </w:r>
      <w:r>
        <w:rPr>
          <w:noProof/>
        </w:rPr>
        <w:tab/>
        <w:t>незабавно уведомява държавата членка на знамето и организацията, изпращаща наблюдателя;</w:t>
      </w:r>
    </w:p>
    <w:p>
      <w:pPr>
        <w:pStyle w:val="Point0"/>
        <w:rPr>
          <w:noProof/>
        </w:rPr>
      </w:pPr>
      <w:r>
        <w:rPr>
          <w:noProof/>
        </w:rPr>
        <w:t>г)</w:t>
      </w:r>
      <w:r>
        <w:rPr>
          <w:noProof/>
        </w:rPr>
        <w:tab/>
        <w:t>незабавно предупреждава другите кораби в съседство, като използва всички налични средства за комуникация;</w:t>
      </w:r>
    </w:p>
    <w:p>
      <w:pPr>
        <w:pStyle w:val="Point0"/>
        <w:rPr>
          <w:noProof/>
        </w:rPr>
      </w:pPr>
      <w:r>
        <w:rPr>
          <w:noProof/>
        </w:rPr>
        <w:t>д)</w:t>
      </w:r>
      <w:r>
        <w:rPr>
          <w:noProof/>
        </w:rPr>
        <w:tab/>
        <w:t>оказва пълно съдействие при всяка операция по издирване и спасяване, като след нейното приключване нарежда придвижването на кораба към най-близкото пристанище за по-нататъшно разследване съгласно договореното с държавата членка на знамето и организацията, изпращаща наблюдателя;</w:t>
      </w:r>
    </w:p>
    <w:p>
      <w:pPr>
        <w:pStyle w:val="Point0"/>
        <w:rPr>
          <w:noProof/>
        </w:rPr>
      </w:pPr>
      <w:r>
        <w:rPr>
          <w:noProof/>
        </w:rPr>
        <w:t>е)</w:t>
      </w:r>
      <w:r>
        <w:rPr>
          <w:noProof/>
        </w:rPr>
        <w:tab/>
        <w:t>предоставя доклада за инцидента на организацията, изпращаща наблюдателя, и органите на държавата членка на знамето; и</w:t>
      </w:r>
    </w:p>
    <w:p>
      <w:pPr>
        <w:pStyle w:val="Point0"/>
        <w:rPr>
          <w:noProof/>
        </w:rPr>
      </w:pPr>
      <w:r>
        <w:rPr>
          <w:noProof/>
        </w:rPr>
        <w:t>ж)</w:t>
      </w:r>
      <w:r>
        <w:rPr>
          <w:noProof/>
        </w:rPr>
        <w:tab/>
        <w:t>оказва пълно съдействие при всяко официално разследване на инцидента и запазва всички потенциални доказателства, както и личните вещи и помещенията, използвани от починалия или изчезнал наблюдател.</w:t>
      </w:r>
    </w:p>
    <w:p>
      <w:pPr>
        <w:pStyle w:val="ManualNumPar1"/>
        <w:rPr>
          <w:noProof/>
        </w:rPr>
      </w:pPr>
      <w:r>
        <w:t>6.</w:t>
      </w:r>
      <w:r>
        <w:tab/>
      </w:r>
      <w:r>
        <w:rPr>
          <w:noProof/>
        </w:rPr>
        <w:t>В случай на смърт на наблюдател капитанът на риболовния кораб гарантира — доколкото това е практически възможно — че тялото е добре запазено с цел аутопсия и разследване.</w:t>
      </w:r>
    </w:p>
    <w:p>
      <w:pPr>
        <w:pStyle w:val="ManualNumPar1"/>
        <w:rPr>
          <w:noProof/>
        </w:rPr>
      </w:pPr>
      <w:r>
        <w:t>7.</w:t>
      </w:r>
      <w:r>
        <w:tab/>
      </w:r>
      <w:r>
        <w:rPr>
          <w:noProof/>
        </w:rPr>
        <w:t>В случай че наблюдател страда от сериозно заболяване или нараняване, което застрашава неговия живот или дългосрочно здраве или безопасност, капитанът на риболовния кораб гарантира, че риболовният кораб:</w:t>
      </w:r>
    </w:p>
    <w:p>
      <w:pPr>
        <w:pStyle w:val="Point0"/>
        <w:rPr>
          <w:noProof/>
        </w:rPr>
      </w:pPr>
      <w:r>
        <w:rPr>
          <w:noProof/>
        </w:rPr>
        <w:t>а)</w:t>
      </w:r>
      <w:r>
        <w:rPr>
          <w:noProof/>
        </w:rPr>
        <w:tab/>
        <w:t>незабавно прекратява риболовните операции;</w:t>
      </w:r>
    </w:p>
    <w:p>
      <w:pPr>
        <w:pStyle w:val="Point0"/>
        <w:rPr>
          <w:noProof/>
        </w:rPr>
      </w:pPr>
      <w:r>
        <w:rPr>
          <w:noProof/>
        </w:rPr>
        <w:t>б)</w:t>
      </w:r>
      <w:r>
        <w:rPr>
          <w:noProof/>
        </w:rPr>
        <w:tab/>
        <w:t>незабавно уведомява държавата членка на знамето и организацията, изпращаща наблюдателя;</w:t>
      </w:r>
    </w:p>
    <w:p>
      <w:pPr>
        <w:pStyle w:val="Point0"/>
        <w:rPr>
          <w:noProof/>
        </w:rPr>
      </w:pPr>
      <w:r>
        <w:rPr>
          <w:noProof/>
        </w:rPr>
        <w:t>в)</w:t>
      </w:r>
      <w:r>
        <w:rPr>
          <w:noProof/>
        </w:rPr>
        <w:tab/>
        <w:t>предприема всички разумни действия за полагане на грижи за наблюдателя и за предоставяне на всяко налично и възможно медицинско лечение на борда на кораба, като при необходимост търси външна медицинска помощ;</w:t>
      </w:r>
    </w:p>
    <w:p>
      <w:pPr>
        <w:pStyle w:val="Point0"/>
        <w:rPr>
          <w:noProof/>
        </w:rPr>
      </w:pPr>
      <w:r>
        <w:rPr>
          <w:noProof/>
        </w:rPr>
        <w:t>г)</w:t>
      </w:r>
      <w:r>
        <w:rPr>
          <w:noProof/>
        </w:rPr>
        <w:tab/>
        <w:t>когато е получил указания от организацията, изпращаща наблюдателя (в случай че вече не е получил такива от държавата членка), улеснява слизането от борда и транспортирането на наблюдателя до медицинско заведение, оборудвано за осигуряване на необходимите грижи, както е указано от държавата членка или от организацията, изпращаща наблюдателя, веднага щом това е практически възможно; и</w:t>
      </w:r>
    </w:p>
    <w:p>
      <w:pPr>
        <w:pStyle w:val="Point0"/>
        <w:rPr>
          <w:noProof/>
        </w:rPr>
      </w:pPr>
      <w:r>
        <w:rPr>
          <w:noProof/>
        </w:rPr>
        <w:t>д)</w:t>
      </w:r>
      <w:r>
        <w:rPr>
          <w:noProof/>
        </w:rPr>
        <w:tab/>
        <w:t>оказва пълно съдействие при всяко официално разследване на причината за болестта или нараняването.</w:t>
      </w:r>
    </w:p>
    <w:p>
      <w:pPr>
        <w:pStyle w:val="ManualNumPar1"/>
        <w:rPr>
          <w:noProof/>
        </w:rPr>
      </w:pPr>
      <w:r>
        <w:t>8.</w:t>
      </w:r>
      <w:r>
        <w:tab/>
      </w:r>
      <w:r>
        <w:rPr>
          <w:noProof/>
        </w:rPr>
        <w:t>Без да се засягат задълженията, приложими към капитана на кораба, за целите на параграфи 5—7 държавата членка гарантира, че съответният център за координация на морските спасителни дейности, организацията, изпращаща наблюдателя, и секретариатът на IATTC са незабавно уведомени и е предоставен доклад за предприетите действия.</w:t>
      </w:r>
    </w:p>
    <w:p>
      <w:pPr>
        <w:pStyle w:val="ManualNumPar1"/>
        <w:rPr>
          <w:noProof/>
        </w:rPr>
      </w:pPr>
      <w:r>
        <w:t>9.</w:t>
      </w:r>
      <w:r>
        <w:tab/>
      </w:r>
      <w:r>
        <w:rPr>
          <w:noProof/>
        </w:rPr>
        <w:t>В случай че има разумни основания да се смята, че наблюдател е бил обект на нападение, сплашване, заплахи или тормоз, при които е възникнал риск за неговото здраве или безопасност, и наблюдателят или изпращащата го организация поиска от държавата членка на знамето наблюдателят да бъде свален от риболовния кораб, капитанът на този риболовен кораб:</w:t>
      </w:r>
    </w:p>
    <w:p>
      <w:pPr>
        <w:pStyle w:val="Point0"/>
        <w:rPr>
          <w:noProof/>
        </w:rPr>
      </w:pPr>
      <w:r>
        <w:rPr>
          <w:noProof/>
        </w:rPr>
        <w:t>а)</w:t>
      </w:r>
      <w:r>
        <w:rPr>
          <w:noProof/>
        </w:rPr>
        <w:tab/>
        <w:t>незабавно предприема действия за гарантиране на безопасността на наблюдателя, както и за смекчаване и разрешаване на ситуацията на борда;</w:t>
      </w:r>
    </w:p>
    <w:p>
      <w:pPr>
        <w:pStyle w:val="Point0"/>
        <w:rPr>
          <w:noProof/>
        </w:rPr>
      </w:pPr>
      <w:r>
        <w:rPr>
          <w:noProof/>
        </w:rPr>
        <w:t>б)</w:t>
      </w:r>
      <w:r>
        <w:rPr>
          <w:noProof/>
        </w:rPr>
        <w:tab/>
        <w:t>незабавно уведомява държавата членка на знамето и организацията, изпращаща наблюдателя, за ситуацията, включително за състоянието и местонахождението на наблюдателя;</w:t>
      </w:r>
    </w:p>
    <w:p>
      <w:pPr>
        <w:pStyle w:val="Point0"/>
        <w:rPr>
          <w:noProof/>
        </w:rPr>
      </w:pPr>
      <w:r>
        <w:rPr>
          <w:noProof/>
        </w:rPr>
        <w:t>в)</w:t>
      </w:r>
      <w:r>
        <w:rPr>
          <w:noProof/>
        </w:rPr>
        <w:tab/>
        <w:t>улеснява безопасното слизане от борда на наблюдателя по начин и на място, договорено с държавата членка на знамето и организацията, изпращаща наблюдателя, което позволява достъп до всяко необходимо медицинско лечение; и</w:t>
      </w:r>
    </w:p>
    <w:p>
      <w:pPr>
        <w:pStyle w:val="Point0"/>
        <w:rPr>
          <w:noProof/>
        </w:rPr>
      </w:pPr>
      <w:r>
        <w:rPr>
          <w:noProof/>
        </w:rPr>
        <w:t>г)</w:t>
      </w:r>
      <w:r>
        <w:rPr>
          <w:noProof/>
        </w:rPr>
        <w:tab/>
        <w:t>оказва пълно съдействие при всяко официално разследване на инцидента.</w:t>
      </w:r>
    </w:p>
    <w:p>
      <w:pPr>
        <w:pStyle w:val="ManualNumPar1"/>
        <w:rPr>
          <w:noProof/>
        </w:rPr>
      </w:pPr>
      <w:r>
        <w:t>10.</w:t>
      </w:r>
      <w:r>
        <w:tab/>
      </w:r>
      <w:r>
        <w:rPr>
          <w:noProof/>
        </w:rPr>
        <w:t>В случай че има разумни основания да се смята, че наблюдател е бил обект на нападение, сплашване, заплахи или тормоз, при които е възникнал риск за неговото здраве или безопасност, но нито наблюдателят, нито изпращащата го организация поиска наблюдателят да бъде свален от риболовния кораб, капитанът на този риболовен кораб:</w:t>
      </w:r>
    </w:p>
    <w:p>
      <w:pPr>
        <w:pStyle w:val="Point0"/>
        <w:rPr>
          <w:noProof/>
        </w:rPr>
      </w:pPr>
      <w:r>
        <w:rPr>
          <w:noProof/>
        </w:rPr>
        <w:t>а)</w:t>
      </w:r>
      <w:r>
        <w:rPr>
          <w:noProof/>
        </w:rPr>
        <w:tab/>
        <w:t>незабавно предприема действия за гарантиране на безопасността на наблюдателя, както и за смекчаване и разрешаване на ситуацията на борда възможно най-бързо;</w:t>
      </w:r>
    </w:p>
    <w:p>
      <w:pPr>
        <w:pStyle w:val="Point0"/>
        <w:rPr>
          <w:noProof/>
        </w:rPr>
      </w:pPr>
      <w:r>
        <w:rPr>
          <w:noProof/>
        </w:rPr>
        <w:t>б)</w:t>
      </w:r>
      <w:r>
        <w:rPr>
          <w:noProof/>
        </w:rPr>
        <w:tab/>
        <w:t>незабавно уведомява за ситуацията държавата членка на знамето и организацията, изпращаща наблюдателя; и</w:t>
      </w:r>
    </w:p>
    <w:p>
      <w:pPr>
        <w:pStyle w:val="Point0"/>
        <w:rPr>
          <w:noProof/>
        </w:rPr>
      </w:pPr>
      <w:r>
        <w:rPr>
          <w:noProof/>
        </w:rPr>
        <w:t>в)</w:t>
      </w:r>
      <w:r>
        <w:rPr>
          <w:noProof/>
        </w:rPr>
        <w:tab/>
        <w:t>оказва пълно съдействие при всички официални разследвания на инцидента.</w:t>
      </w:r>
    </w:p>
    <w:p>
      <w:pPr>
        <w:pStyle w:val="ManualNumPar1"/>
        <w:rPr>
          <w:noProof/>
        </w:rPr>
      </w:pPr>
      <w:r>
        <w:t>11.</w:t>
      </w:r>
      <w:r>
        <w:tab/>
      </w:r>
      <w:r>
        <w:rPr>
          <w:noProof/>
        </w:rPr>
        <w:t>Когато след слизане на наблюдател от борда на риболовен кораб изпращащата организация идентифицира — например в рамките на представения от него отчет — евентуален инцидент, включващ нападение или тормоз над наблюдателя, докато е бил на борда на риболовния кораб, тази организация уведомява писмено държавата членка на знамето и секретариата на IATTC.</w:t>
      </w:r>
    </w:p>
    <w:p>
      <w:pPr>
        <w:pStyle w:val="ManualNumPar1"/>
        <w:rPr>
          <w:noProof/>
        </w:rPr>
      </w:pPr>
      <w:r>
        <w:t>12.</w:t>
      </w:r>
      <w:r>
        <w:tab/>
      </w:r>
      <w:r>
        <w:rPr>
          <w:noProof/>
        </w:rPr>
        <w:t>При получаване на уведомлението съгласно параграф 10 държавата членка на знамето:</w:t>
      </w:r>
    </w:p>
    <w:p>
      <w:pPr>
        <w:pStyle w:val="Point0"/>
        <w:rPr>
          <w:noProof/>
        </w:rPr>
      </w:pPr>
      <w:r>
        <w:rPr>
          <w:noProof/>
        </w:rPr>
        <w:t>а)</w:t>
      </w:r>
      <w:r>
        <w:rPr>
          <w:noProof/>
        </w:rPr>
        <w:tab/>
        <w:t>разследва събитието въз основа на информацията, която е предоставена от организацията, изпращаща наблюдателя, въз основа на нея изготвя доклад за инцидента и предприема всички подходящи действия в отговор на резултатите от разследването;</w:t>
      </w:r>
    </w:p>
    <w:p>
      <w:pPr>
        <w:pStyle w:val="Point0"/>
        <w:rPr>
          <w:noProof/>
        </w:rPr>
      </w:pPr>
      <w:r>
        <w:rPr>
          <w:noProof/>
        </w:rPr>
        <w:t>б)</w:t>
      </w:r>
      <w:r>
        <w:rPr>
          <w:noProof/>
        </w:rPr>
        <w:tab/>
        <w:t>оказва пълно съдействие при всяко разследване, проведено от организацията, изпращаща наблюдателя, включително предоставя доклада за инцидента от своето разследване на тази организация и на компетентните органи; и</w:t>
      </w:r>
    </w:p>
    <w:p>
      <w:pPr>
        <w:pStyle w:val="Point0"/>
        <w:rPr>
          <w:noProof/>
        </w:rPr>
      </w:pPr>
      <w:r>
        <w:rPr>
          <w:noProof/>
        </w:rPr>
        <w:t>в)</w:t>
      </w:r>
      <w:r>
        <w:rPr>
          <w:noProof/>
        </w:rPr>
        <w:tab/>
        <w:t>уведомява организацията, изпращаща наблюдателя, и IATTC за резултатите от своето разследване и всички предприети действия.</w:t>
      </w:r>
    </w:p>
    <w:p>
      <w:pPr>
        <w:pStyle w:val="ManualNumPar1"/>
        <w:rPr>
          <w:noProof/>
        </w:rPr>
      </w:pPr>
      <w:r>
        <w:t>13.</w:t>
      </w:r>
      <w:r>
        <w:tab/>
      </w:r>
      <w:r>
        <w:rPr>
          <w:noProof/>
        </w:rPr>
        <w:t>Националните организации, изпращащи наблюдатели:</w:t>
      </w:r>
    </w:p>
    <w:p>
      <w:pPr>
        <w:pStyle w:val="Point0"/>
        <w:rPr>
          <w:noProof/>
        </w:rPr>
      </w:pPr>
      <w:r>
        <w:rPr>
          <w:noProof/>
        </w:rPr>
        <w:t>а)</w:t>
      </w:r>
      <w:r>
        <w:rPr>
          <w:noProof/>
        </w:rPr>
        <w:tab/>
        <w:t>незабавно уведомяват държавата членка на знамето, в случай че наблюдател почине, изчезне или се предполага, че е паднал зад борда при изпълнение на своите задължения;</w:t>
      </w:r>
    </w:p>
    <w:p>
      <w:pPr>
        <w:pStyle w:val="Point0"/>
        <w:rPr>
          <w:noProof/>
        </w:rPr>
      </w:pPr>
      <w:r>
        <w:rPr>
          <w:noProof/>
        </w:rPr>
        <w:t>б)</w:t>
      </w:r>
      <w:r>
        <w:rPr>
          <w:noProof/>
        </w:rPr>
        <w:tab/>
        <w:t>оказват пълно съдействие при всяка операция по издирване и спасяване;</w:t>
      </w:r>
    </w:p>
    <w:p>
      <w:pPr>
        <w:pStyle w:val="Point0"/>
        <w:rPr>
          <w:noProof/>
        </w:rPr>
      </w:pPr>
      <w:r>
        <w:rPr>
          <w:noProof/>
        </w:rPr>
        <w:t>в)</w:t>
      </w:r>
      <w:r>
        <w:rPr>
          <w:noProof/>
        </w:rPr>
        <w:tab/>
        <w:t>оказват пълно съдействие при всяко официално разследване на инцидент, свързан с наблюдател.</w:t>
      </w:r>
    </w:p>
    <w:p>
      <w:pPr>
        <w:pStyle w:val="Point0"/>
        <w:rPr>
          <w:noProof/>
        </w:rPr>
      </w:pPr>
      <w:r>
        <w:rPr>
          <w:noProof/>
        </w:rPr>
        <w:t>г)</w:t>
      </w:r>
      <w:r>
        <w:rPr>
          <w:noProof/>
        </w:rPr>
        <w:tab/>
        <w:t>в случай на сериозно заболяване или нараняване на наблюдател улесняват слизането от борда и замяната на този наблюдател възможно най-скоро;</w:t>
      </w:r>
    </w:p>
    <w:p>
      <w:pPr>
        <w:pStyle w:val="Point0"/>
        <w:rPr>
          <w:noProof/>
        </w:rPr>
      </w:pPr>
      <w:r>
        <w:rPr>
          <w:noProof/>
        </w:rPr>
        <w:t>д)</w:t>
      </w:r>
      <w:r>
        <w:rPr>
          <w:noProof/>
        </w:rPr>
        <w:tab/>
        <w:t>улесняват възможно най-скоро слизането от борда на наблюдател във всяка ситуация, включваща нападение, сплашване, заплахи или тормоз на този наблюдател до степен, че наблюдателят желае да бъде свален от кораба; и</w:t>
      </w:r>
    </w:p>
    <w:p>
      <w:pPr>
        <w:pStyle w:val="Point0"/>
        <w:rPr>
          <w:noProof/>
        </w:rPr>
      </w:pPr>
      <w:r>
        <w:rPr>
          <w:noProof/>
        </w:rPr>
        <w:t>е)</w:t>
      </w:r>
      <w:r>
        <w:rPr>
          <w:noProof/>
        </w:rPr>
        <w:tab/>
        <w:t>при поискване предоставят на държавата членка на знамето копие от доклада на наблюдателя за предполагаеми инциденти, включващи нападение или тормоз над него.</w:t>
      </w:r>
    </w:p>
    <w:p>
      <w:pPr>
        <w:pStyle w:val="ManualNumPar1"/>
        <w:rPr>
          <w:i/>
          <w:noProof/>
        </w:rPr>
      </w:pPr>
      <w:r>
        <w:t>14.</w:t>
      </w:r>
      <w:r>
        <w:tab/>
      </w:r>
      <w:r>
        <w:rPr>
          <w:noProof/>
        </w:rPr>
        <w:t>Съответните организации, изпращащи наблюдатели, и държавите членки си сътрудничат в своите разследвания, включително предоставят своите доклади за всички инциденти, посочени в параграфи 5—11, за да улеснят разследванията, както е целесъобразно.</w:t>
      </w:r>
    </w:p>
    <w:p>
      <w:pPr>
        <w:pStyle w:val="Text1"/>
        <w:rPr>
          <w:noProof/>
          <w:highlight w:val="yellow"/>
        </w:rPr>
      </w:pPr>
    </w:p>
    <w:p>
      <w:pPr>
        <w:pStyle w:val="Text1"/>
        <w:rPr>
          <w:noProof/>
          <w:lang w:bidi="en-US"/>
        </w:rPr>
      </w:pPr>
    </w:p>
    <w:p>
      <w:pPr>
        <w:jc w:val="center"/>
        <w:rPr>
          <w:noProof/>
        </w:rPr>
      </w:pPr>
      <w:r>
        <w:rPr>
          <w:noProof/>
        </w:rPr>
        <w:t>ГЛАВА V</w:t>
      </w:r>
    </w:p>
    <w:p>
      <w:pPr>
        <w:jc w:val="center"/>
        <w:rPr>
          <w:noProof/>
        </w:rPr>
      </w:pPr>
      <w:r>
        <w:rPr>
          <w:noProof/>
        </w:rPr>
        <w:t>ИЗИСКВАНИЯ КЪМ КОРАБИТЕ</w:t>
      </w:r>
    </w:p>
    <w:p>
      <w:pPr>
        <w:pStyle w:val="Titrearticle"/>
        <w:spacing w:before="120"/>
        <w:rPr>
          <w:noProof/>
        </w:rPr>
      </w:pPr>
      <w:r>
        <w:rPr>
          <w:noProof/>
        </w:rPr>
        <w:t>Член 20</w:t>
      </w:r>
    </w:p>
    <w:p>
      <w:pPr>
        <w:pStyle w:val="Titrearticle"/>
        <w:spacing w:before="120"/>
        <w:rPr>
          <w:noProof/>
        </w:rPr>
      </w:pPr>
      <w:r>
        <w:rPr>
          <w:noProof/>
        </w:rPr>
        <w:t>Регионален регистър на корабите</w:t>
      </w:r>
    </w:p>
    <w:p>
      <w:pPr>
        <w:rPr>
          <w:noProof/>
          <w:lang w:eastAsia="fr-BE"/>
        </w:rPr>
      </w:pPr>
    </w:p>
    <w:p>
      <w:pPr>
        <w:pStyle w:val="ManualNumPar1"/>
        <w:rPr>
          <w:noProof/>
        </w:rPr>
      </w:pPr>
      <w:r>
        <w:t>1.</w:t>
      </w:r>
      <w:r>
        <w:tab/>
      </w:r>
      <w:r>
        <w:rPr>
          <w:noProof/>
        </w:rPr>
        <w:t>Държавите членки предоставят на Комисията следната информация по отношение на всеки кораб под тяхна юрисдикция, която да бъде включена в Регионалния регистър на корабите:</w:t>
      </w:r>
    </w:p>
    <w:p>
      <w:pPr>
        <w:pStyle w:val="Point0"/>
        <w:rPr>
          <w:noProof/>
        </w:rPr>
      </w:pPr>
      <w:r>
        <w:rPr>
          <w:noProof/>
        </w:rPr>
        <w:t>а)</w:t>
      </w:r>
      <w:r>
        <w:rPr>
          <w:noProof/>
        </w:rPr>
        <w:tab/>
        <w:t>наименование на риболовния кораб на Съюза, регистрационен номер, предходни наименования (ако са известни) и пристанище на регистрация;</w:t>
      </w:r>
    </w:p>
    <w:p>
      <w:pPr>
        <w:pStyle w:val="Point0"/>
        <w:rPr>
          <w:noProof/>
        </w:rPr>
      </w:pPr>
      <w:r>
        <w:rPr>
          <w:noProof/>
        </w:rPr>
        <w:t>б)</w:t>
      </w:r>
      <w:r>
        <w:rPr>
          <w:noProof/>
        </w:rPr>
        <w:tab/>
        <w:t>снимка на кораба, на която се вижда регистрационният му номер;</w:t>
      </w:r>
    </w:p>
    <w:p>
      <w:pPr>
        <w:pStyle w:val="Point0"/>
        <w:rPr>
          <w:noProof/>
        </w:rPr>
      </w:pPr>
      <w:r>
        <w:rPr>
          <w:noProof/>
        </w:rPr>
        <w:t>в)</w:t>
      </w:r>
      <w:r>
        <w:rPr>
          <w:noProof/>
        </w:rPr>
        <w:tab/>
        <w:t>предишно знаме (ако е известно и ако има);</w:t>
      </w:r>
    </w:p>
    <w:p>
      <w:pPr>
        <w:pStyle w:val="Point0"/>
        <w:rPr>
          <w:noProof/>
        </w:rPr>
      </w:pPr>
      <w:r>
        <w:rPr>
          <w:noProof/>
        </w:rPr>
        <w:t>г)</w:t>
      </w:r>
      <w:r>
        <w:rPr>
          <w:noProof/>
        </w:rPr>
        <w:tab/>
        <w:t>международна радиопозивна (ако има);</w:t>
      </w:r>
    </w:p>
    <w:p>
      <w:pPr>
        <w:pStyle w:val="Point0"/>
        <w:rPr>
          <w:noProof/>
        </w:rPr>
      </w:pPr>
      <w:r>
        <w:rPr>
          <w:noProof/>
        </w:rPr>
        <w:t>д)</w:t>
      </w:r>
      <w:r>
        <w:rPr>
          <w:noProof/>
        </w:rPr>
        <w:tab/>
        <w:t>име и адрес на собственика или собствениците;</w:t>
      </w:r>
    </w:p>
    <w:p>
      <w:pPr>
        <w:pStyle w:val="Point0"/>
        <w:rPr>
          <w:noProof/>
        </w:rPr>
      </w:pPr>
      <w:r>
        <w:rPr>
          <w:noProof/>
        </w:rPr>
        <w:t>е)</w:t>
      </w:r>
      <w:r>
        <w:rPr>
          <w:noProof/>
        </w:rPr>
        <w:tab/>
        <w:t>дата и място на построяване;</w:t>
      </w:r>
    </w:p>
    <w:p>
      <w:pPr>
        <w:pStyle w:val="Point0"/>
        <w:rPr>
          <w:noProof/>
        </w:rPr>
      </w:pPr>
      <w:r>
        <w:rPr>
          <w:noProof/>
        </w:rPr>
        <w:t>ж)</w:t>
      </w:r>
      <w:r>
        <w:rPr>
          <w:noProof/>
        </w:rPr>
        <w:tab/>
        <w:t>дължина, ширина и профилна дълбочина на кораба;</w:t>
      </w:r>
    </w:p>
    <w:p>
      <w:pPr>
        <w:pStyle w:val="Point0"/>
        <w:rPr>
          <w:noProof/>
        </w:rPr>
      </w:pPr>
      <w:r>
        <w:rPr>
          <w:noProof/>
        </w:rPr>
        <w:t>з)</w:t>
      </w:r>
      <w:r>
        <w:rPr>
          <w:noProof/>
        </w:rPr>
        <w:tab/>
        <w:t>вид и капацитет на хладилното съоръжение в кубични метри;</w:t>
      </w:r>
    </w:p>
    <w:p>
      <w:pPr>
        <w:pStyle w:val="Point0"/>
        <w:rPr>
          <w:noProof/>
        </w:rPr>
      </w:pPr>
      <w:r>
        <w:rPr>
          <w:noProof/>
        </w:rPr>
        <w:t>и)</w:t>
      </w:r>
      <w:r>
        <w:rPr>
          <w:noProof/>
        </w:rPr>
        <w:tab/>
        <w:t>брой на трюмовете за риба и тяхната вместимост в кубични метри, а за корабите, оборудвани с мрежи гъргър — разбивка на вместимостта по трюмове, ако е възможно;</w:t>
      </w:r>
    </w:p>
    <w:p>
      <w:pPr>
        <w:pStyle w:val="Point0"/>
        <w:rPr>
          <w:noProof/>
        </w:rPr>
      </w:pPr>
      <w:r>
        <w:rPr>
          <w:noProof/>
        </w:rPr>
        <w:t>й)</w:t>
      </w:r>
      <w:r>
        <w:rPr>
          <w:noProof/>
        </w:rPr>
        <w:tab/>
        <w:t>име и адрес на оператора/операторите и управителя/управителите (ако има);</w:t>
      </w:r>
    </w:p>
    <w:p>
      <w:pPr>
        <w:pStyle w:val="Point0"/>
        <w:rPr>
          <w:noProof/>
        </w:rPr>
      </w:pPr>
      <w:r>
        <w:rPr>
          <w:noProof/>
        </w:rPr>
        <w:t>к)</w:t>
      </w:r>
      <w:r>
        <w:rPr>
          <w:noProof/>
        </w:rPr>
        <w:tab/>
        <w:t>тип на кораба;</w:t>
      </w:r>
    </w:p>
    <w:p>
      <w:pPr>
        <w:pStyle w:val="Point0"/>
        <w:rPr>
          <w:noProof/>
        </w:rPr>
      </w:pPr>
      <w:r>
        <w:rPr>
          <w:noProof/>
        </w:rPr>
        <w:t>л)</w:t>
      </w:r>
      <w:r>
        <w:rPr>
          <w:noProof/>
        </w:rPr>
        <w:tab/>
        <w:t>вид риболовен метод или методи;</w:t>
      </w:r>
    </w:p>
    <w:p>
      <w:pPr>
        <w:pStyle w:val="Point0"/>
        <w:rPr>
          <w:noProof/>
        </w:rPr>
      </w:pPr>
      <w:r>
        <w:rPr>
          <w:noProof/>
        </w:rPr>
        <w:t>м)</w:t>
      </w:r>
      <w:r>
        <w:rPr>
          <w:noProof/>
        </w:rPr>
        <w:tab/>
        <w:t>брутен тонаж;</w:t>
      </w:r>
    </w:p>
    <w:p>
      <w:pPr>
        <w:pStyle w:val="Point0"/>
        <w:rPr>
          <w:noProof/>
        </w:rPr>
      </w:pPr>
      <w:r>
        <w:rPr>
          <w:noProof/>
        </w:rPr>
        <w:t>н)</w:t>
      </w:r>
      <w:r>
        <w:rPr>
          <w:noProof/>
        </w:rPr>
        <w:tab/>
        <w:t>мощност на основния двигател или двигатели;</w:t>
      </w:r>
    </w:p>
    <w:p>
      <w:pPr>
        <w:pStyle w:val="Point0"/>
        <w:rPr>
          <w:noProof/>
        </w:rPr>
      </w:pPr>
      <w:r>
        <w:rPr>
          <w:noProof/>
        </w:rPr>
        <w:t>о)</w:t>
      </w:r>
      <w:r>
        <w:rPr>
          <w:noProof/>
        </w:rPr>
        <w:tab/>
        <w:t xml:space="preserve">основен целеви вид; </w:t>
      </w:r>
    </w:p>
    <w:p>
      <w:pPr>
        <w:pStyle w:val="Point0"/>
        <w:rPr>
          <w:rFonts w:eastAsia="Times New Roman"/>
          <w:noProof/>
          <w:color w:val="000000"/>
          <w:szCs w:val="24"/>
        </w:rPr>
      </w:pPr>
      <w:r>
        <w:rPr>
          <w:noProof/>
        </w:rPr>
        <w:t>п)</w:t>
      </w:r>
      <w:r>
        <w:rPr>
          <w:noProof/>
        </w:rPr>
        <w:tab/>
        <w:t>номер в Международната морска организация (ММО)</w:t>
      </w:r>
      <w:hyperlink w:anchor="bookmark4" w:tooltip="Настоящ документ">
        <w:r>
          <w:rPr>
            <w:noProof/>
            <w:color w:val="000000"/>
            <w:szCs w:val="24"/>
          </w:rPr>
          <w:t>.</w:t>
        </w:r>
      </w:hyperlink>
    </w:p>
    <w:p>
      <w:pPr>
        <w:pStyle w:val="ManualNumPar1"/>
        <w:rPr>
          <w:noProof/>
        </w:rPr>
      </w:pPr>
      <w:r>
        <w:t>2.</w:t>
      </w:r>
      <w:r>
        <w:tab/>
      </w:r>
      <w:r>
        <w:rPr>
          <w:noProof/>
        </w:rPr>
        <w:t>Всяка държава членка незабавно уведомява Комисията за всяка промяна в информацията относно елементите, посочени в параграф 1. Комисията препраща незабавно тази информация на секретариата на IATTC.</w:t>
      </w:r>
    </w:p>
    <w:p>
      <w:pPr>
        <w:pStyle w:val="ManualNumPar1"/>
        <w:rPr>
          <w:noProof/>
        </w:rPr>
      </w:pPr>
      <w:r>
        <w:t>3.</w:t>
      </w:r>
      <w:r>
        <w:tab/>
      </w:r>
      <w:r>
        <w:rPr>
          <w:noProof/>
        </w:rPr>
        <w:t>Всяка държава членка също така незабавно уведомява Комисията за:</w:t>
      </w:r>
    </w:p>
    <w:p>
      <w:pPr>
        <w:pStyle w:val="Point0"/>
        <w:rPr>
          <w:noProof/>
        </w:rPr>
      </w:pPr>
      <w:r>
        <w:rPr>
          <w:noProof/>
        </w:rPr>
        <w:t>а)</w:t>
      </w:r>
      <w:r>
        <w:rPr>
          <w:noProof/>
        </w:rPr>
        <w:tab/>
        <w:t>всички допълнения в регистъра;</w:t>
      </w:r>
    </w:p>
    <w:p>
      <w:pPr>
        <w:pStyle w:val="Point0"/>
        <w:rPr>
          <w:noProof/>
        </w:rPr>
      </w:pPr>
      <w:r>
        <w:rPr>
          <w:noProof/>
        </w:rPr>
        <w:t>б)</w:t>
      </w:r>
      <w:r>
        <w:rPr>
          <w:noProof/>
        </w:rPr>
        <w:tab/>
        <w:t>всички заличавания в регистъра по причина на:</w:t>
      </w:r>
    </w:p>
    <w:p>
      <w:pPr>
        <w:pStyle w:val="Point1"/>
        <w:rPr>
          <w:noProof/>
        </w:rPr>
      </w:pPr>
      <w:r>
        <w:rPr>
          <w:noProof/>
        </w:rPr>
        <w:t>i) доброволен отказ или неподновяване на разрешението за риболов от собственика или оператора на риболовния кораб;</w:t>
      </w:r>
    </w:p>
    <w:p>
      <w:pPr>
        <w:pStyle w:val="Point1"/>
        <w:rPr>
          <w:noProof/>
        </w:rPr>
      </w:pPr>
      <w:r>
        <w:rPr>
          <w:noProof/>
        </w:rPr>
        <w:t>ii) оттегляне на разрешението за риболов, издадено на кораба;</w:t>
      </w:r>
    </w:p>
    <w:p>
      <w:pPr>
        <w:pStyle w:val="Point1"/>
        <w:rPr>
          <w:noProof/>
        </w:rPr>
      </w:pPr>
      <w:r>
        <w:rPr>
          <w:noProof/>
        </w:rPr>
        <w:t>iii) факта, че корабът е изгубил правото да плава под нейно знаме;</w:t>
      </w:r>
    </w:p>
    <w:p>
      <w:pPr>
        <w:pStyle w:val="Point1"/>
        <w:rPr>
          <w:noProof/>
        </w:rPr>
      </w:pPr>
      <w:r>
        <w:rPr>
          <w:noProof/>
        </w:rPr>
        <w:t>iv) бракуване, извеждане от експлоатация или загуба на съответния кораб; и</w:t>
      </w:r>
    </w:p>
    <w:p>
      <w:pPr>
        <w:pStyle w:val="Point1"/>
        <w:rPr>
          <w:noProof/>
        </w:rPr>
      </w:pPr>
      <w:r>
        <w:rPr>
          <w:noProof/>
        </w:rPr>
        <w:t xml:space="preserve">v) всяка друга причина, различна от изброените по-горе, е приложима. </w:t>
      </w:r>
    </w:p>
    <w:p>
      <w:pPr>
        <w:pStyle w:val="ManualNumPar1"/>
        <w:rPr>
          <w:noProof/>
        </w:rPr>
      </w:pPr>
      <w:r>
        <w:t>4.</w:t>
      </w:r>
      <w:r>
        <w:tab/>
      </w:r>
      <w:r>
        <w:rPr>
          <w:noProof/>
        </w:rPr>
        <w:t>До 30 май всяка година държавите членки уведомяват Комисията за корабите на Съюза, вписани в Регионалния регистър на корабите, които плават под тяхно знаме и които от 1 януари до 31 декември на предходната година са извършвали в зоната на конвенцията активен риболов на видове, обхванати от конвенцията. Комисията препраща незабавно тази информация на секретариата на IATTC.</w:t>
      </w:r>
    </w:p>
    <w:p>
      <w:pPr>
        <w:pStyle w:val="ManualNumPar1"/>
        <w:rPr>
          <w:noProof/>
        </w:rPr>
      </w:pPr>
      <w:r>
        <w:t>5.</w:t>
      </w:r>
      <w:r>
        <w:tab/>
      </w:r>
      <w:r>
        <w:rPr>
          <w:noProof/>
        </w:rPr>
        <w:t>Ако дадена държава членка не предостави цялата необходима информация, Комисията изисква от нея да предостави пълни данни за своите кораби в съответствие с параграф 1.</w:t>
      </w:r>
    </w:p>
    <w:p>
      <w:pPr>
        <w:pStyle w:val="Titrearticle"/>
        <w:keepLines/>
        <w:spacing w:before="120"/>
        <w:rPr>
          <w:noProof/>
          <w:szCs w:val="24"/>
        </w:rPr>
      </w:pPr>
      <w:r>
        <w:rPr>
          <w:noProof/>
        </w:rPr>
        <w:t>Член 21</w:t>
      </w:r>
    </w:p>
    <w:p>
      <w:pPr>
        <w:pStyle w:val="Titrearticle"/>
        <w:spacing w:before="120"/>
        <w:rPr>
          <w:noProof/>
          <w:szCs w:val="24"/>
        </w:rPr>
      </w:pPr>
      <w:r>
        <w:rPr>
          <w:noProof/>
        </w:rPr>
        <w:t>Запечатани рибни резервоари</w:t>
      </w:r>
    </w:p>
    <w:p>
      <w:pPr>
        <w:pStyle w:val="ManualNumPar1"/>
        <w:rPr>
          <w:noProof/>
        </w:rPr>
      </w:pPr>
      <w:r>
        <w:t>1.</w:t>
      </w:r>
      <w:r>
        <w:tab/>
      </w:r>
      <w:r>
        <w:rPr>
          <w:noProof/>
        </w:rPr>
        <w:t>Рибните резервоари се запечатват физически по метод, който прави подправянето невъзможно, и по такъв начин, че връзката с всяко друго пространство на кораба да е невъзможна и да се предотврати използването им за друг вид съхранение.</w:t>
      </w:r>
    </w:p>
    <w:p>
      <w:pPr>
        <w:pStyle w:val="ManualNumPar1"/>
        <w:rPr>
          <w:noProof/>
        </w:rPr>
      </w:pPr>
      <w:r>
        <w:t>2.</w:t>
      </w:r>
      <w:r>
        <w:tab/>
      </w:r>
      <w:r>
        <w:rPr>
          <w:noProof/>
        </w:rPr>
        <w:t xml:space="preserve">Държавите членки предприемат необходимите мерки за инспектиране и проверка при първоначалното запечатване на рибните резервоари. </w:t>
      </w:r>
    </w:p>
    <w:p>
      <w:pPr>
        <w:pStyle w:val="ManualNumPar1"/>
        <w:rPr>
          <w:noProof/>
        </w:rPr>
      </w:pPr>
      <w:r>
        <w:t>3.</w:t>
      </w:r>
      <w:r>
        <w:tab/>
      </w:r>
      <w:r>
        <w:rPr>
          <w:noProof/>
        </w:rPr>
        <w:t>На борда на всеки кораб с един или повече рибни резервоари, запечатани с цел намаляване на техния обем, който е вписан в Регионалния регистър на корабите, трябва да присъства наблюдател по Споразумението относно Международната програма за опазване на делфините.</w:t>
      </w:r>
    </w:p>
    <w:p>
      <w:pPr>
        <w:pStyle w:val="ManualNumPar1"/>
        <w:rPr>
          <w:noProof/>
        </w:rPr>
      </w:pPr>
      <w:r>
        <w:t>4.</w:t>
      </w:r>
      <w:r>
        <w:tab/>
      </w:r>
      <w:r>
        <w:rPr>
          <w:noProof/>
        </w:rPr>
        <w:t>Отварянето на запечатан рибен резервоар е възможно само в случай на извънредна ситуация. Ако запечатан рибен резервоар бъде отворен в морето, наблюдателят трябва да присъства както при отварянето му, така и при повторното му запечатване.</w:t>
      </w:r>
    </w:p>
    <w:p>
      <w:pPr>
        <w:pStyle w:val="ManualNumPar1"/>
        <w:rPr>
          <w:noProof/>
        </w:rPr>
      </w:pPr>
      <w:r>
        <w:t>5.</w:t>
      </w:r>
      <w:r>
        <w:tab/>
      </w:r>
      <w:r>
        <w:rPr>
          <w:noProof/>
        </w:rPr>
        <w:t>Цялото хладилно оборудване в запечатания рибен резервоар се спира от действие.</w:t>
      </w:r>
    </w:p>
    <w:p>
      <w:pPr>
        <w:pStyle w:val="ManualNumPar1"/>
        <w:rPr>
          <w:noProof/>
        </w:rPr>
      </w:pPr>
      <w:r>
        <w:t>6.</w:t>
      </w:r>
      <w:r>
        <w:tab/>
      </w:r>
      <w:r>
        <w:rPr>
          <w:noProof/>
        </w:rPr>
        <w:t>Капитанът на кораба уведомява наблюдателите за всеки запечатан рибен резервоар на борда. Наблюдателите докладват на секретариата на IATTC за всички случаи на запечатани рибни резервоари, които се използват за съхранение на риба.</w:t>
      </w:r>
    </w:p>
    <w:p>
      <w:pPr>
        <w:pStyle w:val="ListParagraph"/>
        <w:jc w:val="center"/>
        <w:rPr>
          <w:noProof/>
        </w:rPr>
      </w:pPr>
      <w:r>
        <w:rPr>
          <w:noProof/>
        </w:rPr>
        <w:t>ГЛАВА VI</w:t>
      </w:r>
    </w:p>
    <w:p>
      <w:pPr>
        <w:pStyle w:val="ListParagraph"/>
        <w:jc w:val="center"/>
        <w:rPr>
          <w:noProof/>
        </w:rPr>
      </w:pPr>
      <w:r>
        <w:rPr>
          <w:noProof/>
        </w:rPr>
        <w:t>ДАННИ И СТАТИСТИЧЕСКА ПРОГРАМА</w:t>
      </w:r>
    </w:p>
    <w:p>
      <w:pPr>
        <w:pStyle w:val="Titrearticle"/>
        <w:rPr>
          <w:noProof/>
          <w:szCs w:val="24"/>
        </w:rPr>
      </w:pPr>
      <w:r>
        <w:rPr>
          <w:noProof/>
        </w:rPr>
        <w:t xml:space="preserve">Член 22 </w:t>
      </w:r>
      <w:r>
        <w:rPr>
          <w:noProof/>
        </w:rPr>
        <w:br/>
        <w:t>Предоставяне на данни</w:t>
      </w:r>
    </w:p>
    <w:p>
      <w:pPr>
        <w:pStyle w:val="ManualNumPar1"/>
        <w:rPr>
          <w:noProof/>
        </w:rPr>
      </w:pPr>
      <w:r>
        <w:t>1.</w:t>
      </w:r>
      <w:r>
        <w:tab/>
      </w:r>
      <w:r>
        <w:rPr>
          <w:noProof/>
        </w:rPr>
        <w:t>Държавите членки гарантират, че на Комисията ежегодно се предоставя цялата свързана с улова информация за всички техни кораби, които извършват риболов на видове, попадащи в обхвата на конвенцията.</w:t>
      </w:r>
    </w:p>
    <w:p>
      <w:pPr>
        <w:pStyle w:val="ManualNumPar1"/>
        <w:rPr>
          <w:noProof/>
          <w:szCs w:val="24"/>
        </w:rPr>
      </w:pPr>
      <w:r>
        <w:t>2.</w:t>
      </w:r>
      <w:r>
        <w:tab/>
      </w:r>
      <w:r>
        <w:rPr>
          <w:noProof/>
        </w:rPr>
        <w:t>Държавите членки предоставят данните, обособени по рибни видове и риболовни уреди, когато това е практически възможно, чрез корабните дневници и регистрите на разтоварванията, а в противен случай — в обобщена форма съгласно таблицата, посочена в Резолюция C-03-05 на IATTC, като минималното изискване е предоставянето на данни за улова и риболовното усилие от ниво 3, а когато е възможно — данни за улова и риболовното усилие от нива 2 и 1, както и данни за честотата на дължината.</w:t>
      </w:r>
    </w:p>
    <w:p>
      <w:pPr>
        <w:pStyle w:val="ManualNumPar1"/>
        <w:rPr>
          <w:noProof/>
        </w:rPr>
      </w:pPr>
      <w:r>
        <w:t>3.</w:t>
      </w:r>
      <w:r>
        <w:tab/>
      </w:r>
      <w:r>
        <w:rPr>
          <w:noProof/>
        </w:rPr>
        <w:t>Посочената в параграф 2 таблица с обобщени данни за всяка година се предоставя на Комисията до 31 май на следващата година. Комисията препраща тази информация на секретариата на IATTC до 30 юни.</w:t>
      </w:r>
    </w:p>
    <w:p>
      <w:pPr>
        <w:pStyle w:val="Titrearticle"/>
        <w:spacing w:before="120"/>
        <w:rPr>
          <w:noProof/>
        </w:rPr>
      </w:pPr>
      <w:r>
        <w:rPr>
          <w:noProof/>
        </w:rPr>
        <w:t xml:space="preserve">Член 23 </w:t>
      </w:r>
      <w:r>
        <w:rPr>
          <w:noProof/>
        </w:rPr>
        <w:br/>
        <w:t xml:space="preserve">Статистически документ за големоок тон </w:t>
      </w:r>
    </w:p>
    <w:p>
      <w:pPr>
        <w:pStyle w:val="ManualNumPar1"/>
        <w:rPr>
          <w:noProof/>
        </w:rPr>
      </w:pPr>
      <w:r>
        <w:t>1.</w:t>
      </w:r>
      <w:r>
        <w:tab/>
      </w:r>
      <w:r>
        <w:rPr>
          <w:noProof/>
        </w:rPr>
        <w:t>Всички екземпляри големоок тон, внесени на територията на Съюза, трябва да се придружават от статистическия документ за големоок тон или от удостоверението за реекспорт на големоок тон, установени от IATTC, в зависимост от случая</w:t>
      </w:r>
      <w:r>
        <w:rPr>
          <w:rStyle w:val="FootnoteReference"/>
          <w:noProof/>
        </w:rPr>
        <w:footnoteReference w:id="18"/>
      </w:r>
      <w:r>
        <w:rPr>
          <w:noProof/>
        </w:rPr>
        <w:t xml:space="preserve">. Изискването за представяне на статистически документ не се прилага по отношение на големоок тон, уловен от кораби с мрежи гъргър и кораби с подхранка, и предназначен основно за по-нататъшна преработка в консервни заводи за риба тон. </w:t>
      </w:r>
    </w:p>
    <w:p>
      <w:pPr>
        <w:pStyle w:val="ManualNumPar1"/>
        <w:rPr>
          <w:noProof/>
        </w:rPr>
      </w:pPr>
      <w:r>
        <w:t>2.</w:t>
      </w:r>
      <w:r>
        <w:tab/>
      </w:r>
      <w:r>
        <w:rPr>
          <w:noProof/>
        </w:rPr>
        <w:t>Статистическият документ за големоок тон на IATTC трябва да бъде заверен от органите на държавата членка на кораба, който е уловил рибата тон. Удостоверението за реекспорт на големоок тон на IATTC трябва да бъде заверено от органите на държавата членка, която извършва реекспорта на рибата тон.</w:t>
      </w:r>
    </w:p>
    <w:p>
      <w:pPr>
        <w:pStyle w:val="ManualNumPar1"/>
        <w:rPr>
          <w:noProof/>
        </w:rPr>
      </w:pPr>
      <w:r>
        <w:t>3.</w:t>
      </w:r>
      <w:r>
        <w:tab/>
      </w:r>
      <w:r>
        <w:rPr>
          <w:noProof/>
        </w:rPr>
        <w:t xml:space="preserve">Държавите членки, които внасят големоок тон, докладват на Комисията данните за търговията, събрани от техните органи, всяка година до 1 април за периода от 1 юли до 31 декември на предходната година и до 1 октомври за периода от 1 януари до 30 юни на текущата година. Комисията препраща незабавно тази информация на секретариата на IATTC. </w:t>
      </w:r>
    </w:p>
    <w:p>
      <w:pPr>
        <w:pStyle w:val="ManualNumPar1"/>
        <w:rPr>
          <w:noProof/>
        </w:rPr>
      </w:pPr>
      <w:r>
        <w:t>4.</w:t>
      </w:r>
      <w:r>
        <w:tab/>
      </w:r>
      <w:r>
        <w:rPr>
          <w:noProof/>
        </w:rPr>
        <w:t xml:space="preserve">При получаване на данните за вноса, посочени в параграф 3 по-горе, държавите членки, които изнасят големоок тон, проучват данните за търговията и докладват резултатите на Комисията. Комисията препраща незабавно тази информация на секретариата на IATTC. </w:t>
      </w:r>
    </w:p>
    <w:p>
      <w:pPr>
        <w:pStyle w:val="ManualNumPar1"/>
        <w:rPr>
          <w:noProof/>
        </w:rPr>
      </w:pPr>
      <w:r>
        <w:t>5.</w:t>
      </w:r>
      <w:r>
        <w:tab/>
      </w:r>
      <w:r>
        <w:rPr>
          <w:noProof/>
        </w:rPr>
        <w:t xml:space="preserve">Държавите членки заверяват статистическите документи, включващи трансбордиране в пристанище, осъществено от кораб с парагади, плаващ под тяхно знаме, когато трансбордирането е извършено в съответствие с настоящия регламент и въз основа на информацията, получена чрез програмата за наблюдение на IATTC.  </w:t>
      </w:r>
    </w:p>
    <w:p>
      <w:pPr>
        <w:pStyle w:val="ManualNumPar1"/>
        <w:rPr>
          <w:noProof/>
        </w:rPr>
      </w:pPr>
      <w:r>
        <w:t>6.</w:t>
      </w:r>
      <w:r>
        <w:tab/>
      </w:r>
      <w:r>
        <w:rPr>
          <w:noProof/>
        </w:rPr>
        <w:t>Държавите членки, които заверяват статистически документ, включващ трансбордиране, осъществено от кораб с парагади, плаващ под тяхно знаме, гарантират, че информацията е в съответствие с улова, докладван от всеки кораб с парагади.</w:t>
      </w:r>
    </w:p>
    <w:p>
      <w:pPr>
        <w:pStyle w:val="ManualNumPar1"/>
        <w:rPr>
          <w:noProof/>
        </w:rPr>
      </w:pPr>
      <w:r>
        <w:t>7.</w:t>
      </w:r>
      <w:r>
        <w:tab/>
      </w:r>
      <w:r>
        <w:rPr>
          <w:noProof/>
        </w:rPr>
        <w:t>Всички видове риба тон и тоноподобни видове, както и акули, разтоварени или внесени на територията на Съюза, както непреработени, така и след преработка на борда, които са трансбордирани, се придружават от формуляра на декларацията за трансбордиране на IATTC, докато се състои първата продажба.</w:t>
      </w:r>
    </w:p>
    <w:p>
      <w:pPr>
        <w:jc w:val="center"/>
        <w:rPr>
          <w:noProof/>
        </w:rPr>
      </w:pPr>
      <w:r>
        <w:rPr>
          <w:noProof/>
        </w:rPr>
        <w:t>ГЛАВА VII</w:t>
      </w:r>
    </w:p>
    <w:p>
      <w:pPr>
        <w:jc w:val="center"/>
        <w:rPr>
          <w:noProof/>
        </w:rPr>
      </w:pPr>
      <w:r>
        <w:rPr>
          <w:noProof/>
        </w:rPr>
        <w:t>ЗАКЛЮЧИТЕЛНИ РАЗПОРЕДБИ</w:t>
      </w:r>
    </w:p>
    <w:p>
      <w:pPr>
        <w:pStyle w:val="Titrearticle"/>
        <w:rPr>
          <w:noProof/>
        </w:rPr>
      </w:pPr>
      <w:r>
        <w:rPr>
          <w:noProof/>
        </w:rPr>
        <w:t>Член 24</w:t>
      </w:r>
    </w:p>
    <w:p>
      <w:pPr>
        <w:jc w:val="center"/>
        <w:rPr>
          <w:i/>
          <w:noProof/>
        </w:rPr>
      </w:pPr>
      <w:r>
        <w:rPr>
          <w:i/>
          <w:noProof/>
        </w:rPr>
        <w:t>Зона на припокриване</w:t>
      </w:r>
    </w:p>
    <w:p>
      <w:pPr>
        <w:pStyle w:val="ManualNumPar1"/>
        <w:rPr>
          <w:noProof/>
        </w:rPr>
      </w:pPr>
      <w:r>
        <w:t>1.</w:t>
      </w:r>
      <w:r>
        <w:tab/>
      </w:r>
      <w:r>
        <w:rPr>
          <w:noProof/>
        </w:rPr>
        <w:t>Риболовните кораби на Съюза, включени само в регистъра на IATTC, прилагат мерките за опазване и управление на IATTC, когато извършват риболов в зоната на припокриване.</w:t>
      </w:r>
    </w:p>
    <w:p>
      <w:pPr>
        <w:pStyle w:val="ManualNumPar1"/>
        <w:rPr>
          <w:noProof/>
        </w:rPr>
      </w:pPr>
      <w:r>
        <w:t>2.</w:t>
      </w:r>
      <w:r>
        <w:tab/>
      </w:r>
      <w:r>
        <w:rPr>
          <w:noProof/>
        </w:rPr>
        <w:t>Когато корабите са включени едновременно в регистрите на WCPFC и на IATTC, преди извършването на риболов в зоната на припокриване държавите членки на знамето уведомяват Комисията съгласно кои от двата вида мерки за опазване и управление, приети от тези две организации, ще извършват риболов техните кораби в зоната на припокриване. Уведомлението е валидно за срок не по-малко от три години.</w:t>
      </w:r>
    </w:p>
    <w:p>
      <w:pPr>
        <w:pStyle w:val="Titrearticle"/>
        <w:rPr>
          <w:noProof/>
          <w:szCs w:val="24"/>
        </w:rPr>
      </w:pPr>
      <w:r>
        <w:rPr>
          <w:noProof/>
        </w:rPr>
        <w:t xml:space="preserve">Член 25 </w:t>
      </w:r>
      <w:r>
        <w:rPr>
          <w:noProof/>
        </w:rPr>
        <w:br/>
        <w:t>Докладване</w:t>
      </w:r>
    </w:p>
    <w:p>
      <w:pPr>
        <w:pStyle w:val="ManualNumPar1"/>
        <w:rPr>
          <w:noProof/>
        </w:rPr>
      </w:pPr>
      <w:r>
        <w:t>1.</w:t>
      </w:r>
      <w:r>
        <w:tab/>
      </w:r>
      <w:r>
        <w:rPr>
          <w:noProof/>
        </w:rPr>
        <w:t>До 15 юни всяка година държавите членки представят на Комисията национален доклад за предходната година относно схемата си за съответствие и действията, предприети за прилагане на мерките на IATTC, включително всякакви проверки, наложени на техните флотове, и всички установени мерки за мониторинг, контрол и съответствие, с които да се гарантира съответствието с такива проверки.</w:t>
      </w:r>
    </w:p>
    <w:p>
      <w:pPr>
        <w:pStyle w:val="ManualNumPar1"/>
        <w:rPr>
          <w:noProof/>
        </w:rPr>
      </w:pPr>
      <w:r>
        <w:t>2.</w:t>
      </w:r>
      <w:r>
        <w:tab/>
      </w:r>
      <w:r>
        <w:rPr>
          <w:noProof/>
        </w:rPr>
        <w:t xml:space="preserve">До 15 април всяка година държавите членки докладват данни за предходната година за улова, риболовното усилие по вид уреди, разтоварването и търговията с акули по видове и данни относно дългокрила акула съгласно член 8, параграф 3, скатове от сем. </w:t>
      </w:r>
      <w:r>
        <w:rPr>
          <w:i/>
          <w:noProof/>
        </w:rPr>
        <w:t>Mobulidae</w:t>
      </w:r>
      <w:r>
        <w:rPr>
          <w:noProof/>
        </w:rPr>
        <w:t xml:space="preserve"> съгласно член 9, параграф 4 и копринена акула съгласно член 10. Комисията препраща тази информация на секретариата на IATTC до 1 май.</w:t>
      </w:r>
    </w:p>
    <w:p>
      <w:pPr>
        <w:pStyle w:val="ManualNumPar1"/>
        <w:rPr>
          <w:noProof/>
        </w:rPr>
      </w:pPr>
      <w:r>
        <w:t>3.</w:t>
      </w:r>
      <w:r>
        <w:tab/>
      </w:r>
      <w:r>
        <w:rPr>
          <w:noProof/>
        </w:rPr>
        <w:t>До 15 юни всяка година държавите членки представят доклади за предходната година относно прилагането на член 15 и взаимодействията с морски птици по време на извършването на риболовни дейности, управлявани съгласно конвенцията, включително прилов на морски птици, данни за видовете морски птици, както и цялата налична приложима информация от наблюдатели и други програми за мониторинг. Комисията препраща тази информация на секретариата на IATTC до 30 юни.</w:t>
      </w:r>
    </w:p>
    <w:p>
      <w:pPr>
        <w:pStyle w:val="ManualNumPar1"/>
        <w:rPr>
          <w:noProof/>
        </w:rPr>
      </w:pPr>
      <w:r>
        <w:t>4.</w:t>
      </w:r>
      <w:r>
        <w:tab/>
      </w:r>
      <w:r>
        <w:rPr>
          <w:noProof/>
        </w:rPr>
        <w:t>До 15 юни всяка година държавите членки представят доклади за предходната година относно прилагането на член 16 и Насоките на ФАО за намаляване на смъртността на морските костенурки при риболовните операции от 2009 г.</w:t>
      </w:r>
      <w:r>
        <w:rPr>
          <w:rStyle w:val="FootnoteReference"/>
          <w:noProof/>
        </w:rPr>
        <w:footnoteReference w:id="19"/>
      </w:r>
      <w:r>
        <w:rPr>
          <w:noProof/>
        </w:rPr>
        <w:t xml:space="preserve">, включително събраната информация относно взаимодействието с костенурки по време на риболовни операции, управлявани съгласно конвенцията. Комисията препраща тази информация на секретариата на IATTC до 30 юни. </w:t>
      </w:r>
    </w:p>
    <w:p>
      <w:pPr>
        <w:pStyle w:val="ManualNumPar1"/>
        <w:rPr>
          <w:noProof/>
        </w:rPr>
      </w:pPr>
      <w:r>
        <w:t>5.</w:t>
      </w:r>
      <w:r>
        <w:tab/>
      </w:r>
      <w:r>
        <w:rPr>
          <w:noProof/>
        </w:rPr>
        <w:t>До 15 март държавите членки представят доклад на научния наблюдател за предходната година за корабите с парагади, посочен в член 18, параграф 3. Комисията препраща тази информация на секретариата на IATTC до 30 март.</w:t>
      </w:r>
    </w:p>
    <w:p>
      <w:pPr>
        <w:pStyle w:val="Default"/>
        <w:ind w:left="720" w:firstLine="130"/>
        <w:jc w:val="center"/>
        <w:rPr>
          <w:i/>
          <w:iCs/>
          <w:noProof/>
          <w:lang w:val="bg-BG"/>
        </w:rPr>
      </w:pPr>
      <w:r>
        <w:rPr>
          <w:i/>
          <w:iCs/>
          <w:noProof/>
          <w:lang w:val="bg-BG"/>
        </w:rPr>
        <w:t>Член 26</w:t>
      </w:r>
    </w:p>
    <w:p>
      <w:pPr>
        <w:pStyle w:val="Default"/>
        <w:ind w:left="720" w:firstLine="130"/>
        <w:jc w:val="center"/>
        <w:rPr>
          <w:i/>
          <w:iCs/>
          <w:noProof/>
          <w:lang w:val="bg-BG"/>
        </w:rPr>
      </w:pPr>
      <w:r>
        <w:rPr>
          <w:i/>
          <w:iCs/>
          <w:noProof/>
          <w:lang w:val="bg-BG"/>
        </w:rPr>
        <w:t xml:space="preserve">Предполагаемо неспазване, докладвано от </w:t>
      </w:r>
      <w:r>
        <w:rPr>
          <w:i/>
          <w:iCs/>
          <w:noProof/>
        </w:rPr>
        <w:t>IATTC</w:t>
      </w:r>
      <w:r>
        <w:rPr>
          <w:i/>
          <w:iCs/>
          <w:noProof/>
          <w:lang w:val="bg-BG"/>
        </w:rPr>
        <w:t xml:space="preserve"> </w:t>
      </w:r>
    </w:p>
    <w:p>
      <w:pPr>
        <w:pStyle w:val="ManualNumPar1"/>
        <w:rPr>
          <w:noProof/>
        </w:rPr>
      </w:pPr>
      <w:r>
        <w:t>1.</w:t>
      </w:r>
      <w:r>
        <w:tab/>
      </w:r>
      <w:r>
        <w:rPr>
          <w:noProof/>
        </w:rPr>
        <w:t xml:space="preserve">Ако Комисията получи от секретариата на IATTC информация, сочеща предполагаемо неспазване на конвенцията или на резолюциите на IATTC от страна на държава членка или риболовни кораби на Съюза, Комисията незабавно предава тази информация на съответната държава членка. </w:t>
      </w:r>
    </w:p>
    <w:p>
      <w:pPr>
        <w:pStyle w:val="ManualNumPar1"/>
        <w:rPr>
          <w:noProof/>
        </w:rPr>
      </w:pPr>
      <w:r>
        <w:t>2.</w:t>
      </w:r>
      <w:r>
        <w:tab/>
      </w:r>
      <w:r>
        <w:rPr>
          <w:noProof/>
        </w:rPr>
        <w:t xml:space="preserve">Държавата членка започва разследване във връзка с предполагаемото неспазване и най-малко 75 дни преди годишното заседание на Комитета за преглед на прилагането на мерките („Комитет за спазване на задълженията“) предоставя на Комисията констатациите от това разследване и всички действия, предприети за преодоляване на опасенията относно посоченото неспазване. </w:t>
      </w:r>
    </w:p>
    <w:p>
      <w:pPr>
        <w:pStyle w:val="ManualNumPar1"/>
        <w:rPr>
          <w:noProof/>
        </w:rPr>
      </w:pPr>
      <w:r>
        <w:t>3.</w:t>
      </w:r>
      <w:r>
        <w:tab/>
      </w:r>
      <w:r>
        <w:rPr>
          <w:noProof/>
        </w:rPr>
        <w:t>Комисията препраща тази информация на секретариата на IATTC най-малко 60 дни преди заседанието на Комитета за спазване на задълженията.</w:t>
      </w:r>
    </w:p>
    <w:p>
      <w:pPr>
        <w:pStyle w:val="Default"/>
        <w:ind w:left="720" w:firstLine="130"/>
        <w:jc w:val="center"/>
        <w:rPr>
          <w:i/>
          <w:iCs/>
          <w:noProof/>
        </w:rPr>
      </w:pPr>
      <w:r>
        <w:rPr>
          <w:i/>
          <w:iCs/>
          <w:noProof/>
        </w:rPr>
        <w:t>Член 27</w:t>
      </w:r>
      <w:r>
        <w:rPr>
          <w:noProof/>
        </w:rPr>
        <w:t xml:space="preserve"> </w:t>
      </w:r>
      <w:r>
        <w:rPr>
          <w:noProof/>
        </w:rPr>
        <w:br/>
      </w:r>
      <w:r>
        <w:rPr>
          <w:i/>
          <w:iCs/>
          <w:noProof/>
        </w:rPr>
        <w:t>Поверителност</w:t>
      </w:r>
    </w:p>
    <w:p>
      <w:pPr>
        <w:pStyle w:val="Text1"/>
        <w:rPr>
          <w:noProof/>
        </w:rPr>
      </w:pPr>
      <w:bookmarkStart w:id="14" w:name="_DV_M880"/>
      <w:bookmarkEnd w:id="14"/>
      <w:r>
        <w:rPr>
          <w:noProof/>
        </w:rPr>
        <w:t>В допълнение към задълженията, посочени в членове 112 и 113 от Регламент (ЕО) № 1224/2009, държавите членки, капитаните на риболовни кораби и наблюдателите гарантират поверителната обработка на електронните доклади и съобщенията, предадени на секретариата на IATTC и получени от него в съответствие с член 10, параграф 2, член 19, параграф 5, член 19, параграф 8 и член 21, параграф 6 от настоящия регламент.</w:t>
      </w:r>
    </w:p>
    <w:p>
      <w:pPr>
        <w:pStyle w:val="Titrearticle"/>
        <w:rPr>
          <w:noProof/>
        </w:rPr>
      </w:pPr>
      <w:r>
        <w:rPr>
          <w:noProof/>
        </w:rPr>
        <w:t xml:space="preserve">Член 28 </w:t>
      </w:r>
      <w:r>
        <w:rPr>
          <w:noProof/>
        </w:rPr>
        <w:br/>
        <w:t>Оправомощаване за изменения</w:t>
      </w:r>
    </w:p>
    <w:p>
      <w:pPr>
        <w:pStyle w:val="ManualNumPar1"/>
        <w:rPr>
          <w:noProof/>
        </w:rPr>
      </w:pPr>
      <w:bookmarkStart w:id="15" w:name="_DV_M882"/>
      <w:bookmarkEnd w:id="15"/>
      <w:r>
        <w:t>1.</w:t>
      </w:r>
      <w:r>
        <w:tab/>
      </w:r>
      <w:r>
        <w:rPr>
          <w:noProof/>
        </w:rPr>
        <w:t xml:space="preserve">На Комисията се предоставя правомощие да приема в съответствие с член </w:t>
      </w:r>
      <w:bookmarkStart w:id="16" w:name="_DV_C278"/>
      <w:r>
        <w:rPr>
          <w:noProof/>
        </w:rPr>
        <w:t xml:space="preserve">29 делегирани актове за изменение на настоящия регламент с цел адаптирането му към мерките, приети от IATTC, които са задължителни за Съюза и държавите членки, </w:t>
      </w:r>
      <w:bookmarkStart w:id="17" w:name="_DV_M883"/>
      <w:bookmarkEnd w:id="16"/>
      <w:bookmarkEnd w:id="17"/>
      <w:r>
        <w:rPr>
          <w:noProof/>
        </w:rPr>
        <w:t>по отношение на:</w:t>
      </w:r>
      <w:bookmarkStart w:id="18" w:name="_DV_M884"/>
      <w:bookmarkStart w:id="19" w:name="_DV_M886"/>
      <w:bookmarkStart w:id="20" w:name="_DV_M888"/>
      <w:bookmarkStart w:id="21" w:name="_DV_M892"/>
      <w:bookmarkEnd w:id="18"/>
      <w:bookmarkEnd w:id="19"/>
      <w:bookmarkEnd w:id="20"/>
      <w:bookmarkEnd w:id="21"/>
    </w:p>
    <w:p>
      <w:pPr>
        <w:pStyle w:val="Point0"/>
        <w:rPr>
          <w:noProof/>
        </w:rPr>
      </w:pPr>
      <w:r>
        <w:rPr>
          <w:noProof/>
        </w:rPr>
        <w:t>а)</w:t>
      </w:r>
      <w:r>
        <w:rPr>
          <w:noProof/>
        </w:rPr>
        <w:tab/>
        <w:t>формуляра на декларацията за трансбордиране, посочен в член 3, точка 17;</w:t>
      </w:r>
    </w:p>
    <w:p>
      <w:pPr>
        <w:pStyle w:val="Point0"/>
        <w:rPr>
          <w:noProof/>
        </w:rPr>
      </w:pPr>
      <w:r>
        <w:rPr>
          <w:noProof/>
        </w:rPr>
        <w:t>б)</w:t>
      </w:r>
      <w:r>
        <w:rPr>
          <w:noProof/>
        </w:rPr>
        <w:tab/>
        <w:t>препратките към описанието на въдици за акули в член 3, точка 19;</w:t>
      </w:r>
    </w:p>
    <w:p>
      <w:pPr>
        <w:pStyle w:val="Point0"/>
        <w:rPr>
          <w:noProof/>
        </w:rPr>
      </w:pPr>
      <w:r>
        <w:rPr>
          <w:noProof/>
        </w:rPr>
        <w:t>в)</w:t>
      </w:r>
      <w:r>
        <w:rPr>
          <w:noProof/>
        </w:rPr>
        <w:tab/>
        <w:t>периодите на забрана, посочени в член 4, параграф 1, буква а) и член 4, параграф 5;</w:t>
      </w:r>
    </w:p>
    <w:p>
      <w:pPr>
        <w:pStyle w:val="Point0"/>
        <w:rPr>
          <w:noProof/>
        </w:rPr>
      </w:pPr>
      <w:r>
        <w:rPr>
          <w:noProof/>
        </w:rPr>
        <w:t>г)</w:t>
      </w:r>
      <w:r>
        <w:rPr>
          <w:noProof/>
        </w:rPr>
        <w:tab/>
        <w:t>сроковете за докладване на информация от УПР, предвидени в член 6, параграф 3;</w:t>
      </w:r>
    </w:p>
    <w:p>
      <w:pPr>
        <w:pStyle w:val="Point0"/>
        <w:rPr>
          <w:noProof/>
        </w:rPr>
      </w:pPr>
      <w:r>
        <w:rPr>
          <w:noProof/>
        </w:rPr>
        <w:t>д)</w:t>
      </w:r>
      <w:r>
        <w:rPr>
          <w:noProof/>
        </w:rPr>
        <w:tab/>
        <w:t>информацията, която трябва да се събира при извършване на риболов с УПР, посочена в член 6, параграф 4;</w:t>
      </w:r>
    </w:p>
    <w:p>
      <w:pPr>
        <w:pStyle w:val="Point0"/>
        <w:rPr>
          <w:noProof/>
        </w:rPr>
      </w:pPr>
      <w:r>
        <w:rPr>
          <w:noProof/>
        </w:rPr>
        <w:t>е)</w:t>
      </w:r>
      <w:r>
        <w:rPr>
          <w:noProof/>
        </w:rPr>
        <w:tab/>
        <w:t>разпоредбите относно проектните характеристики и разполагането на УПР, предвидени в член 6, параграф 6;</w:t>
      </w:r>
    </w:p>
    <w:p>
      <w:pPr>
        <w:pStyle w:val="Point0"/>
        <w:rPr>
          <w:noProof/>
        </w:rPr>
      </w:pPr>
      <w:r>
        <w:rPr>
          <w:noProof/>
        </w:rPr>
        <w:t>ж)</w:t>
      </w:r>
      <w:r>
        <w:rPr>
          <w:noProof/>
        </w:rPr>
        <w:tab/>
        <w:t>крайния срок за събиране на данните, посочен в член 14, параграф 1;</w:t>
      </w:r>
    </w:p>
    <w:p>
      <w:pPr>
        <w:pStyle w:val="Point0"/>
        <w:rPr>
          <w:noProof/>
        </w:rPr>
      </w:pPr>
      <w:r>
        <w:rPr>
          <w:noProof/>
        </w:rPr>
        <w:t>з)</w:t>
      </w:r>
      <w:r>
        <w:rPr>
          <w:noProof/>
        </w:rPr>
        <w:tab/>
        <w:t>зоните и смекчаващите мерки за защита на морските птици съгласно член 15, параграфи 1 и 2;</w:t>
      </w:r>
    </w:p>
    <w:p>
      <w:pPr>
        <w:pStyle w:val="Point0"/>
        <w:rPr>
          <w:noProof/>
        </w:rPr>
      </w:pPr>
      <w:r>
        <w:rPr>
          <w:noProof/>
        </w:rPr>
        <w:t>и)</w:t>
      </w:r>
      <w:r>
        <w:rPr>
          <w:noProof/>
        </w:rPr>
        <w:tab/>
        <w:t>присъствието на научни наблюдатели съгласно член 18, параграф 1;</w:t>
      </w:r>
    </w:p>
    <w:p>
      <w:pPr>
        <w:pStyle w:val="Point0"/>
        <w:rPr>
          <w:noProof/>
        </w:rPr>
      </w:pPr>
      <w:r>
        <w:rPr>
          <w:noProof/>
        </w:rPr>
        <w:t>й)</w:t>
      </w:r>
      <w:r>
        <w:rPr>
          <w:noProof/>
        </w:rPr>
        <w:tab/>
        <w:t>информацията, свързана с Регионалния регистър на корабите, посочена в член 20, параграф 1;</w:t>
      </w:r>
    </w:p>
    <w:p>
      <w:pPr>
        <w:pStyle w:val="Point0"/>
        <w:rPr>
          <w:noProof/>
        </w:rPr>
      </w:pPr>
      <w:r>
        <w:rPr>
          <w:noProof/>
        </w:rPr>
        <w:t>к)</w:t>
      </w:r>
      <w:r>
        <w:rPr>
          <w:noProof/>
        </w:rPr>
        <w:tab/>
        <w:t>препратките към таблицата за предоставяне на данни за корабните дневници и регистрите на разтоварванията, предвидени в член 22, параграф 2;</w:t>
      </w:r>
    </w:p>
    <w:p>
      <w:pPr>
        <w:pStyle w:val="Point0"/>
        <w:rPr>
          <w:noProof/>
        </w:rPr>
      </w:pPr>
      <w:r>
        <w:rPr>
          <w:noProof/>
        </w:rPr>
        <w:t>л)</w:t>
      </w:r>
      <w:r>
        <w:rPr>
          <w:noProof/>
        </w:rPr>
        <w:tab/>
        <w:t>препратките към статистическия документ за големоок тон от член 23, параграф 1;</w:t>
      </w:r>
    </w:p>
    <w:p>
      <w:pPr>
        <w:pStyle w:val="Point0"/>
        <w:rPr>
          <w:noProof/>
        </w:rPr>
      </w:pPr>
      <w:r>
        <w:rPr>
          <w:noProof/>
        </w:rPr>
        <w:t>м)</w:t>
      </w:r>
      <w:r>
        <w:rPr>
          <w:noProof/>
        </w:rPr>
        <w:tab/>
        <w:t>крайните срокове за докладване, предвидени в член 25;</w:t>
      </w:r>
    </w:p>
    <w:p>
      <w:pPr>
        <w:pStyle w:val="Point0"/>
        <w:rPr>
          <w:noProof/>
        </w:rPr>
      </w:pPr>
      <w:r>
        <w:rPr>
          <w:noProof/>
        </w:rPr>
        <w:t>н)</w:t>
      </w:r>
      <w:r>
        <w:rPr>
          <w:noProof/>
        </w:rPr>
        <w:tab/>
        <w:t>препратките към Насоките за намаляване на смъртността на морските костенурки от член 25, параграф 4;</w:t>
      </w:r>
    </w:p>
    <w:p>
      <w:pPr>
        <w:pStyle w:val="Point0"/>
        <w:rPr>
          <w:noProof/>
        </w:rPr>
      </w:pPr>
      <w:r>
        <w:rPr>
          <w:noProof/>
        </w:rPr>
        <w:t>о)</w:t>
      </w:r>
      <w:r>
        <w:rPr>
          <w:noProof/>
        </w:rPr>
        <w:tab/>
        <w:t>приложението към настоящия регламент.</w:t>
      </w:r>
    </w:p>
    <w:p>
      <w:pPr>
        <w:pStyle w:val="ManualNumPar1"/>
        <w:rPr>
          <w:noProof/>
        </w:rPr>
      </w:pPr>
      <w:bookmarkStart w:id="22" w:name="_DV_M893"/>
      <w:bookmarkStart w:id="23" w:name="_DV_M901"/>
      <w:bookmarkStart w:id="24" w:name="_DV_M902"/>
      <w:bookmarkStart w:id="25" w:name="_DV_M903"/>
      <w:bookmarkStart w:id="26" w:name="_DV_M904"/>
      <w:bookmarkStart w:id="27" w:name="_DV_M906"/>
      <w:bookmarkStart w:id="28" w:name="_DV_M907"/>
      <w:bookmarkStart w:id="29" w:name="_DV_M908"/>
      <w:bookmarkStart w:id="30" w:name="_DV_M915"/>
      <w:bookmarkStart w:id="31" w:name="_DV_M916"/>
      <w:bookmarkEnd w:id="22"/>
      <w:bookmarkEnd w:id="23"/>
      <w:bookmarkEnd w:id="24"/>
      <w:bookmarkEnd w:id="25"/>
      <w:bookmarkEnd w:id="26"/>
      <w:bookmarkEnd w:id="27"/>
      <w:bookmarkEnd w:id="28"/>
      <w:bookmarkEnd w:id="29"/>
      <w:bookmarkEnd w:id="30"/>
      <w:bookmarkEnd w:id="31"/>
      <w:r>
        <w:t>2.</w:t>
      </w:r>
      <w:r>
        <w:tab/>
      </w:r>
      <w:r>
        <w:rPr>
          <w:noProof/>
        </w:rPr>
        <w:t>Всяко изменение в съответствие с параграф 1 е строго ограничено до въвеждането в правото на Съюза на измененията или новите резолюции на IATTC.</w:t>
      </w:r>
    </w:p>
    <w:p>
      <w:pPr>
        <w:pStyle w:val="Titrearticle"/>
        <w:rPr>
          <w:noProof/>
        </w:rPr>
      </w:pPr>
      <w:bookmarkStart w:id="32" w:name="_DV_M917"/>
      <w:bookmarkEnd w:id="32"/>
      <w:r>
        <w:rPr>
          <w:noProof/>
        </w:rPr>
        <w:t xml:space="preserve">Член 29 </w:t>
      </w:r>
      <w:r>
        <w:rPr>
          <w:noProof/>
        </w:rPr>
        <w:br/>
        <w:t>Упражняване на делегирането</w:t>
      </w:r>
    </w:p>
    <w:p>
      <w:pPr>
        <w:pStyle w:val="ManualNumPar1"/>
        <w:rPr>
          <w:noProof/>
        </w:rPr>
      </w:pPr>
      <w:bookmarkStart w:id="33" w:name="_DV_M918"/>
      <w:bookmarkEnd w:id="33"/>
      <w:r>
        <w:t>1.</w:t>
      </w:r>
      <w:r>
        <w:tab/>
      </w:r>
      <w:r>
        <w:rPr>
          <w:noProof/>
        </w:rPr>
        <w:t>Правомощието да приема делегирани актове се предоставя на Комисията при спазване на условията, предвидени в настоящия член.</w:t>
      </w:r>
      <w:bookmarkStart w:id="34" w:name="_DV_M919"/>
      <w:bookmarkEnd w:id="34"/>
    </w:p>
    <w:p>
      <w:pPr>
        <w:pStyle w:val="ManualNumPar1"/>
        <w:rPr>
          <w:noProof/>
        </w:rPr>
      </w:pPr>
      <w:r>
        <w:t>2.</w:t>
      </w:r>
      <w:r>
        <w:tab/>
      </w:r>
      <w:r>
        <w:rPr>
          <w:noProof/>
        </w:rPr>
        <w:t>Правомощието да приема делегирани актове, посочено в член 28, се предоставя на Комисията за срок от пет години, считано от [датата на влизане в сила на настоящия регламент]. Не по-късно от девет месеца преди изтичането на петгодишния срок Комисията изготвя доклад относно делегирането на правомощия. Това делегиране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pStyle w:val="ManualNumPar1"/>
        <w:rPr>
          <w:noProof/>
        </w:rPr>
      </w:pPr>
      <w:bookmarkStart w:id="35" w:name="_DV_M920"/>
      <w:bookmarkEnd w:id="35"/>
      <w:r>
        <w:t>3.</w:t>
      </w:r>
      <w:r>
        <w:tab/>
      </w:r>
      <w:r>
        <w:rPr>
          <w:noProof/>
        </w:rPr>
        <w:t xml:space="preserve">Делегирането на правомощия, посочено в член 28,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bookmarkStart w:id="36" w:name="_DV_M921"/>
      <w:bookmarkEnd w:id="36"/>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bookmarkStart w:id="37" w:name="_DV_M922"/>
      <w:bookmarkEnd w:id="37"/>
      <w:r>
        <w:t>5.</w:t>
      </w:r>
      <w:r>
        <w:tab/>
      </w:r>
      <w:r>
        <w:rPr>
          <w:noProof/>
        </w:rPr>
        <w:t>Веднага след като приеме делегиран акт, Комисията нотифицира акта едновременно на Европейския парламент и на Съвета.</w:t>
      </w:r>
      <w:bookmarkStart w:id="38" w:name="_DV_M923"/>
      <w:bookmarkEnd w:id="38"/>
    </w:p>
    <w:p>
      <w:pPr>
        <w:pStyle w:val="ManualNumPar1"/>
        <w:rPr>
          <w:noProof/>
        </w:rPr>
      </w:pPr>
      <w:r>
        <w:t>6.</w:t>
      </w:r>
      <w:r>
        <w:tab/>
      </w:r>
      <w:r>
        <w:rPr>
          <w:noProof/>
        </w:rPr>
        <w:t>Делегиран акт, приет съгласно член 28, влиза в сила единствено ако нито Европейският парламент, нито Съветът са представили възражения в срок от два месеца след нотифицирането на акта на Европейския парламент или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bookmarkStart w:id="39" w:name="_DV_M924"/>
      <w:bookmarkStart w:id="40" w:name="_DV_M960"/>
      <w:bookmarkEnd w:id="39"/>
      <w:bookmarkEnd w:id="40"/>
    </w:p>
    <w:p>
      <w:pPr>
        <w:pStyle w:val="Titrearticle"/>
        <w:rPr>
          <w:noProof/>
        </w:rPr>
      </w:pPr>
      <w:r>
        <w:rPr>
          <w:noProof/>
        </w:rPr>
        <w:t xml:space="preserve">Член </w:t>
      </w:r>
      <w:bookmarkStart w:id="41" w:name="_DV_M961"/>
      <w:bookmarkEnd w:id="41"/>
      <w:r>
        <w:rPr>
          <w:noProof/>
        </w:rPr>
        <w:t xml:space="preserve">30 </w:t>
      </w:r>
      <w:r>
        <w:rPr>
          <w:noProof/>
        </w:rPr>
        <w:br/>
        <w:t>Изменения на Регламент (ЕО) № 520/2007 на Съвета</w:t>
      </w:r>
    </w:p>
    <w:p>
      <w:pPr>
        <w:rPr>
          <w:noProof/>
        </w:rPr>
      </w:pPr>
      <w:r>
        <w:rPr>
          <w:noProof/>
        </w:rPr>
        <w:t>Член 3, параграф 3 и член 4, параграф 3 от Регламент (ЕО) № 520/2007 на Съвета, както и и дял IV към него се заличават.</w:t>
      </w:r>
    </w:p>
    <w:p>
      <w:pPr>
        <w:pStyle w:val="Titrearticle"/>
        <w:rPr>
          <w:noProof/>
        </w:rPr>
      </w:pPr>
      <w:bookmarkStart w:id="42" w:name="_DV_M962"/>
      <w:bookmarkStart w:id="43" w:name="_DV_M881"/>
      <w:bookmarkEnd w:id="42"/>
      <w:bookmarkEnd w:id="43"/>
      <w:r>
        <w:rPr>
          <w:noProof/>
        </w:rPr>
        <w:t>Член 31</w:t>
      </w:r>
    </w:p>
    <w:p>
      <w:pPr>
        <w:jc w:val="center"/>
        <w:rPr>
          <w:i/>
          <w:noProof/>
        </w:rPr>
      </w:pPr>
      <w:r>
        <w:rPr>
          <w:i/>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TTd832f767">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29, 30.1.2019 г., стр. 1.</w:t>
      </w:r>
    </w:p>
  </w:footnote>
  <w:footnote w:id="2">
    <w:p>
      <w:pPr>
        <w:pStyle w:val="FootnoteText"/>
      </w:pPr>
      <w:r>
        <w:rPr>
          <w:rStyle w:val="FootnoteReference"/>
        </w:rPr>
        <w:footnoteRef/>
      </w:r>
      <w:r>
        <w:tab/>
        <w:t>ОВ C , , стр. .</w:t>
      </w:r>
    </w:p>
  </w:footnote>
  <w:footnote w:id="3">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и Решение 2004/585/ЕО на Съвета (ОВ L 354, 28.12.2013 г., стр. 22).</w:t>
      </w:r>
    </w:p>
  </w:footnote>
  <w:footnote w:id="4">
    <w:p>
      <w:pPr>
        <w:pStyle w:val="FootnoteText"/>
      </w:pPr>
      <w:r>
        <w:rPr>
          <w:rStyle w:val="FootnoteReference"/>
        </w:rPr>
        <w:footnoteRef/>
      </w:r>
      <w:r>
        <w:tab/>
        <w:t xml:space="preserve">Решение 98/392/ЕО на Съвета от 23 март 1998 г. за сключване от Европейската общност на Конвенцията на Организацията на обединените нации по морско право от 10 декември 1982 година и на Споразумението от 28 юли 1994 година по отношение прилагането на част ХI от Конвенцията (ОВ L 179, 23.6.1998 г., стр. 1). </w:t>
      </w:r>
    </w:p>
  </w:footnote>
  <w:footnote w:id="5">
    <w:p>
      <w:pPr>
        <w:pStyle w:val="FootnoteText"/>
      </w:pPr>
      <w:r>
        <w:rPr>
          <w:rStyle w:val="FootnoteReference"/>
        </w:rPr>
        <w:footnoteRef/>
      </w:r>
      <w:r>
        <w:tab/>
        <w:t>Решение 98/414/ЕО на Съвета от 8 юни 1998 г. относно ратификацията от страна на Европейската общност на Споразумението за прилагане на разпоредбите от Конвенцията на Организацията на обединените нации по морско право от 10 декември 1982 година, свързани с опазването и управлението на трансгранично преминаващите и далекомигриращите рибни запаси (ОВ L 189, 3.7.1998 г., стр. 14).</w:t>
      </w:r>
    </w:p>
  </w:footnote>
  <w:footnote w:id="6">
    <w:p>
      <w:pPr>
        <w:pStyle w:val="FootnoteText"/>
      </w:pPr>
      <w:r>
        <w:rPr>
          <w:rStyle w:val="FootnoteReference"/>
        </w:rPr>
        <w:footnoteRef/>
      </w:r>
      <w:r>
        <w:tab/>
        <w:t>Решение на Съвета от 22 май 2006 г. за сключване от името на Европейската общност на Конвенцията за укрепване на Междуамериканската комисия за тропическа риба тон, създадена от Конвенцията между Съединените американски щати и Република Коста Рика от 1949 г. (ОВ L 224, 16.8.2006 г., стр. 22).</w:t>
      </w:r>
    </w:p>
  </w:footnote>
  <w:footnote w:id="7">
    <w:p>
      <w:pPr>
        <w:pStyle w:val="doc-ti"/>
        <w:shd w:val="clear" w:color="auto" w:fill="FFFFFF"/>
        <w:spacing w:before="240" w:beforeAutospacing="0" w:after="120" w:afterAutospacing="0"/>
        <w:jc w:val="both"/>
      </w:pPr>
      <w:r>
        <w:rPr>
          <w:rStyle w:val="FootnoteReference"/>
        </w:rPr>
        <w:footnoteRef/>
      </w:r>
      <w:r>
        <w:tab/>
      </w:r>
      <w:r>
        <w:rPr>
          <w:sz w:val="20"/>
        </w:rPr>
        <w:t>Решение 2005/938/ЕО на Съвета от 8 декември 2005 г. за одобряване от името на Европейската общност на споразумението по Международната програма за опазване на делфините (ОВ L 348, 30.12.2005 г., стр. 26).</w:t>
      </w:r>
    </w:p>
  </w:footnote>
  <w:footnote w:id="8">
    <w:p>
      <w:pPr>
        <w:pStyle w:val="FootnoteText"/>
        <w:rPr>
          <w:szCs w:val="24"/>
        </w:rPr>
      </w:pPr>
      <w:r>
        <w:rPr>
          <w:rStyle w:val="FootnoteReference"/>
        </w:rPr>
        <w:footnoteRef/>
      </w:r>
      <w:r>
        <w:tab/>
        <w:t xml:space="preserve">Регламент (ЕО) № 520/2007 на Съвета за определяне на технически мерки за опазването на определени популации от </w:t>
      </w:r>
    </w:p>
    <w:p>
      <w:pPr>
        <w:pStyle w:val="FootnoteText"/>
      </w:pPr>
      <w:r>
        <w:t>далекомигриращи видове риба и за отмяна на Регламент (ЕО) № 973/2001 (ОВ L 123, 12.5.2007 г., стр. 3).</w:t>
      </w:r>
    </w:p>
  </w:footnote>
  <w:footnote w:id="9">
    <w:p>
      <w:pPr>
        <w:pStyle w:val="doc-ti"/>
        <w:shd w:val="clear" w:color="auto" w:fill="FFFFFF"/>
        <w:spacing w:before="0" w:beforeAutospacing="0" w:after="0" w:afterAutospacing="0" w:line="0" w:lineRule="atLeast"/>
        <w:jc w:val="both"/>
        <w:rPr>
          <w:rFonts w:eastAsiaTheme="minorHAnsi"/>
          <w:sz w:val="20"/>
          <w:szCs w:val="20"/>
        </w:rPr>
      </w:pPr>
      <w:r>
        <w:rPr>
          <w:rStyle w:val="FootnoteReference"/>
        </w:rPr>
        <w:footnoteRef/>
      </w:r>
      <w:r>
        <w:tab/>
      </w:r>
      <w:r>
        <w:rPr>
          <w:sz w:val="20"/>
          <w:szCs w:val="20"/>
        </w:rPr>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w:t>
      </w:r>
    </w:p>
    <w:p>
      <w:pPr>
        <w:shd w:val="clear" w:color="auto" w:fill="FFFFFF"/>
        <w:spacing w:before="0" w:after="0" w:line="0" w:lineRule="atLeast"/>
      </w:pPr>
      <w:r>
        <w:rPr>
          <w:sz w:val="20"/>
          <w:szCs w:val="20"/>
        </w:rPr>
        <w:t>(OВ L 123, 12.5.2016 г., стр. 1).</w:t>
      </w:r>
    </w:p>
  </w:footnote>
  <w:footnote w:id="10">
    <w:p>
      <w:pPr>
        <w:pStyle w:val="FootnoteText"/>
      </w:pPr>
      <w:r>
        <w:rPr>
          <w:rStyle w:val="FootnoteReference"/>
        </w:rPr>
        <w:footnoteRef/>
      </w:r>
      <w:r>
        <w:tab/>
        <w:t>Решение 2005/26/ЕО на Съвета от 25 октомври 2004 г. относно подписването от името на Европейската общност на Конвенцията за засилване на функциите на Интерамериканската комисия за тропическа риба тон, създадена по силата на Конвенцията от 1949 година между Съединените американски щати и Република Коста Рика („Конвенцията от Антигуа“) (ОВ L 15, 19.1.2005 г., стр. 9).</w:t>
      </w:r>
    </w:p>
  </w:footnote>
  <w:footnote w:id="11">
    <w:p>
      <w:pPr>
        <w:pStyle w:val="FootnoteText"/>
        <w:rPr>
          <w:szCs w:val="24"/>
        </w:rPr>
      </w:pPr>
      <w:r>
        <w:rPr>
          <w:rStyle w:val="FootnoteReference"/>
          <w:szCs w:val="24"/>
        </w:rPr>
        <w:footnoteRef/>
      </w:r>
      <w:r>
        <w:tab/>
        <w:t>Регламент (ЕС) 2017/2403 на Европейския парламент и на Съвета от 12 декември 2017 г. относно устойчивото управление на външните риболовни флотове и за отмяна на Регламент (ЕО) № 1006/2008 на Съвета (ОВ L 347, 28.12.2017 г., стp. 81).</w:t>
      </w:r>
    </w:p>
  </w:footnote>
  <w:footnote w:id="12">
    <w:p>
      <w:pPr>
        <w:pStyle w:val="FootnoteText"/>
        <w:rPr>
          <w:szCs w:val="24"/>
        </w:rPr>
      </w:pPr>
      <w:r>
        <w:rPr>
          <w:rStyle w:val="FootnoteReference"/>
          <w:szCs w:val="24"/>
        </w:rPr>
        <w:footnoteRef/>
      </w:r>
      <w:r>
        <w:tab/>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(ОВ L 286, 29.10.2008 г., стр. 1).</w:t>
      </w:r>
    </w:p>
  </w:footnote>
  <w:footnote w:id="13">
    <w:p>
      <w:pPr>
        <w:pStyle w:val="FootnoteText"/>
        <w:rPr>
          <w:szCs w:val="24"/>
        </w:rPr>
      </w:pPr>
      <w:r>
        <w:rPr>
          <w:rStyle w:val="FootnoteReference"/>
        </w:rPr>
        <w:footnoteRef/>
      </w:r>
      <w:r>
        <w:tab/>
        <w:t xml:space="preserve">Регламент (ЕО) № 1224/2009 на Съвета от 20 ноември 2009 г. </w:t>
      </w:r>
      <w:hyperlink r:id="rId1" w:tooltip="32009R1224" w:history="1">
        <w:r>
          <w:t>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w:t>
        </w:r>
      </w:hyperlink>
      <w:r>
        <w:t xml:space="preserve"> (ОВ L 343, 22.12.2009 г., стр. 1).</w:t>
      </w:r>
    </w:p>
  </w:footnote>
  <w:footnote w:id="14">
    <w:p>
      <w:pPr>
        <w:pStyle w:val="FootnoteText"/>
      </w:pPr>
      <w:r>
        <w:rPr>
          <w:rStyle w:val="FootnoteReference"/>
        </w:rPr>
        <w:footnoteRef/>
      </w:r>
      <w:r>
        <w:tab/>
        <w:t>Регламент (EO) № 1185/2003 на Съвета от 26 юни 2003 г. за премахването на перките на акулите на борда на риболовните кораби (OB L 167, 4.7.2003 г., стр. 1).</w:t>
      </w:r>
    </w:p>
  </w:footnote>
  <w:footnote w:id="15">
    <w:p>
      <w:pPr>
        <w:pStyle w:val="FootnoteText"/>
      </w:pPr>
      <w:r>
        <w:rPr>
          <w:rStyle w:val="FootnoteReference"/>
        </w:rPr>
        <w:footnoteRef/>
      </w:r>
      <w:r>
        <w:tab/>
        <w:t>Решение 2005/938/ЕО на Съвета от 8 декември 2005 г. за одобряване от името на Европейската общност на споразумението по Международната програма за опазване на делфините (ОВ L 348, 30.12.2005 г., стр. 26).</w:t>
      </w:r>
    </w:p>
  </w:footnote>
  <w:footnote w:id="16">
    <w:p>
      <w:pPr>
        <w:pStyle w:val="FootnoteText"/>
      </w:pPr>
      <w:r>
        <w:rPr>
          <w:rStyle w:val="FootnoteReference"/>
        </w:rPr>
        <w:footnoteRef/>
      </w:r>
      <w:r>
        <w:tab/>
        <w:t>Решение 2005/75/ЕО на Съвета от 26 април 2004 г. за присъединяване на Общността към Конвенцията за опазването и управлението на далекомигриращите рибни запаси в Западния и Централния Тихи океан (ОВ L 32, 4.2.2005 г., стр. 1).</w:t>
      </w:r>
    </w:p>
  </w:footnote>
  <w:footnote w:id="17">
    <w:p>
      <w:pPr>
        <w:pStyle w:val="FootnoteText"/>
      </w:pPr>
      <w:r>
        <w:rPr>
          <w:rStyle w:val="FootnoteReference"/>
        </w:rPr>
        <w:footnoteRef/>
      </w:r>
      <w:r>
        <w:tab/>
        <w:t xml:space="preserve">По-специално Директива 89/391 ЕИО (Рамковата директива относно безопасността и здравето на работното място), Директива (ЕС) 2017/159 от 19 декември 2016 г. за изпълнение на Споразумението във връзка с изпълнението на Конвенцията относно условията на труд в сектора на риболова от 2007 година на Международната организация на труда (МОТ), Конвенцията на МОТ относно условията на труд в сектора на риболова от 2007 г. (№ 188) и Конвенцията на МОТ относно насилието и тормоза от 2019 г. (№ 190).  </w:t>
      </w:r>
    </w:p>
  </w:footnote>
  <w:footnote w:id="18">
    <w:p>
      <w:pPr>
        <w:pStyle w:val="FootnoteText"/>
      </w:pPr>
      <w:r>
        <w:rPr>
          <w:rStyle w:val="FootnoteReference"/>
        </w:rPr>
        <w:footnoteRef/>
      </w:r>
      <w:r>
        <w:tab/>
        <w:t>Допълнение към Резолюция C-03-01.</w:t>
      </w:r>
    </w:p>
  </w:footnote>
  <w:footnote w:id="19">
    <w:p>
      <w:pPr>
        <w:pStyle w:val="FootnoteText"/>
      </w:pPr>
      <w:r>
        <w:rPr>
          <w:rStyle w:val="FootnoteReference"/>
        </w:rPr>
        <w:footnoteRef/>
      </w:r>
      <w:r>
        <w:tab/>
        <w:t>http://www.fao.org/docrep/012/i0725e/i0725e.pdf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F2F9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1CBB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F260A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8407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C865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75C5C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96F48A1C"/>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495604"/>
    <w:multiLevelType w:val="multilevel"/>
    <w:tmpl w:val="9F60CF46"/>
    <w:name w:val="Points"/>
    <w:lvl w:ilvl="0">
      <w:start w:val="1"/>
      <w:numFmt w:val="decimal"/>
      <w:lvlRestart w:val="0"/>
      <w:pStyle w:val="Point123"/>
      <w:lvlText w:val="%1."/>
      <w:lvlJc w:val="left"/>
      <w:pPr>
        <w:tabs>
          <w:tab w:val="num" w:pos="567"/>
        </w:tabs>
        <w:ind w:left="567" w:hanging="567"/>
      </w:pPr>
      <w:rPr>
        <w:rFonts w:cs="Times New Roman"/>
      </w:rPr>
    </w:lvl>
    <w:lvl w:ilvl="1">
      <w:start w:val="1"/>
      <w:numFmt w:val="lowerLetter"/>
      <w:pStyle w:val="Pointabc"/>
      <w:lvlText w:val="%2)"/>
      <w:lvlJc w:val="left"/>
      <w:pPr>
        <w:tabs>
          <w:tab w:val="num" w:pos="567"/>
        </w:tabs>
        <w:ind w:left="567" w:hanging="567"/>
      </w:pPr>
      <w:rPr>
        <w:rFonts w:cs="Times New Roman"/>
      </w:rPr>
    </w:lvl>
    <w:lvl w:ilvl="2">
      <w:start w:val="1"/>
      <w:numFmt w:val="decimal"/>
      <w:pStyle w:val="Point1231"/>
      <w:lvlText w:val="%3."/>
      <w:lvlJc w:val="left"/>
      <w:pPr>
        <w:tabs>
          <w:tab w:val="num" w:pos="1134"/>
        </w:tabs>
        <w:ind w:left="1134" w:hanging="567"/>
      </w:pPr>
      <w:rPr>
        <w:rFonts w:cs="Times New Roman"/>
      </w:rPr>
    </w:lvl>
    <w:lvl w:ilvl="3">
      <w:start w:val="1"/>
      <w:numFmt w:val="lowerLetter"/>
      <w:pStyle w:val="Pointabc1"/>
      <w:lvlText w:val="%4)"/>
      <w:lvlJc w:val="left"/>
      <w:pPr>
        <w:tabs>
          <w:tab w:val="num" w:pos="1134"/>
        </w:tabs>
        <w:ind w:left="1134" w:hanging="567"/>
      </w:pPr>
      <w:rPr>
        <w:rFonts w:cs="Times New Roman"/>
      </w:rPr>
    </w:lvl>
    <w:lvl w:ilvl="4">
      <w:start w:val="1"/>
      <w:numFmt w:val="decimal"/>
      <w:pStyle w:val="Point1232"/>
      <w:lvlText w:val="%5."/>
      <w:lvlJc w:val="left"/>
      <w:pPr>
        <w:tabs>
          <w:tab w:val="num" w:pos="1701"/>
        </w:tabs>
        <w:ind w:left="1701" w:hanging="567"/>
      </w:pPr>
      <w:rPr>
        <w:rFonts w:cs="Times New Roman"/>
      </w:rPr>
    </w:lvl>
    <w:lvl w:ilvl="5">
      <w:start w:val="1"/>
      <w:numFmt w:val="lowerLetter"/>
      <w:pStyle w:val="Pointabc2"/>
      <w:lvlText w:val="%6)"/>
      <w:lvlJc w:val="left"/>
      <w:pPr>
        <w:tabs>
          <w:tab w:val="num" w:pos="1701"/>
        </w:tabs>
        <w:ind w:left="1701" w:hanging="567"/>
      </w:pPr>
      <w:rPr>
        <w:rFonts w:cs="Times New Roman"/>
      </w:rPr>
    </w:lvl>
    <w:lvl w:ilvl="6">
      <w:start w:val="1"/>
      <w:numFmt w:val="decimal"/>
      <w:pStyle w:val="Point1233"/>
      <w:lvlText w:val="%7."/>
      <w:lvlJc w:val="left"/>
      <w:pPr>
        <w:tabs>
          <w:tab w:val="num" w:pos="2268"/>
        </w:tabs>
        <w:ind w:left="2268" w:hanging="567"/>
      </w:pPr>
      <w:rPr>
        <w:rFonts w:cs="Times New Roman"/>
      </w:rPr>
    </w:lvl>
    <w:lvl w:ilvl="7">
      <w:start w:val="1"/>
      <w:numFmt w:val="lowerLetter"/>
      <w:pStyle w:val="Pointabc3"/>
      <w:lvlText w:val="%8)"/>
      <w:lvlJc w:val="left"/>
      <w:pPr>
        <w:tabs>
          <w:tab w:val="num" w:pos="2268"/>
        </w:tabs>
        <w:ind w:left="2268" w:hanging="567"/>
      </w:pPr>
      <w:rPr>
        <w:rFonts w:cs="Times New Roman"/>
      </w:rPr>
    </w:lvl>
    <w:lvl w:ilvl="8">
      <w:start w:val="1"/>
      <w:numFmt w:val="lowerLetter"/>
      <w:pStyle w:val="Pointabc4"/>
      <w:lvlText w:val="%9)"/>
      <w:lvlJc w:val="left"/>
      <w:pPr>
        <w:tabs>
          <w:tab w:val="num" w:pos="2835"/>
        </w:tabs>
        <w:ind w:left="2835" w:hanging="567"/>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num>
  <w:num w:numId="2">
    <w:abstractNumId w:val="16"/>
  </w:num>
  <w:num w:numId="3">
    <w:abstractNumId w:val="6"/>
  </w:num>
  <w:num w:numId="4">
    <w:abstractNumId w:val="5"/>
  </w:num>
  <w:num w:numId="5">
    <w:abstractNumId w:val="4"/>
  </w:num>
  <w:num w:numId="6">
    <w:abstractNumId w:val="3"/>
  </w:num>
  <w:num w:numId="7">
    <w:abstractNumId w:val="7"/>
  </w:num>
  <w:num w:numId="8">
    <w:abstractNumId w:val="23"/>
    <w:lvlOverride w:ilvl="0">
      <w:startOverride w:val="1"/>
    </w:lvlOverride>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2"/>
  </w:num>
  <w:num w:numId="38">
    <w:abstractNumId w:val="22"/>
  </w:num>
  <w:num w:numId="39">
    <w:abstractNumId w:val="11"/>
  </w:num>
  <w:num w:numId="40">
    <w:abstractNumId w:val="14"/>
  </w:num>
  <w:num w:numId="41">
    <w:abstractNumId w:val="9"/>
  </w:num>
  <w:num w:numId="42">
    <w:abstractNumId w:val="21"/>
  </w:num>
  <w:num w:numId="43">
    <w:abstractNumId w:val="8"/>
  </w:num>
  <w:num w:numId="44">
    <w:abstractNumId w:val="15"/>
  </w:num>
  <w:num w:numId="45">
    <w:abstractNumId w:val="18"/>
  </w:num>
  <w:num w:numId="46">
    <w:abstractNumId w:val="19"/>
  </w:num>
  <w:num w:numId="47">
    <w:abstractNumId w:val="10"/>
  </w:num>
  <w:num w:numId="48">
    <w:abstractNumId w:val="17"/>
  </w:num>
  <w:num w:numId="49">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7-08 07:48:58"/>
    <w:docVar w:name="DQCRepairStyles" w:val=";NumPar 1;Point 0 (letter);"/>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9113DC62-3612-41EC-8F3E-79A289E101B5"/>
    <w:docVar w:name="LW_COVERPAGE_TYPE" w:val="1"/>
    <w:docVar w:name="LW_CROSSREFERENCE" w:val="&lt;UNUSED&gt;"/>
    <w:docVar w:name="LW_DocType" w:val="COM"/>
    <w:docVar w:name="LW_EMISSION" w:val="14.7.2020"/>
    <w:docVar w:name="LW_EMISSION_ISODATE" w:val="2020-07-1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9"/>
    <w:docVar w:name="LW_REF.II.NEW.CP_YEAR" w:val="2020"/>
    <w:docVar w:name="LW_REF.INST.NEW" w:val="COM"/>
    <w:docVar w:name="LW_REF.INST.NEW_ADOPTED" w:val="final"/>
    <w:docVar w:name="LW_REF.INST.NEW_TEXT" w:val="(2020)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4?\u1077?\u1088?\u1082?\u1080? \u1079?\u1072? \u1091?\u1087?\u1088?\u1072?\u1074?\u1083?\u1077?\u1085?\u1080?\u1077?, \u1086?\u1087?\u1072?\u1079?\u1074?\u1072?\u1085?\u1077? \u1080? \u1082?\u1086?\u1085?\u1090?\u1088?\u1086?\u1083?, \u1087?\u1088?\u1080?\u1083?\u1086?\u1078?\u1080?\u1084?\u1080? \u1074? \u1079?\u1086?\u1085?\u1072?\u1090?\u1072? \u1085?\u1072? \u1050?\u1086?\u1085?\u1074?\u1077?\u1085?\u1094?\u1080?\u1103?\u1090?\u1072? \u1079?\u1072? \u1091?\u1082?\u1088?\u1077?\u1087?\u1074?\u1072?\u1085?\u1077? \u1085?\u1072? \u1052?\u1077?\u1078?\u1076?\u1091?\u1072?\u1084?\u1077?\u1088?\u1080?\u1082?\u1072?\u1085?\u1089?\u1082?\u1072?\u1090?\u1072? \u1082?\u1086?\u1084?\u1080?\u1089?\u1080?\u1103? \u1079?\u1072? \u1090?\u1088?\u1086?\u1087?\u1080?\u1095?\u1077?\u1089?\u1082?\u1072? \u1088?\u1080?\u1073?\u1072? \u1090?\u1086?\u1085?, \u1080? \u1079?\u1072? \u1080?\u1079?\u1084?\u1077?\u1085?\u1077?\u1085?\u1080?\u1077? \u1085?\u1072? \u1056?\u1077?\u1075?\u1083?\u1072?\u1084?\u1077?\u1085?\u1090? (\u1045?\u1057?) \u8470? 520/2007 \u1085?\u1072? \u1057?\u1098?\u1074?\u1077?\u1090?\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spacing w:before="0" w:after="240"/>
    </w:pPr>
    <w:rPr>
      <w:rFonts w:eastAsia="Times New Roman"/>
      <w:szCs w:val="20"/>
    </w:rPr>
  </w:style>
  <w:style w:type="paragraph" w:customStyle="1" w:styleId="ListNumberLevel2">
    <w:name w:val="List Number (Level 2)"/>
    <w:basedOn w:val="Normal"/>
    <w:pPr>
      <w:numPr>
        <w:ilvl w:val="1"/>
        <w:numId w:val="1"/>
      </w:numPr>
      <w:spacing w:before="0" w:after="240"/>
    </w:pPr>
    <w:rPr>
      <w:rFonts w:eastAsia="Times New Roman"/>
      <w:szCs w:val="20"/>
    </w:rPr>
  </w:style>
  <w:style w:type="paragraph" w:customStyle="1" w:styleId="ListNumberLevel3">
    <w:name w:val="List Number (Level 3)"/>
    <w:basedOn w:val="Normal"/>
    <w:pPr>
      <w:numPr>
        <w:ilvl w:val="2"/>
        <w:numId w:val="1"/>
      </w:numPr>
      <w:spacing w:before="0" w:after="240"/>
    </w:pPr>
    <w:rPr>
      <w:rFonts w:eastAsia="Times New Roman"/>
      <w:szCs w:val="20"/>
    </w:rPr>
  </w:style>
  <w:style w:type="paragraph" w:customStyle="1" w:styleId="ListNumberLevel4">
    <w:name w:val="List Number (Level 4)"/>
    <w:basedOn w:val="Normal"/>
    <w:pPr>
      <w:numPr>
        <w:ilvl w:val="3"/>
        <w:numId w:val="1"/>
      </w:numPr>
      <w:spacing w:before="0" w:after="240"/>
    </w:pPr>
    <w:rPr>
      <w:rFonts w:eastAsia="Times New Roman"/>
      <w:szCs w:val="20"/>
    </w:rPr>
  </w:style>
  <w:style w:type="paragraph" w:customStyle="1" w:styleId="ListNumber1">
    <w:name w:val="List Number 1"/>
    <w:basedOn w:val="Text1"/>
    <w:pPr>
      <w:numPr>
        <w:numId w:val="2"/>
      </w:numPr>
      <w:spacing w:before="0" w:after="240"/>
    </w:pPr>
    <w:rPr>
      <w:rFonts w:eastAsia="Times New Roman"/>
      <w:szCs w:val="20"/>
    </w:rPr>
  </w:style>
  <w:style w:type="paragraph" w:customStyle="1" w:styleId="ListNumber1Level2">
    <w:name w:val="List Number 1 (Level 2)"/>
    <w:basedOn w:val="Text1"/>
    <w:pPr>
      <w:numPr>
        <w:ilvl w:val="1"/>
        <w:numId w:val="2"/>
      </w:numPr>
      <w:spacing w:before="0" w:after="240"/>
    </w:pPr>
    <w:rPr>
      <w:rFonts w:eastAsia="Times New Roman"/>
      <w:szCs w:val="20"/>
    </w:rPr>
  </w:style>
  <w:style w:type="paragraph" w:customStyle="1" w:styleId="ListNumber1Level3">
    <w:name w:val="List Number 1 (Level 3)"/>
    <w:basedOn w:val="Text1"/>
    <w:pPr>
      <w:numPr>
        <w:ilvl w:val="2"/>
        <w:numId w:val="2"/>
      </w:numPr>
      <w:spacing w:before="0" w:after="240"/>
    </w:pPr>
    <w:rPr>
      <w:rFonts w:eastAsia="Times New Roman"/>
      <w:szCs w:val="20"/>
    </w:rPr>
  </w:style>
  <w:style w:type="paragraph" w:customStyle="1" w:styleId="ListNumber1Level4">
    <w:name w:val="List Number 1 (Level 4)"/>
    <w:basedOn w:val="Text1"/>
    <w:pPr>
      <w:numPr>
        <w:ilvl w:val="3"/>
        <w:numId w:val="2"/>
      </w:numPr>
      <w:spacing w:before="0" w:after="240"/>
    </w:pPr>
    <w:rPr>
      <w:rFonts w:eastAsia="Times New Roman"/>
      <w:szCs w:val="20"/>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DeltaViewInsertion">
    <w:name w:val="DeltaView Insertion"/>
    <w:uiPriority w:val="99"/>
    <w:rPr>
      <w:b/>
      <w:bCs w:val="0"/>
      <w:i/>
      <w:iCs w:val="0"/>
      <w:color w:val="000000"/>
    </w:rPr>
  </w:style>
  <w:style w:type="character" w:styleId="Hyperlink">
    <w:name w:val="Hyperlink"/>
    <w:basedOn w:val="DefaultParagraphFont"/>
    <w:uiPriority w:val="99"/>
    <w:unhideWhenUsed/>
    <w:rPr>
      <w:rFonts w:ascii="Times New Roman" w:hAnsi="Times New Roman" w:cs="Times New Roman" w:hint="default"/>
      <w:color w:val="0000FF"/>
      <w:u w:val="single"/>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21"/>
      <w:szCs w:val="21"/>
      <w:shd w:val="clear" w:color="auto" w:fill="FFFFFF"/>
    </w:rPr>
  </w:style>
  <w:style w:type="paragraph" w:customStyle="1" w:styleId="Bodytext20">
    <w:name w:val="Body text (2)"/>
    <w:basedOn w:val="Normal"/>
    <w:link w:val="Bodytext2"/>
    <w:pPr>
      <w:widowControl w:val="0"/>
      <w:shd w:val="clear" w:color="auto" w:fill="FFFFFF"/>
      <w:spacing w:before="0" w:after="0" w:line="232" w:lineRule="exact"/>
      <w:ind w:hanging="720"/>
      <w:jc w:val="left"/>
    </w:pPr>
    <w:rPr>
      <w:rFonts w:asciiTheme="minorHAnsi" w:hAnsiTheme="minorHAnsi" w:cstheme="minorBidi"/>
      <w:sz w:val="21"/>
      <w:szCs w:val="21"/>
    </w:rPr>
  </w:style>
  <w:style w:type="paragraph" w:customStyle="1" w:styleId="Pointabc">
    <w:name w:val="Point abc"/>
    <w:basedOn w:val="Normal"/>
    <w:pPr>
      <w:numPr>
        <w:ilvl w:val="1"/>
        <w:numId w:val="7"/>
      </w:numPr>
      <w:autoSpaceDE w:val="0"/>
      <w:autoSpaceDN w:val="0"/>
      <w:adjustRightInd w:val="0"/>
      <w:spacing w:line="360" w:lineRule="auto"/>
      <w:jc w:val="left"/>
    </w:pPr>
    <w:rPr>
      <w:rFonts w:eastAsia="Times New Roman"/>
      <w:lang w:eastAsia="fr-BE"/>
    </w:rPr>
  </w:style>
  <w:style w:type="paragraph" w:customStyle="1" w:styleId="Pointabc1">
    <w:name w:val="Point abc (1)"/>
    <w:basedOn w:val="Normal"/>
    <w:pPr>
      <w:numPr>
        <w:ilvl w:val="3"/>
        <w:numId w:val="7"/>
      </w:numPr>
      <w:autoSpaceDE w:val="0"/>
      <w:autoSpaceDN w:val="0"/>
      <w:adjustRightInd w:val="0"/>
      <w:spacing w:line="360" w:lineRule="auto"/>
      <w:jc w:val="left"/>
    </w:pPr>
    <w:rPr>
      <w:rFonts w:eastAsia="Times New Roman"/>
      <w:lang w:eastAsia="fr-BE"/>
    </w:rPr>
  </w:style>
  <w:style w:type="paragraph" w:customStyle="1" w:styleId="Pointabc2">
    <w:name w:val="Point abc (2)"/>
    <w:basedOn w:val="Normal"/>
    <w:pPr>
      <w:numPr>
        <w:ilvl w:val="5"/>
        <w:numId w:val="7"/>
      </w:numPr>
      <w:autoSpaceDE w:val="0"/>
      <w:autoSpaceDN w:val="0"/>
      <w:adjustRightInd w:val="0"/>
      <w:spacing w:line="360" w:lineRule="auto"/>
      <w:jc w:val="left"/>
    </w:pPr>
    <w:rPr>
      <w:rFonts w:eastAsia="Times New Roman"/>
      <w:lang w:eastAsia="fr-BE"/>
    </w:rPr>
  </w:style>
  <w:style w:type="paragraph" w:customStyle="1" w:styleId="Pointabc3">
    <w:name w:val="Point abc (3)"/>
    <w:basedOn w:val="Normal"/>
    <w:pPr>
      <w:numPr>
        <w:ilvl w:val="7"/>
        <w:numId w:val="7"/>
      </w:numPr>
      <w:autoSpaceDE w:val="0"/>
      <w:autoSpaceDN w:val="0"/>
      <w:adjustRightInd w:val="0"/>
      <w:spacing w:line="360" w:lineRule="auto"/>
      <w:jc w:val="left"/>
    </w:pPr>
    <w:rPr>
      <w:rFonts w:eastAsia="Times New Roman"/>
      <w:lang w:eastAsia="fr-BE"/>
    </w:rPr>
  </w:style>
  <w:style w:type="paragraph" w:customStyle="1" w:styleId="Pointabc4">
    <w:name w:val="Point abc (4)"/>
    <w:basedOn w:val="Normal"/>
    <w:pPr>
      <w:numPr>
        <w:ilvl w:val="8"/>
        <w:numId w:val="7"/>
      </w:numPr>
      <w:autoSpaceDE w:val="0"/>
      <w:autoSpaceDN w:val="0"/>
      <w:adjustRightInd w:val="0"/>
      <w:spacing w:line="360" w:lineRule="auto"/>
      <w:jc w:val="left"/>
    </w:pPr>
    <w:rPr>
      <w:rFonts w:eastAsia="Times New Roman"/>
      <w:lang w:eastAsia="fr-BE"/>
    </w:rPr>
  </w:style>
  <w:style w:type="paragraph" w:customStyle="1" w:styleId="Point123">
    <w:name w:val="Point 123"/>
    <w:basedOn w:val="Normal"/>
    <w:pPr>
      <w:numPr>
        <w:numId w:val="7"/>
      </w:numPr>
      <w:autoSpaceDE w:val="0"/>
      <w:autoSpaceDN w:val="0"/>
      <w:adjustRightInd w:val="0"/>
      <w:spacing w:line="360" w:lineRule="auto"/>
      <w:jc w:val="left"/>
    </w:pPr>
    <w:rPr>
      <w:rFonts w:eastAsia="Times New Roman"/>
      <w:lang w:eastAsia="fr-BE"/>
    </w:rPr>
  </w:style>
  <w:style w:type="paragraph" w:customStyle="1" w:styleId="Point1231">
    <w:name w:val="Point 123 (1)"/>
    <w:basedOn w:val="Normal"/>
    <w:pPr>
      <w:numPr>
        <w:ilvl w:val="2"/>
        <w:numId w:val="7"/>
      </w:numPr>
      <w:autoSpaceDE w:val="0"/>
      <w:autoSpaceDN w:val="0"/>
      <w:adjustRightInd w:val="0"/>
      <w:spacing w:line="360" w:lineRule="auto"/>
      <w:jc w:val="left"/>
    </w:pPr>
    <w:rPr>
      <w:rFonts w:eastAsia="Times New Roman"/>
      <w:lang w:eastAsia="fr-BE"/>
    </w:rPr>
  </w:style>
  <w:style w:type="paragraph" w:customStyle="1" w:styleId="Point1232">
    <w:name w:val="Point 123 (2)"/>
    <w:basedOn w:val="Normal"/>
    <w:pPr>
      <w:numPr>
        <w:ilvl w:val="4"/>
        <w:numId w:val="7"/>
      </w:numPr>
      <w:autoSpaceDE w:val="0"/>
      <w:autoSpaceDN w:val="0"/>
      <w:adjustRightInd w:val="0"/>
      <w:spacing w:line="360" w:lineRule="auto"/>
      <w:jc w:val="left"/>
    </w:pPr>
    <w:rPr>
      <w:rFonts w:eastAsia="Times New Roman"/>
      <w:lang w:eastAsia="fr-BE"/>
    </w:rPr>
  </w:style>
  <w:style w:type="paragraph" w:customStyle="1" w:styleId="Point1233">
    <w:name w:val="Point 123 (3)"/>
    <w:basedOn w:val="Normal"/>
    <w:pPr>
      <w:numPr>
        <w:ilvl w:val="6"/>
        <w:numId w:val="7"/>
      </w:numPr>
      <w:autoSpaceDE w:val="0"/>
      <w:autoSpaceDN w:val="0"/>
      <w:adjustRightInd w:val="0"/>
      <w:spacing w:line="360" w:lineRule="auto"/>
      <w:jc w:val="left"/>
    </w:pPr>
    <w:rPr>
      <w:rFonts w:eastAsia="Times New Roman"/>
      <w:lang w:eastAsia="fr-BE"/>
    </w:rPr>
  </w:style>
  <w:style w:type="character" w:customStyle="1" w:styleId="Headerorfooter">
    <w:name w:val="Header or footer_"/>
    <w:basedOn w:val="DefaultParagraphFont"/>
    <w:link w:val="Headerorfooter0"/>
    <w:rPr>
      <w:rFonts w:ascii="Arial" w:eastAsia="Arial" w:hAnsi="Arial" w:cs="Arial"/>
      <w:shd w:val="clear" w:color="auto" w:fill="FFFFFF"/>
    </w:rPr>
  </w:style>
  <w:style w:type="character" w:customStyle="1" w:styleId="HeaderorfooterTimesNewRoman">
    <w:name w:val="Header or footer + Times New Roman"/>
    <w:aliases w:val="10 pt,Bold,11 pt,16 pt,Body text (26) + Times New Roman,8.5 pt,Italic"/>
    <w:basedOn w:val="Headerorfooter"/>
    <w:rPr>
      <w:rFonts w:ascii="Times New Roman" w:eastAsia="Times New Roman" w:hAnsi="Times New Roman" w:cs="Times New Roman"/>
      <w:b/>
      <w:bCs/>
      <w:color w:val="000000"/>
      <w:spacing w:val="0"/>
      <w:w w:val="100"/>
      <w:position w:val="0"/>
      <w:sz w:val="20"/>
      <w:szCs w:val="20"/>
      <w:shd w:val="clear" w:color="auto" w:fill="FFFFFF"/>
      <w:lang w:val="bg-BG" w:eastAsia="en-US" w:bidi="en-US"/>
    </w:rPr>
  </w:style>
  <w:style w:type="character" w:customStyle="1" w:styleId="Heading5">
    <w:name w:val="Heading #5_"/>
    <w:basedOn w:val="DefaultParagraphFont"/>
    <w:link w:val="Heading50"/>
    <w:rPr>
      <w:b/>
      <w:bCs/>
      <w:sz w:val="21"/>
      <w:szCs w:val="21"/>
      <w:shd w:val="clear" w:color="auto" w:fill="FFFFFF"/>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en-US" w:bidi="en-US"/>
    </w:rPr>
  </w:style>
  <w:style w:type="paragraph" w:customStyle="1" w:styleId="Headerorfooter0">
    <w:name w:val="Header or footer"/>
    <w:basedOn w:val="Normal"/>
    <w:link w:val="Headerorfooter"/>
    <w:pPr>
      <w:widowControl w:val="0"/>
      <w:shd w:val="clear" w:color="auto" w:fill="FFFFFF"/>
      <w:spacing w:before="0" w:after="0" w:line="268" w:lineRule="exact"/>
      <w:jc w:val="left"/>
    </w:pPr>
    <w:rPr>
      <w:rFonts w:ascii="Arial" w:eastAsia="Arial" w:hAnsi="Arial" w:cs="Arial"/>
      <w:sz w:val="22"/>
    </w:rPr>
  </w:style>
  <w:style w:type="paragraph" w:customStyle="1" w:styleId="Heading50">
    <w:name w:val="Heading #5"/>
    <w:basedOn w:val="Normal"/>
    <w:link w:val="Heading5"/>
    <w:pPr>
      <w:widowControl w:val="0"/>
      <w:shd w:val="clear" w:color="auto" w:fill="FFFFFF"/>
      <w:spacing w:before="0" w:after="100" w:line="232" w:lineRule="exact"/>
      <w:ind w:hanging="400"/>
      <w:jc w:val="center"/>
      <w:outlineLvl w:val="4"/>
    </w:pPr>
    <w:rPr>
      <w:rFonts w:asciiTheme="minorHAnsi" w:hAnsiTheme="minorHAnsi" w:cstheme="minorBidi"/>
      <w:b/>
      <w:bCs/>
      <w:sz w:val="21"/>
      <w:szCs w:val="21"/>
    </w:rPr>
  </w:style>
  <w:style w:type="character" w:customStyle="1" w:styleId="Footnote">
    <w:name w:val="Footnote_"/>
    <w:basedOn w:val="DefaultParagraphFont"/>
    <w:link w:val="Footnote0"/>
    <w:rPr>
      <w:sz w:val="19"/>
      <w:szCs w:val="19"/>
      <w:shd w:val="clear" w:color="auto" w:fill="FFFFFF"/>
    </w:rPr>
  </w:style>
  <w:style w:type="character" w:customStyle="1" w:styleId="FootnoteItalic">
    <w:name w:val="Footnote + Italic"/>
    <w:basedOn w:val="Footnote"/>
    <w:rPr>
      <w:rFonts w:ascii="Times New Roman" w:eastAsia="Times New Roman" w:hAnsi="Times New Roman" w:cs="Times New Roman"/>
      <w:i/>
      <w:iCs/>
      <w:color w:val="000000"/>
      <w:spacing w:val="0"/>
      <w:w w:val="100"/>
      <w:position w:val="0"/>
      <w:sz w:val="19"/>
      <w:szCs w:val="19"/>
      <w:shd w:val="clear" w:color="auto" w:fill="FFFFFF"/>
      <w:lang w:val="bg-BG"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bg-BG" w:eastAsia="en-US" w:bidi="en-US"/>
    </w:rPr>
  </w:style>
  <w:style w:type="paragraph" w:customStyle="1" w:styleId="Footnote0">
    <w:name w:val="Footnote"/>
    <w:basedOn w:val="Normal"/>
    <w:link w:val="Footnote"/>
    <w:pPr>
      <w:widowControl w:val="0"/>
      <w:shd w:val="clear" w:color="auto" w:fill="FFFFFF"/>
      <w:spacing w:before="0" w:after="0" w:line="226" w:lineRule="exact"/>
    </w:pPr>
    <w:rPr>
      <w:rFonts w:asciiTheme="minorHAnsi" w:hAnsiTheme="minorHAnsi" w:cstheme="minorBidi"/>
      <w:sz w:val="19"/>
      <w:szCs w:val="19"/>
    </w:rPr>
  </w:style>
  <w:style w:type="character" w:customStyle="1" w:styleId="Picturecaption">
    <w:name w:val="Picture caption_"/>
    <w:basedOn w:val="DefaultParagraphFont"/>
    <w:link w:val="Picturecaption0"/>
    <w:rPr>
      <w:sz w:val="21"/>
      <w:szCs w:val="21"/>
      <w:shd w:val="clear" w:color="auto" w:fill="FFFFFF"/>
    </w:rPr>
  </w:style>
  <w:style w:type="paragraph" w:customStyle="1" w:styleId="Picturecaption0">
    <w:name w:val="Picture caption"/>
    <w:basedOn w:val="Normal"/>
    <w:link w:val="Picturecaption"/>
    <w:pPr>
      <w:widowControl w:val="0"/>
      <w:shd w:val="clear" w:color="auto" w:fill="FFFFFF"/>
      <w:spacing w:before="0" w:after="100" w:line="232" w:lineRule="exact"/>
      <w:ind w:hanging="740"/>
      <w:jc w:val="left"/>
    </w:pPr>
    <w:rPr>
      <w:rFonts w:asciiTheme="minorHAnsi" w:hAnsiTheme="minorHAnsi" w:cstheme="minorBidi"/>
      <w:sz w:val="21"/>
      <w:szCs w:val="21"/>
    </w:rPr>
  </w:style>
  <w:style w:type="character" w:customStyle="1" w:styleId="Bodytext6">
    <w:name w:val="Body text (6)_"/>
    <w:basedOn w:val="DefaultParagraphFont"/>
    <w:link w:val="Bodytext60"/>
    <w:rPr>
      <w:b/>
      <w:bCs/>
      <w:i/>
      <w:iCs/>
      <w:sz w:val="28"/>
      <w:szCs w:val="28"/>
      <w:shd w:val="clear" w:color="auto" w:fill="FFFFFF"/>
    </w:rPr>
  </w:style>
  <w:style w:type="paragraph" w:customStyle="1" w:styleId="Bodytext60">
    <w:name w:val="Body text (6)"/>
    <w:basedOn w:val="Normal"/>
    <w:link w:val="Bodytext6"/>
    <w:pPr>
      <w:widowControl w:val="0"/>
      <w:shd w:val="clear" w:color="auto" w:fill="FFFFFF"/>
      <w:spacing w:before="0" w:after="340" w:line="310" w:lineRule="exact"/>
    </w:pPr>
    <w:rPr>
      <w:rFonts w:asciiTheme="minorHAnsi" w:hAnsiTheme="minorHAnsi" w:cstheme="minorBidi"/>
      <w:b/>
      <w:bCs/>
      <w:i/>
      <w:iCs/>
      <w:sz w:val="28"/>
      <w:szCs w:val="28"/>
    </w:rPr>
  </w:style>
  <w:style w:type="character" w:customStyle="1" w:styleId="Tablecaption6">
    <w:name w:val="Table caption (6)_"/>
    <w:basedOn w:val="DefaultParagraphFont"/>
    <w:link w:val="Tablecaption60"/>
    <w:rPr>
      <w:rFonts w:ascii="Arial" w:eastAsia="Arial" w:hAnsi="Arial" w:cs="Arial"/>
      <w:sz w:val="19"/>
      <w:szCs w:val="19"/>
      <w:shd w:val="clear" w:color="auto" w:fill="FFFFFF"/>
    </w:rPr>
  </w:style>
  <w:style w:type="paragraph" w:customStyle="1" w:styleId="Tablecaption60">
    <w:name w:val="Table caption (6)"/>
    <w:basedOn w:val="Normal"/>
    <w:link w:val="Tablecaption6"/>
    <w:pPr>
      <w:widowControl w:val="0"/>
      <w:shd w:val="clear" w:color="auto" w:fill="FFFFFF"/>
      <w:spacing w:before="0" w:after="0" w:line="212" w:lineRule="exact"/>
      <w:jc w:val="left"/>
    </w:pPr>
    <w:rPr>
      <w:rFonts w:ascii="Arial" w:eastAsia="Arial" w:hAnsi="Arial" w:cs="Arial"/>
      <w:sz w:val="19"/>
      <w:szCs w:val="19"/>
    </w:rPr>
  </w:style>
  <w:style w:type="character" w:customStyle="1" w:styleId="Heading54">
    <w:name w:val="Heading #5 (4)_"/>
    <w:basedOn w:val="DefaultParagraphFont"/>
    <w:link w:val="Heading540"/>
    <w:rPr>
      <w:rFonts w:ascii="Arial" w:eastAsia="Arial" w:hAnsi="Arial" w:cs="Arial"/>
      <w:sz w:val="19"/>
      <w:szCs w:val="19"/>
      <w:shd w:val="clear" w:color="auto" w:fill="FFFFFF"/>
    </w:rPr>
  </w:style>
  <w:style w:type="paragraph" w:customStyle="1" w:styleId="Heading540">
    <w:name w:val="Heading #5 (4)"/>
    <w:basedOn w:val="Normal"/>
    <w:link w:val="Heading54"/>
    <w:pPr>
      <w:widowControl w:val="0"/>
      <w:shd w:val="clear" w:color="auto" w:fill="FFFFFF"/>
      <w:spacing w:line="212" w:lineRule="exact"/>
      <w:ind w:hanging="380"/>
      <w:jc w:val="center"/>
      <w:outlineLvl w:val="4"/>
    </w:pPr>
    <w:rPr>
      <w:rFonts w:ascii="Arial" w:eastAsia="Arial" w:hAnsi="Arial" w:cs="Arial"/>
      <w:sz w:val="19"/>
      <w:szCs w:val="19"/>
    </w:rPr>
  </w:style>
  <w:style w:type="character" w:customStyle="1" w:styleId="Bodytext17">
    <w:name w:val="Body text (17)_"/>
    <w:basedOn w:val="DefaultParagraphFont"/>
    <w:link w:val="Bodytext170"/>
    <w:rPr>
      <w:rFonts w:ascii="Arial" w:eastAsia="Arial" w:hAnsi="Arial" w:cs="Arial"/>
      <w:sz w:val="19"/>
      <w:szCs w:val="19"/>
      <w:shd w:val="clear" w:color="auto" w:fill="FFFFFF"/>
    </w:rPr>
  </w:style>
  <w:style w:type="character" w:customStyle="1" w:styleId="Bodytext26">
    <w:name w:val="Body text (26)_"/>
    <w:basedOn w:val="DefaultParagraphFont"/>
    <w:link w:val="Bodytext260"/>
    <w:rPr>
      <w:rFonts w:ascii="Arial" w:eastAsia="Arial" w:hAnsi="Arial" w:cs="Arial"/>
      <w:sz w:val="15"/>
      <w:szCs w:val="15"/>
      <w:shd w:val="clear" w:color="auto" w:fill="FFFFFF"/>
    </w:rPr>
  </w:style>
  <w:style w:type="paragraph" w:customStyle="1" w:styleId="Bodytext170">
    <w:name w:val="Body text (17)"/>
    <w:basedOn w:val="Normal"/>
    <w:link w:val="Bodytext17"/>
    <w:pPr>
      <w:widowControl w:val="0"/>
      <w:shd w:val="clear" w:color="auto" w:fill="FFFFFF"/>
      <w:spacing w:before="0" w:after="0" w:line="212" w:lineRule="exact"/>
      <w:jc w:val="left"/>
    </w:pPr>
    <w:rPr>
      <w:rFonts w:ascii="Arial" w:eastAsia="Arial" w:hAnsi="Arial" w:cs="Arial"/>
      <w:sz w:val="19"/>
      <w:szCs w:val="19"/>
    </w:rPr>
  </w:style>
  <w:style w:type="paragraph" w:customStyle="1" w:styleId="Bodytext260">
    <w:name w:val="Body text (26)"/>
    <w:basedOn w:val="Normal"/>
    <w:link w:val="Bodytext26"/>
    <w:pPr>
      <w:widowControl w:val="0"/>
      <w:shd w:val="clear" w:color="auto" w:fill="FFFFFF"/>
      <w:spacing w:before="880" w:after="0" w:line="259" w:lineRule="exact"/>
    </w:pPr>
    <w:rPr>
      <w:rFonts w:ascii="Arial" w:eastAsia="Arial" w:hAnsi="Arial" w:cs="Arial"/>
      <w:sz w:val="15"/>
      <w:szCs w:val="15"/>
    </w:rPr>
  </w:style>
  <w:style w:type="character" w:customStyle="1" w:styleId="Bodytext9">
    <w:name w:val="Body text (9)_"/>
    <w:basedOn w:val="DefaultParagraphFont"/>
    <w:link w:val="Bodytext90"/>
    <w:rPr>
      <w:b/>
      <w:bCs/>
      <w:sz w:val="21"/>
      <w:szCs w:val="21"/>
      <w:shd w:val="clear" w:color="auto" w:fill="FFFFFF"/>
    </w:rPr>
  </w:style>
  <w:style w:type="character" w:customStyle="1" w:styleId="Bodytext9NotBold">
    <w:name w:val="Body text (9) + Not Bold"/>
    <w:basedOn w:val="Bodytext9"/>
    <w:rPr>
      <w:rFonts w:ascii="Times New Roman" w:eastAsia="Times New Roman" w:hAnsi="Times New Roman" w:cs="Times New Roman"/>
      <w:b/>
      <w:bCs/>
      <w:color w:val="000000"/>
      <w:spacing w:val="0"/>
      <w:w w:val="100"/>
      <w:position w:val="0"/>
      <w:sz w:val="21"/>
      <w:szCs w:val="21"/>
      <w:shd w:val="clear" w:color="auto" w:fill="FFFFFF"/>
      <w:lang w:val="bg-BG" w:eastAsia="en-US" w:bidi="en-US"/>
    </w:rPr>
  </w:style>
  <w:style w:type="paragraph" w:customStyle="1" w:styleId="Bodytext90">
    <w:name w:val="Body text (9)"/>
    <w:basedOn w:val="Normal"/>
    <w:link w:val="Bodytext9"/>
    <w:pPr>
      <w:widowControl w:val="0"/>
      <w:shd w:val="clear" w:color="auto" w:fill="FFFFFF"/>
      <w:spacing w:before="100" w:after="100" w:line="269" w:lineRule="exact"/>
      <w:ind w:hanging="400"/>
      <w:jc w:val="center"/>
    </w:pPr>
    <w:rPr>
      <w:rFonts w:asciiTheme="minorHAnsi" w:hAnsiTheme="minorHAnsi" w:cstheme="minorBidi"/>
      <w:b/>
      <w:bCs/>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doc-ti">
    <w:name w:val="doc-ti"/>
    <w:basedOn w:val="Normal"/>
    <w:pPr>
      <w:spacing w:before="100" w:beforeAutospacing="1" w:after="100" w:afterAutospacing="1"/>
      <w:jc w:val="left"/>
    </w:pPr>
    <w:rPr>
      <w:rFonts w:eastAsia="Times New Roman"/>
      <w:szCs w:val="24"/>
      <w:lang w:eastAsia="en-IE"/>
    </w:rPr>
  </w:style>
  <w:style w:type="paragraph" w:customStyle="1" w:styleId="footnotedescription">
    <w:name w:val="footnote description"/>
    <w:next w:val="Normal"/>
    <w:link w:val="footnotedescriptionChar"/>
    <w:hidden/>
    <w:pPr>
      <w:spacing w:after="0" w:line="285" w:lineRule="auto"/>
      <w:ind w:left="1"/>
      <w:jc w:val="both"/>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bg-BG" w:eastAsia="en-GB"/>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spacing w:before="0" w:after="240"/>
    </w:pPr>
    <w:rPr>
      <w:rFonts w:eastAsia="Times New Roman"/>
      <w:szCs w:val="20"/>
    </w:rPr>
  </w:style>
  <w:style w:type="paragraph" w:customStyle="1" w:styleId="ListNumberLevel2">
    <w:name w:val="List Number (Level 2)"/>
    <w:basedOn w:val="Normal"/>
    <w:pPr>
      <w:numPr>
        <w:ilvl w:val="1"/>
        <w:numId w:val="1"/>
      </w:numPr>
      <w:spacing w:before="0" w:after="240"/>
    </w:pPr>
    <w:rPr>
      <w:rFonts w:eastAsia="Times New Roman"/>
      <w:szCs w:val="20"/>
    </w:rPr>
  </w:style>
  <w:style w:type="paragraph" w:customStyle="1" w:styleId="ListNumberLevel3">
    <w:name w:val="List Number (Level 3)"/>
    <w:basedOn w:val="Normal"/>
    <w:pPr>
      <w:numPr>
        <w:ilvl w:val="2"/>
        <w:numId w:val="1"/>
      </w:numPr>
      <w:spacing w:before="0" w:after="240"/>
    </w:pPr>
    <w:rPr>
      <w:rFonts w:eastAsia="Times New Roman"/>
      <w:szCs w:val="20"/>
    </w:rPr>
  </w:style>
  <w:style w:type="paragraph" w:customStyle="1" w:styleId="ListNumberLevel4">
    <w:name w:val="List Number (Level 4)"/>
    <w:basedOn w:val="Normal"/>
    <w:pPr>
      <w:numPr>
        <w:ilvl w:val="3"/>
        <w:numId w:val="1"/>
      </w:numPr>
      <w:spacing w:before="0" w:after="240"/>
    </w:pPr>
    <w:rPr>
      <w:rFonts w:eastAsia="Times New Roman"/>
      <w:szCs w:val="20"/>
    </w:rPr>
  </w:style>
  <w:style w:type="paragraph" w:customStyle="1" w:styleId="ListNumber1">
    <w:name w:val="List Number 1"/>
    <w:basedOn w:val="Text1"/>
    <w:pPr>
      <w:numPr>
        <w:numId w:val="2"/>
      </w:numPr>
      <w:spacing w:before="0" w:after="240"/>
    </w:pPr>
    <w:rPr>
      <w:rFonts w:eastAsia="Times New Roman"/>
      <w:szCs w:val="20"/>
    </w:rPr>
  </w:style>
  <w:style w:type="paragraph" w:customStyle="1" w:styleId="ListNumber1Level2">
    <w:name w:val="List Number 1 (Level 2)"/>
    <w:basedOn w:val="Text1"/>
    <w:pPr>
      <w:numPr>
        <w:ilvl w:val="1"/>
        <w:numId w:val="2"/>
      </w:numPr>
      <w:spacing w:before="0" w:after="240"/>
    </w:pPr>
    <w:rPr>
      <w:rFonts w:eastAsia="Times New Roman"/>
      <w:szCs w:val="20"/>
    </w:rPr>
  </w:style>
  <w:style w:type="paragraph" w:customStyle="1" w:styleId="ListNumber1Level3">
    <w:name w:val="List Number 1 (Level 3)"/>
    <w:basedOn w:val="Text1"/>
    <w:pPr>
      <w:numPr>
        <w:ilvl w:val="2"/>
        <w:numId w:val="2"/>
      </w:numPr>
      <w:spacing w:before="0" w:after="240"/>
    </w:pPr>
    <w:rPr>
      <w:rFonts w:eastAsia="Times New Roman"/>
      <w:szCs w:val="20"/>
    </w:rPr>
  </w:style>
  <w:style w:type="paragraph" w:customStyle="1" w:styleId="ListNumber1Level4">
    <w:name w:val="List Number 1 (Level 4)"/>
    <w:basedOn w:val="Text1"/>
    <w:pPr>
      <w:numPr>
        <w:ilvl w:val="3"/>
        <w:numId w:val="2"/>
      </w:numPr>
      <w:spacing w:before="0" w:after="240"/>
    </w:pPr>
    <w:rPr>
      <w:rFonts w:eastAsia="Times New Roman"/>
      <w:szCs w:val="20"/>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DeltaViewInsertion">
    <w:name w:val="DeltaView Insertion"/>
    <w:uiPriority w:val="99"/>
    <w:rPr>
      <w:b/>
      <w:bCs w:val="0"/>
      <w:i/>
      <w:iCs w:val="0"/>
      <w:color w:val="000000"/>
    </w:rPr>
  </w:style>
  <w:style w:type="character" w:styleId="Hyperlink">
    <w:name w:val="Hyperlink"/>
    <w:basedOn w:val="DefaultParagraphFont"/>
    <w:uiPriority w:val="99"/>
    <w:unhideWhenUsed/>
    <w:rPr>
      <w:rFonts w:ascii="Times New Roman" w:hAnsi="Times New Roman" w:cs="Times New Roman" w:hint="default"/>
      <w:color w:val="0000FF"/>
      <w:u w:val="single"/>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21"/>
      <w:szCs w:val="21"/>
      <w:shd w:val="clear" w:color="auto" w:fill="FFFFFF"/>
    </w:rPr>
  </w:style>
  <w:style w:type="paragraph" w:customStyle="1" w:styleId="Bodytext20">
    <w:name w:val="Body text (2)"/>
    <w:basedOn w:val="Normal"/>
    <w:link w:val="Bodytext2"/>
    <w:pPr>
      <w:widowControl w:val="0"/>
      <w:shd w:val="clear" w:color="auto" w:fill="FFFFFF"/>
      <w:spacing w:before="0" w:after="0" w:line="232" w:lineRule="exact"/>
      <w:ind w:hanging="720"/>
      <w:jc w:val="left"/>
    </w:pPr>
    <w:rPr>
      <w:rFonts w:asciiTheme="minorHAnsi" w:hAnsiTheme="minorHAnsi" w:cstheme="minorBidi"/>
      <w:sz w:val="21"/>
      <w:szCs w:val="21"/>
    </w:rPr>
  </w:style>
  <w:style w:type="paragraph" w:customStyle="1" w:styleId="Pointabc">
    <w:name w:val="Point abc"/>
    <w:basedOn w:val="Normal"/>
    <w:pPr>
      <w:numPr>
        <w:ilvl w:val="1"/>
        <w:numId w:val="7"/>
      </w:numPr>
      <w:autoSpaceDE w:val="0"/>
      <w:autoSpaceDN w:val="0"/>
      <w:adjustRightInd w:val="0"/>
      <w:spacing w:line="360" w:lineRule="auto"/>
      <w:jc w:val="left"/>
    </w:pPr>
    <w:rPr>
      <w:rFonts w:eastAsia="Times New Roman"/>
      <w:lang w:eastAsia="fr-BE"/>
    </w:rPr>
  </w:style>
  <w:style w:type="paragraph" w:customStyle="1" w:styleId="Pointabc1">
    <w:name w:val="Point abc (1)"/>
    <w:basedOn w:val="Normal"/>
    <w:pPr>
      <w:numPr>
        <w:ilvl w:val="3"/>
        <w:numId w:val="7"/>
      </w:numPr>
      <w:autoSpaceDE w:val="0"/>
      <w:autoSpaceDN w:val="0"/>
      <w:adjustRightInd w:val="0"/>
      <w:spacing w:line="360" w:lineRule="auto"/>
      <w:jc w:val="left"/>
    </w:pPr>
    <w:rPr>
      <w:rFonts w:eastAsia="Times New Roman"/>
      <w:lang w:eastAsia="fr-BE"/>
    </w:rPr>
  </w:style>
  <w:style w:type="paragraph" w:customStyle="1" w:styleId="Pointabc2">
    <w:name w:val="Point abc (2)"/>
    <w:basedOn w:val="Normal"/>
    <w:pPr>
      <w:numPr>
        <w:ilvl w:val="5"/>
        <w:numId w:val="7"/>
      </w:numPr>
      <w:autoSpaceDE w:val="0"/>
      <w:autoSpaceDN w:val="0"/>
      <w:adjustRightInd w:val="0"/>
      <w:spacing w:line="360" w:lineRule="auto"/>
      <w:jc w:val="left"/>
    </w:pPr>
    <w:rPr>
      <w:rFonts w:eastAsia="Times New Roman"/>
      <w:lang w:eastAsia="fr-BE"/>
    </w:rPr>
  </w:style>
  <w:style w:type="paragraph" w:customStyle="1" w:styleId="Pointabc3">
    <w:name w:val="Point abc (3)"/>
    <w:basedOn w:val="Normal"/>
    <w:pPr>
      <w:numPr>
        <w:ilvl w:val="7"/>
        <w:numId w:val="7"/>
      </w:numPr>
      <w:autoSpaceDE w:val="0"/>
      <w:autoSpaceDN w:val="0"/>
      <w:adjustRightInd w:val="0"/>
      <w:spacing w:line="360" w:lineRule="auto"/>
      <w:jc w:val="left"/>
    </w:pPr>
    <w:rPr>
      <w:rFonts w:eastAsia="Times New Roman"/>
      <w:lang w:eastAsia="fr-BE"/>
    </w:rPr>
  </w:style>
  <w:style w:type="paragraph" w:customStyle="1" w:styleId="Pointabc4">
    <w:name w:val="Point abc (4)"/>
    <w:basedOn w:val="Normal"/>
    <w:pPr>
      <w:numPr>
        <w:ilvl w:val="8"/>
        <w:numId w:val="7"/>
      </w:numPr>
      <w:autoSpaceDE w:val="0"/>
      <w:autoSpaceDN w:val="0"/>
      <w:adjustRightInd w:val="0"/>
      <w:spacing w:line="360" w:lineRule="auto"/>
      <w:jc w:val="left"/>
    </w:pPr>
    <w:rPr>
      <w:rFonts w:eastAsia="Times New Roman"/>
      <w:lang w:eastAsia="fr-BE"/>
    </w:rPr>
  </w:style>
  <w:style w:type="paragraph" w:customStyle="1" w:styleId="Point123">
    <w:name w:val="Point 123"/>
    <w:basedOn w:val="Normal"/>
    <w:pPr>
      <w:numPr>
        <w:numId w:val="7"/>
      </w:numPr>
      <w:autoSpaceDE w:val="0"/>
      <w:autoSpaceDN w:val="0"/>
      <w:adjustRightInd w:val="0"/>
      <w:spacing w:line="360" w:lineRule="auto"/>
      <w:jc w:val="left"/>
    </w:pPr>
    <w:rPr>
      <w:rFonts w:eastAsia="Times New Roman"/>
      <w:lang w:eastAsia="fr-BE"/>
    </w:rPr>
  </w:style>
  <w:style w:type="paragraph" w:customStyle="1" w:styleId="Point1231">
    <w:name w:val="Point 123 (1)"/>
    <w:basedOn w:val="Normal"/>
    <w:pPr>
      <w:numPr>
        <w:ilvl w:val="2"/>
        <w:numId w:val="7"/>
      </w:numPr>
      <w:autoSpaceDE w:val="0"/>
      <w:autoSpaceDN w:val="0"/>
      <w:adjustRightInd w:val="0"/>
      <w:spacing w:line="360" w:lineRule="auto"/>
      <w:jc w:val="left"/>
    </w:pPr>
    <w:rPr>
      <w:rFonts w:eastAsia="Times New Roman"/>
      <w:lang w:eastAsia="fr-BE"/>
    </w:rPr>
  </w:style>
  <w:style w:type="paragraph" w:customStyle="1" w:styleId="Point1232">
    <w:name w:val="Point 123 (2)"/>
    <w:basedOn w:val="Normal"/>
    <w:pPr>
      <w:numPr>
        <w:ilvl w:val="4"/>
        <w:numId w:val="7"/>
      </w:numPr>
      <w:autoSpaceDE w:val="0"/>
      <w:autoSpaceDN w:val="0"/>
      <w:adjustRightInd w:val="0"/>
      <w:spacing w:line="360" w:lineRule="auto"/>
      <w:jc w:val="left"/>
    </w:pPr>
    <w:rPr>
      <w:rFonts w:eastAsia="Times New Roman"/>
      <w:lang w:eastAsia="fr-BE"/>
    </w:rPr>
  </w:style>
  <w:style w:type="paragraph" w:customStyle="1" w:styleId="Point1233">
    <w:name w:val="Point 123 (3)"/>
    <w:basedOn w:val="Normal"/>
    <w:pPr>
      <w:numPr>
        <w:ilvl w:val="6"/>
        <w:numId w:val="7"/>
      </w:numPr>
      <w:autoSpaceDE w:val="0"/>
      <w:autoSpaceDN w:val="0"/>
      <w:adjustRightInd w:val="0"/>
      <w:spacing w:line="360" w:lineRule="auto"/>
      <w:jc w:val="left"/>
    </w:pPr>
    <w:rPr>
      <w:rFonts w:eastAsia="Times New Roman"/>
      <w:lang w:eastAsia="fr-BE"/>
    </w:rPr>
  </w:style>
  <w:style w:type="character" w:customStyle="1" w:styleId="Headerorfooter">
    <w:name w:val="Header or footer_"/>
    <w:basedOn w:val="DefaultParagraphFont"/>
    <w:link w:val="Headerorfooter0"/>
    <w:rPr>
      <w:rFonts w:ascii="Arial" w:eastAsia="Arial" w:hAnsi="Arial" w:cs="Arial"/>
      <w:shd w:val="clear" w:color="auto" w:fill="FFFFFF"/>
    </w:rPr>
  </w:style>
  <w:style w:type="character" w:customStyle="1" w:styleId="HeaderorfooterTimesNewRoman">
    <w:name w:val="Header or footer + Times New Roman"/>
    <w:aliases w:val="10 pt,Bold,11 pt,16 pt,Body text (26) + Times New Roman,8.5 pt,Italic"/>
    <w:basedOn w:val="Headerorfooter"/>
    <w:rPr>
      <w:rFonts w:ascii="Times New Roman" w:eastAsia="Times New Roman" w:hAnsi="Times New Roman" w:cs="Times New Roman"/>
      <w:b/>
      <w:bCs/>
      <w:color w:val="000000"/>
      <w:spacing w:val="0"/>
      <w:w w:val="100"/>
      <w:position w:val="0"/>
      <w:sz w:val="20"/>
      <w:szCs w:val="20"/>
      <w:shd w:val="clear" w:color="auto" w:fill="FFFFFF"/>
      <w:lang w:val="bg-BG" w:eastAsia="en-US" w:bidi="en-US"/>
    </w:rPr>
  </w:style>
  <w:style w:type="character" w:customStyle="1" w:styleId="Heading5">
    <w:name w:val="Heading #5_"/>
    <w:basedOn w:val="DefaultParagraphFont"/>
    <w:link w:val="Heading50"/>
    <w:rPr>
      <w:b/>
      <w:bCs/>
      <w:sz w:val="21"/>
      <w:szCs w:val="21"/>
      <w:shd w:val="clear" w:color="auto" w:fill="FFFFFF"/>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en-US" w:bidi="en-US"/>
    </w:rPr>
  </w:style>
  <w:style w:type="paragraph" w:customStyle="1" w:styleId="Headerorfooter0">
    <w:name w:val="Header or footer"/>
    <w:basedOn w:val="Normal"/>
    <w:link w:val="Headerorfooter"/>
    <w:pPr>
      <w:widowControl w:val="0"/>
      <w:shd w:val="clear" w:color="auto" w:fill="FFFFFF"/>
      <w:spacing w:before="0" w:after="0" w:line="268" w:lineRule="exact"/>
      <w:jc w:val="left"/>
    </w:pPr>
    <w:rPr>
      <w:rFonts w:ascii="Arial" w:eastAsia="Arial" w:hAnsi="Arial" w:cs="Arial"/>
      <w:sz w:val="22"/>
    </w:rPr>
  </w:style>
  <w:style w:type="paragraph" w:customStyle="1" w:styleId="Heading50">
    <w:name w:val="Heading #5"/>
    <w:basedOn w:val="Normal"/>
    <w:link w:val="Heading5"/>
    <w:pPr>
      <w:widowControl w:val="0"/>
      <w:shd w:val="clear" w:color="auto" w:fill="FFFFFF"/>
      <w:spacing w:before="0" w:after="100" w:line="232" w:lineRule="exact"/>
      <w:ind w:hanging="400"/>
      <w:jc w:val="center"/>
      <w:outlineLvl w:val="4"/>
    </w:pPr>
    <w:rPr>
      <w:rFonts w:asciiTheme="minorHAnsi" w:hAnsiTheme="minorHAnsi" w:cstheme="minorBidi"/>
      <w:b/>
      <w:bCs/>
      <w:sz w:val="21"/>
      <w:szCs w:val="21"/>
    </w:rPr>
  </w:style>
  <w:style w:type="character" w:customStyle="1" w:styleId="Footnote">
    <w:name w:val="Footnote_"/>
    <w:basedOn w:val="DefaultParagraphFont"/>
    <w:link w:val="Footnote0"/>
    <w:rPr>
      <w:sz w:val="19"/>
      <w:szCs w:val="19"/>
      <w:shd w:val="clear" w:color="auto" w:fill="FFFFFF"/>
    </w:rPr>
  </w:style>
  <w:style w:type="character" w:customStyle="1" w:styleId="FootnoteItalic">
    <w:name w:val="Footnote + Italic"/>
    <w:basedOn w:val="Footnote"/>
    <w:rPr>
      <w:rFonts w:ascii="Times New Roman" w:eastAsia="Times New Roman" w:hAnsi="Times New Roman" w:cs="Times New Roman"/>
      <w:i/>
      <w:iCs/>
      <w:color w:val="000000"/>
      <w:spacing w:val="0"/>
      <w:w w:val="100"/>
      <w:position w:val="0"/>
      <w:sz w:val="19"/>
      <w:szCs w:val="19"/>
      <w:shd w:val="clear" w:color="auto" w:fill="FFFFFF"/>
      <w:lang w:val="bg-BG"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bg-BG" w:eastAsia="en-US" w:bidi="en-US"/>
    </w:rPr>
  </w:style>
  <w:style w:type="paragraph" w:customStyle="1" w:styleId="Footnote0">
    <w:name w:val="Footnote"/>
    <w:basedOn w:val="Normal"/>
    <w:link w:val="Footnote"/>
    <w:pPr>
      <w:widowControl w:val="0"/>
      <w:shd w:val="clear" w:color="auto" w:fill="FFFFFF"/>
      <w:spacing w:before="0" w:after="0" w:line="226" w:lineRule="exact"/>
    </w:pPr>
    <w:rPr>
      <w:rFonts w:asciiTheme="minorHAnsi" w:hAnsiTheme="minorHAnsi" w:cstheme="minorBidi"/>
      <w:sz w:val="19"/>
      <w:szCs w:val="19"/>
    </w:rPr>
  </w:style>
  <w:style w:type="character" w:customStyle="1" w:styleId="Picturecaption">
    <w:name w:val="Picture caption_"/>
    <w:basedOn w:val="DefaultParagraphFont"/>
    <w:link w:val="Picturecaption0"/>
    <w:rPr>
      <w:sz w:val="21"/>
      <w:szCs w:val="21"/>
      <w:shd w:val="clear" w:color="auto" w:fill="FFFFFF"/>
    </w:rPr>
  </w:style>
  <w:style w:type="paragraph" w:customStyle="1" w:styleId="Picturecaption0">
    <w:name w:val="Picture caption"/>
    <w:basedOn w:val="Normal"/>
    <w:link w:val="Picturecaption"/>
    <w:pPr>
      <w:widowControl w:val="0"/>
      <w:shd w:val="clear" w:color="auto" w:fill="FFFFFF"/>
      <w:spacing w:before="0" w:after="100" w:line="232" w:lineRule="exact"/>
      <w:ind w:hanging="740"/>
      <w:jc w:val="left"/>
    </w:pPr>
    <w:rPr>
      <w:rFonts w:asciiTheme="minorHAnsi" w:hAnsiTheme="minorHAnsi" w:cstheme="minorBidi"/>
      <w:sz w:val="21"/>
      <w:szCs w:val="21"/>
    </w:rPr>
  </w:style>
  <w:style w:type="character" w:customStyle="1" w:styleId="Bodytext6">
    <w:name w:val="Body text (6)_"/>
    <w:basedOn w:val="DefaultParagraphFont"/>
    <w:link w:val="Bodytext60"/>
    <w:rPr>
      <w:b/>
      <w:bCs/>
      <w:i/>
      <w:iCs/>
      <w:sz w:val="28"/>
      <w:szCs w:val="28"/>
      <w:shd w:val="clear" w:color="auto" w:fill="FFFFFF"/>
    </w:rPr>
  </w:style>
  <w:style w:type="paragraph" w:customStyle="1" w:styleId="Bodytext60">
    <w:name w:val="Body text (6)"/>
    <w:basedOn w:val="Normal"/>
    <w:link w:val="Bodytext6"/>
    <w:pPr>
      <w:widowControl w:val="0"/>
      <w:shd w:val="clear" w:color="auto" w:fill="FFFFFF"/>
      <w:spacing w:before="0" w:after="340" w:line="310" w:lineRule="exact"/>
    </w:pPr>
    <w:rPr>
      <w:rFonts w:asciiTheme="minorHAnsi" w:hAnsiTheme="minorHAnsi" w:cstheme="minorBidi"/>
      <w:b/>
      <w:bCs/>
      <w:i/>
      <w:iCs/>
      <w:sz w:val="28"/>
      <w:szCs w:val="28"/>
    </w:rPr>
  </w:style>
  <w:style w:type="character" w:customStyle="1" w:styleId="Tablecaption6">
    <w:name w:val="Table caption (6)_"/>
    <w:basedOn w:val="DefaultParagraphFont"/>
    <w:link w:val="Tablecaption60"/>
    <w:rPr>
      <w:rFonts w:ascii="Arial" w:eastAsia="Arial" w:hAnsi="Arial" w:cs="Arial"/>
      <w:sz w:val="19"/>
      <w:szCs w:val="19"/>
      <w:shd w:val="clear" w:color="auto" w:fill="FFFFFF"/>
    </w:rPr>
  </w:style>
  <w:style w:type="paragraph" w:customStyle="1" w:styleId="Tablecaption60">
    <w:name w:val="Table caption (6)"/>
    <w:basedOn w:val="Normal"/>
    <w:link w:val="Tablecaption6"/>
    <w:pPr>
      <w:widowControl w:val="0"/>
      <w:shd w:val="clear" w:color="auto" w:fill="FFFFFF"/>
      <w:spacing w:before="0" w:after="0" w:line="212" w:lineRule="exact"/>
      <w:jc w:val="left"/>
    </w:pPr>
    <w:rPr>
      <w:rFonts w:ascii="Arial" w:eastAsia="Arial" w:hAnsi="Arial" w:cs="Arial"/>
      <w:sz w:val="19"/>
      <w:szCs w:val="19"/>
    </w:rPr>
  </w:style>
  <w:style w:type="character" w:customStyle="1" w:styleId="Heading54">
    <w:name w:val="Heading #5 (4)_"/>
    <w:basedOn w:val="DefaultParagraphFont"/>
    <w:link w:val="Heading540"/>
    <w:rPr>
      <w:rFonts w:ascii="Arial" w:eastAsia="Arial" w:hAnsi="Arial" w:cs="Arial"/>
      <w:sz w:val="19"/>
      <w:szCs w:val="19"/>
      <w:shd w:val="clear" w:color="auto" w:fill="FFFFFF"/>
    </w:rPr>
  </w:style>
  <w:style w:type="paragraph" w:customStyle="1" w:styleId="Heading540">
    <w:name w:val="Heading #5 (4)"/>
    <w:basedOn w:val="Normal"/>
    <w:link w:val="Heading54"/>
    <w:pPr>
      <w:widowControl w:val="0"/>
      <w:shd w:val="clear" w:color="auto" w:fill="FFFFFF"/>
      <w:spacing w:line="212" w:lineRule="exact"/>
      <w:ind w:hanging="380"/>
      <w:jc w:val="center"/>
      <w:outlineLvl w:val="4"/>
    </w:pPr>
    <w:rPr>
      <w:rFonts w:ascii="Arial" w:eastAsia="Arial" w:hAnsi="Arial" w:cs="Arial"/>
      <w:sz w:val="19"/>
      <w:szCs w:val="19"/>
    </w:rPr>
  </w:style>
  <w:style w:type="character" w:customStyle="1" w:styleId="Bodytext17">
    <w:name w:val="Body text (17)_"/>
    <w:basedOn w:val="DefaultParagraphFont"/>
    <w:link w:val="Bodytext170"/>
    <w:rPr>
      <w:rFonts w:ascii="Arial" w:eastAsia="Arial" w:hAnsi="Arial" w:cs="Arial"/>
      <w:sz w:val="19"/>
      <w:szCs w:val="19"/>
      <w:shd w:val="clear" w:color="auto" w:fill="FFFFFF"/>
    </w:rPr>
  </w:style>
  <w:style w:type="character" w:customStyle="1" w:styleId="Bodytext26">
    <w:name w:val="Body text (26)_"/>
    <w:basedOn w:val="DefaultParagraphFont"/>
    <w:link w:val="Bodytext260"/>
    <w:rPr>
      <w:rFonts w:ascii="Arial" w:eastAsia="Arial" w:hAnsi="Arial" w:cs="Arial"/>
      <w:sz w:val="15"/>
      <w:szCs w:val="15"/>
      <w:shd w:val="clear" w:color="auto" w:fill="FFFFFF"/>
    </w:rPr>
  </w:style>
  <w:style w:type="paragraph" w:customStyle="1" w:styleId="Bodytext170">
    <w:name w:val="Body text (17)"/>
    <w:basedOn w:val="Normal"/>
    <w:link w:val="Bodytext17"/>
    <w:pPr>
      <w:widowControl w:val="0"/>
      <w:shd w:val="clear" w:color="auto" w:fill="FFFFFF"/>
      <w:spacing w:before="0" w:after="0" w:line="212" w:lineRule="exact"/>
      <w:jc w:val="left"/>
    </w:pPr>
    <w:rPr>
      <w:rFonts w:ascii="Arial" w:eastAsia="Arial" w:hAnsi="Arial" w:cs="Arial"/>
      <w:sz w:val="19"/>
      <w:szCs w:val="19"/>
    </w:rPr>
  </w:style>
  <w:style w:type="paragraph" w:customStyle="1" w:styleId="Bodytext260">
    <w:name w:val="Body text (26)"/>
    <w:basedOn w:val="Normal"/>
    <w:link w:val="Bodytext26"/>
    <w:pPr>
      <w:widowControl w:val="0"/>
      <w:shd w:val="clear" w:color="auto" w:fill="FFFFFF"/>
      <w:spacing w:before="880" w:after="0" w:line="259" w:lineRule="exact"/>
    </w:pPr>
    <w:rPr>
      <w:rFonts w:ascii="Arial" w:eastAsia="Arial" w:hAnsi="Arial" w:cs="Arial"/>
      <w:sz w:val="15"/>
      <w:szCs w:val="15"/>
    </w:rPr>
  </w:style>
  <w:style w:type="character" w:customStyle="1" w:styleId="Bodytext9">
    <w:name w:val="Body text (9)_"/>
    <w:basedOn w:val="DefaultParagraphFont"/>
    <w:link w:val="Bodytext90"/>
    <w:rPr>
      <w:b/>
      <w:bCs/>
      <w:sz w:val="21"/>
      <w:szCs w:val="21"/>
      <w:shd w:val="clear" w:color="auto" w:fill="FFFFFF"/>
    </w:rPr>
  </w:style>
  <w:style w:type="character" w:customStyle="1" w:styleId="Bodytext9NotBold">
    <w:name w:val="Body text (9) + Not Bold"/>
    <w:basedOn w:val="Bodytext9"/>
    <w:rPr>
      <w:rFonts w:ascii="Times New Roman" w:eastAsia="Times New Roman" w:hAnsi="Times New Roman" w:cs="Times New Roman"/>
      <w:b/>
      <w:bCs/>
      <w:color w:val="000000"/>
      <w:spacing w:val="0"/>
      <w:w w:val="100"/>
      <w:position w:val="0"/>
      <w:sz w:val="21"/>
      <w:szCs w:val="21"/>
      <w:shd w:val="clear" w:color="auto" w:fill="FFFFFF"/>
      <w:lang w:val="bg-BG" w:eastAsia="en-US" w:bidi="en-US"/>
    </w:rPr>
  </w:style>
  <w:style w:type="paragraph" w:customStyle="1" w:styleId="Bodytext90">
    <w:name w:val="Body text (9)"/>
    <w:basedOn w:val="Normal"/>
    <w:link w:val="Bodytext9"/>
    <w:pPr>
      <w:widowControl w:val="0"/>
      <w:shd w:val="clear" w:color="auto" w:fill="FFFFFF"/>
      <w:spacing w:before="100" w:after="100" w:line="269" w:lineRule="exact"/>
      <w:ind w:hanging="400"/>
      <w:jc w:val="center"/>
    </w:pPr>
    <w:rPr>
      <w:rFonts w:asciiTheme="minorHAnsi" w:hAnsiTheme="minorHAnsi" w:cstheme="minorBidi"/>
      <w:b/>
      <w:bCs/>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doc-ti">
    <w:name w:val="doc-ti"/>
    <w:basedOn w:val="Normal"/>
    <w:pPr>
      <w:spacing w:before="100" w:beforeAutospacing="1" w:after="100" w:afterAutospacing="1"/>
      <w:jc w:val="left"/>
    </w:pPr>
    <w:rPr>
      <w:rFonts w:eastAsia="Times New Roman"/>
      <w:szCs w:val="24"/>
      <w:lang w:eastAsia="en-IE"/>
    </w:rPr>
  </w:style>
  <w:style w:type="paragraph" w:customStyle="1" w:styleId="footnotedescription">
    <w:name w:val="footnote description"/>
    <w:next w:val="Normal"/>
    <w:link w:val="footnotedescriptionChar"/>
    <w:hidden/>
    <w:pPr>
      <w:spacing w:after="0" w:line="285" w:lineRule="auto"/>
      <w:ind w:left="1"/>
      <w:jc w:val="both"/>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bg-BG" w:eastAsia="en-GB"/>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8400">
      <w:bodyDiv w:val="1"/>
      <w:marLeft w:val="0"/>
      <w:marRight w:val="0"/>
      <w:marTop w:val="0"/>
      <w:marBottom w:val="0"/>
      <w:divBdr>
        <w:top w:val="none" w:sz="0" w:space="0" w:color="auto"/>
        <w:left w:val="none" w:sz="0" w:space="0" w:color="auto"/>
        <w:bottom w:val="none" w:sz="0" w:space="0" w:color="auto"/>
        <w:right w:val="none" w:sz="0" w:space="0" w:color="auto"/>
      </w:divBdr>
    </w:div>
    <w:div w:id="341324472">
      <w:bodyDiv w:val="1"/>
      <w:marLeft w:val="0"/>
      <w:marRight w:val="0"/>
      <w:marTop w:val="0"/>
      <w:marBottom w:val="0"/>
      <w:divBdr>
        <w:top w:val="none" w:sz="0" w:space="0" w:color="auto"/>
        <w:left w:val="none" w:sz="0" w:space="0" w:color="auto"/>
        <w:bottom w:val="none" w:sz="0" w:space="0" w:color="auto"/>
        <w:right w:val="none" w:sz="0" w:space="0" w:color="auto"/>
      </w:divBdr>
    </w:div>
    <w:div w:id="1964921147">
      <w:bodyDiv w:val="1"/>
      <w:marLeft w:val="0"/>
      <w:marRight w:val="0"/>
      <w:marTop w:val="0"/>
      <w:marBottom w:val="0"/>
      <w:divBdr>
        <w:top w:val="none" w:sz="0" w:space="0" w:color="auto"/>
        <w:left w:val="none" w:sz="0" w:space="0" w:color="auto"/>
        <w:bottom w:val="none" w:sz="0" w:space="0" w:color="auto"/>
        <w:right w:val="none" w:sz="0" w:space="0" w:color="auto"/>
      </w:divBdr>
    </w:div>
    <w:div w:id="21384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testa.eu/docfinder/extern/aHR0cHM6Ly8=/ZXVyLWxleC5ldXJvcGEuZXU=/legal-content/BG/AUTO/?uri=celex:32009R12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D362C72-234F-49E5-AEA8-4E4EE111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29</Pages>
  <Words>9375</Words>
  <Characters>53631</Characters>
  <Application>Microsoft Office Word</Application>
  <DocSecurity>0</DocSecurity>
  <Lines>1072</Lines>
  <Paragraphs>440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2019-10-07T09:30:00Z</cp:lastPrinted>
  <dcterms:created xsi:type="dcterms:W3CDTF">2020-07-07T12:45:00Z</dcterms:created>
  <dcterms:modified xsi:type="dcterms:W3CDTF">2020-07-08T05:48:00Z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