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4CBAA7EA-D2F5-4E36-8B49-6E532BE928EF" style="width:450.75pt;height:307.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spacing w:after="240" w:line="240" w:lineRule="auto"/>
        <w:jc w:val="center"/>
        <w:rPr>
          <w:rFonts w:ascii="Times New Roman" w:eastAsia="Times New Roman" w:hAnsi="Times New Roman" w:cs="Times New Roman"/>
          <w:b/>
          <w:noProof/>
          <w:sz w:val="24"/>
          <w:szCs w:val="24"/>
        </w:rPr>
      </w:pPr>
      <w:bookmarkStart w:id="1" w:name="_GoBack"/>
      <w:bookmarkEnd w:id="1"/>
      <w:r>
        <w:rPr>
          <w:rFonts w:ascii="Times New Roman" w:hAnsi="Times New Roman"/>
          <w:b/>
          <w:noProof/>
        </w:rPr>
        <w:lastRenderedPageBreak/>
        <w:t>ДОКЛАД НА КОМИСИЯТА ДО ЕВРОПЕЙСКИЯ ПАРЛАМЕНТ И СЪВЕТА</w:t>
      </w:r>
    </w:p>
    <w:p>
      <w:pPr>
        <w:spacing w:after="240" w:line="240" w:lineRule="auto"/>
        <w:jc w:val="center"/>
        <w:rPr>
          <w:rFonts w:ascii="Times New Roman" w:eastAsia="Times New Roman" w:hAnsi="Times New Roman" w:cs="Times New Roman"/>
          <w:b/>
          <w:noProof/>
          <w:sz w:val="24"/>
          <w:szCs w:val="24"/>
        </w:rPr>
      </w:pPr>
      <w:r>
        <w:rPr>
          <w:rFonts w:ascii="Times New Roman" w:hAnsi="Times New Roman"/>
          <w:b/>
          <w:noProof/>
        </w:rPr>
        <w:t xml:space="preserve">Дейности на ЕС в областта на научните изследвания и технологичното развитие и мониторинг на </w:t>
      </w:r>
      <w:r>
        <w:rPr>
          <w:rFonts w:ascii="Times New Roman" w:hAnsi="Times New Roman"/>
          <w:b/>
          <w:bCs/>
          <w:noProof/>
        </w:rPr>
        <w:t xml:space="preserve">програма „Хоризонт 2020“ </w:t>
      </w:r>
      <w:r>
        <w:rPr>
          <w:rFonts w:ascii="Times New Roman" w:hAnsi="Times New Roman"/>
          <w:b/>
          <w:noProof/>
        </w:rPr>
        <w:t>през 2019 г.</w:t>
      </w:r>
    </w:p>
    <w:p>
      <w:pPr>
        <w:jc w:val="both"/>
        <w:rPr>
          <w:rFonts w:ascii="Times New Roman" w:hAnsi="Times New Roman" w:cs="Times New Roman"/>
          <w:b/>
          <w:noProof/>
        </w:rPr>
      </w:pPr>
    </w:p>
    <w:p>
      <w:pPr>
        <w:jc w:val="both"/>
        <w:rPr>
          <w:rFonts w:ascii="Times New Roman" w:hAnsi="Times New Roman" w:cs="Times New Roman"/>
          <w:b/>
          <w:noProof/>
        </w:rPr>
      </w:pPr>
    </w:p>
    <w:p>
      <w:pPr>
        <w:jc w:val="both"/>
        <w:rPr>
          <w:rFonts w:ascii="Times New Roman" w:hAnsi="Times New Roman" w:cs="Times New Roman"/>
          <w:b/>
          <w:noProof/>
        </w:rPr>
      </w:pPr>
      <w:r>
        <w:rPr>
          <w:rFonts w:ascii="Times New Roman" w:hAnsi="Times New Roman"/>
          <w:b/>
          <w:noProof/>
        </w:rPr>
        <w:t>1.</w:t>
      </w:r>
      <w:r>
        <w:rPr>
          <w:rFonts w:ascii="Times New Roman" w:hAnsi="Times New Roman"/>
          <w:b/>
          <w:noProof/>
        </w:rPr>
        <w:tab/>
        <w:t xml:space="preserve">Контекст </w:t>
      </w:r>
    </w:p>
    <w:p>
      <w:pPr>
        <w:jc w:val="both"/>
        <w:rPr>
          <w:rFonts w:ascii="Times New Roman" w:hAnsi="Times New Roman" w:cs="Times New Roman"/>
          <w:noProof/>
        </w:rPr>
      </w:pPr>
      <w:r>
        <w:rPr>
          <w:rFonts w:ascii="Times New Roman" w:hAnsi="Times New Roman"/>
          <w:noProof/>
        </w:rPr>
        <w:t xml:space="preserve">Настоящият доклад е изготвен на основание член 190 от ДФЕС и член 7 от Договора за Евратом, член 31 от Рамковата програма „Хоризонт 2020“ и член 21 от програмата на Евратом в допълнение към „Хоризонт 2020“. В него е направен кратък и неизчерпателен обзорен преглед на ключовите мерки, предприети </w:t>
      </w:r>
      <w:r>
        <w:rPr>
          <w:rFonts w:ascii="Times New Roman" w:hAnsi="Times New Roman"/>
          <w:b/>
          <w:noProof/>
        </w:rPr>
        <w:t>през 2019 г</w:t>
      </w:r>
      <w:r>
        <w:rPr>
          <w:rFonts w:ascii="Times New Roman" w:hAnsi="Times New Roman"/>
          <w:noProof/>
        </w:rPr>
        <w:t xml:space="preserve">. От 2017 г. насам докладът препраща към </w:t>
      </w:r>
      <w:hyperlink r:id="rId15" w:history="1">
        <w:r>
          <w:rPr>
            <w:rStyle w:val="Hyperlink"/>
            <w:rFonts w:ascii="Times New Roman" w:hAnsi="Times New Roman"/>
            <w:noProof/>
            <w:color w:val="auto"/>
          </w:rPr>
          <w:t>информационното табло на „Хоризонт 2020“</w:t>
        </w:r>
      </w:hyperlink>
      <w:r>
        <w:rPr>
          <w:rFonts w:ascii="Times New Roman" w:hAnsi="Times New Roman"/>
          <w:noProof/>
        </w:rPr>
        <w:t xml:space="preserve"> за допълнителни подробни данни за мониторинга. </w:t>
      </w:r>
    </w:p>
    <w:p>
      <w:pPr>
        <w:jc w:val="both"/>
        <w:rPr>
          <w:rFonts w:ascii="Times New Roman" w:hAnsi="Times New Roman" w:cs="Times New Roman"/>
          <w:noProof/>
        </w:rPr>
      </w:pPr>
    </w:p>
    <w:p>
      <w:pPr>
        <w:jc w:val="both"/>
        <w:rPr>
          <w:rFonts w:ascii="Times New Roman" w:hAnsi="Times New Roman" w:cs="Times New Roman"/>
          <w:b/>
          <w:noProof/>
        </w:rPr>
      </w:pPr>
      <w:r>
        <w:rPr>
          <w:rFonts w:ascii="Times New Roman" w:hAnsi="Times New Roman"/>
          <w:b/>
          <w:noProof/>
        </w:rPr>
        <w:t>2.</w:t>
      </w:r>
      <w:r>
        <w:rPr>
          <w:rFonts w:ascii="Times New Roman" w:hAnsi="Times New Roman"/>
          <w:b/>
          <w:noProof/>
        </w:rPr>
        <w:tab/>
        <w:t xml:space="preserve">Политически контекст </w:t>
      </w:r>
    </w:p>
    <w:p>
      <w:pPr>
        <w:jc w:val="both"/>
        <w:rPr>
          <w:rFonts w:ascii="Times New Roman" w:hAnsi="Times New Roman" w:cs="Times New Roman"/>
          <w:noProof/>
        </w:rPr>
      </w:pPr>
      <w:r>
        <w:rPr>
          <w:rFonts w:ascii="Times New Roman" w:hAnsi="Times New Roman"/>
          <w:noProof/>
        </w:rPr>
        <w:t xml:space="preserve">През юни 2019 г. Европейският съвет прие </w:t>
      </w:r>
      <w:hyperlink r:id="rId16" w:history="1">
        <w:r>
          <w:rPr>
            <w:rStyle w:val="Hyperlink"/>
            <w:rFonts w:ascii="Times New Roman" w:hAnsi="Times New Roman"/>
            <w:noProof/>
            <w:color w:val="auto"/>
          </w:rPr>
          <w:t>Нова стратегическа програма за периода 2019—2024 г.</w:t>
        </w:r>
      </w:hyperlink>
      <w:r>
        <w:rPr>
          <w:rFonts w:ascii="Times New Roman" w:hAnsi="Times New Roman"/>
          <w:noProof/>
        </w:rPr>
        <w:t>, в която се определят приоритетни области, които ще направляват работата на Европейския съвет и ще дават насоки за работните програми на други институции на ЕС.</w:t>
      </w:r>
    </w:p>
    <w:p>
      <w:pPr>
        <w:jc w:val="both"/>
        <w:rPr>
          <w:rFonts w:ascii="Times New Roman" w:hAnsi="Times New Roman" w:cs="Times New Roman"/>
          <w:noProof/>
        </w:rPr>
      </w:pPr>
      <w:r>
        <w:rPr>
          <w:rFonts w:ascii="Times New Roman" w:hAnsi="Times New Roman"/>
          <w:noProof/>
        </w:rPr>
        <w:t xml:space="preserve">Научните изследвания и иновациите изпълняват ключова роля по отношение на шестте </w:t>
      </w:r>
      <w:hyperlink r:id="rId17" w:history="1">
        <w:r>
          <w:rPr>
            <w:rStyle w:val="Hyperlink"/>
            <w:rFonts w:ascii="Times New Roman" w:hAnsi="Times New Roman"/>
            <w:noProof/>
            <w:color w:val="auto"/>
          </w:rPr>
          <w:t>политически насоки</w:t>
        </w:r>
      </w:hyperlink>
      <w:r>
        <w:rPr>
          <w:rFonts w:ascii="Times New Roman" w:hAnsi="Times New Roman"/>
          <w:noProof/>
        </w:rPr>
        <w:t xml:space="preserve"> на Комисията  „фон дер Лайен“ като основа от факти за вземане на решения за политиките и за тяхното изпълнение, както и като средство за постигане на целите. По-специално, целта на „</w:t>
      </w:r>
      <w:hyperlink r:id="rId18" w:history="1">
        <w:r>
          <w:rPr>
            <w:rStyle w:val="Hyperlink"/>
            <w:rFonts w:ascii="Times New Roman" w:hAnsi="Times New Roman"/>
            <w:noProof/>
            <w:color w:val="auto"/>
          </w:rPr>
          <w:t>Европейския зелен пакт“</w:t>
        </w:r>
      </w:hyperlink>
      <w:r>
        <w:rPr>
          <w:rFonts w:ascii="Times New Roman" w:hAnsi="Times New Roman"/>
          <w:noProof/>
        </w:rPr>
        <w:t xml:space="preserve"> (съобщение на Комисията, прието през декември 2019 г.) е Европа да се превърне до 2050 г. в първия неутрален по отношение на климата континент. Приоритетите „</w:t>
      </w:r>
      <w:hyperlink r:id="rId19" w:history="1">
        <w:r>
          <w:rPr>
            <w:rStyle w:val="Hyperlink"/>
            <w:rFonts w:ascii="Times New Roman" w:hAnsi="Times New Roman"/>
            <w:noProof/>
            <w:color w:val="auto"/>
          </w:rPr>
          <w:t>Европа, подготвена за цифровата ера</w:t>
        </w:r>
      </w:hyperlink>
      <w:r>
        <w:rPr>
          <w:rFonts w:ascii="Times New Roman" w:hAnsi="Times New Roman"/>
          <w:noProof/>
        </w:rPr>
        <w:t>“</w:t>
      </w:r>
      <w:r>
        <w:rPr>
          <w:rFonts w:ascii="Times New Roman" w:hAnsi="Times New Roman"/>
          <w:noProof/>
          <w:vertAlign w:val="superscript"/>
        </w:rPr>
        <w:t xml:space="preserve"> </w:t>
      </w:r>
      <w:r>
        <w:rPr>
          <w:rFonts w:ascii="Times New Roman" w:hAnsi="Times New Roman"/>
          <w:noProof/>
        </w:rPr>
        <w:t>и „</w:t>
      </w:r>
      <w:hyperlink r:id="rId20" w:history="1">
        <w:r>
          <w:rPr>
            <w:rStyle w:val="Hyperlink"/>
            <w:rFonts w:ascii="Times New Roman" w:hAnsi="Times New Roman"/>
            <w:noProof/>
            <w:color w:val="auto"/>
          </w:rPr>
          <w:t>Икономика в интерес на хората</w:t>
        </w:r>
      </w:hyperlink>
      <w:r>
        <w:rPr>
          <w:rFonts w:ascii="Times New Roman" w:hAnsi="Times New Roman"/>
          <w:noProof/>
        </w:rPr>
        <w:t>“ имат силно отражение върху революционните научни изследвания и авангардните иновации, и по-специално Европейския съвет по иновациите (ЕСИ). Научните изследвания и иновациите ще бъдат важни и за приоритетите „</w:t>
      </w:r>
      <w:hyperlink r:id="rId21" w:history="1">
        <w:r>
          <w:rPr>
            <w:rStyle w:val="Hyperlink"/>
            <w:rFonts w:ascii="Times New Roman" w:hAnsi="Times New Roman"/>
            <w:noProof/>
            <w:color w:val="auto"/>
          </w:rPr>
          <w:t>Утвърждаване на европейския ни начин на живот“</w:t>
        </w:r>
      </w:hyperlink>
      <w:r>
        <w:rPr>
          <w:rFonts w:ascii="Times New Roman" w:hAnsi="Times New Roman"/>
          <w:noProof/>
        </w:rPr>
        <w:t>, „</w:t>
      </w:r>
      <w:hyperlink r:id="rId22" w:history="1">
        <w:r>
          <w:rPr>
            <w:rStyle w:val="Hyperlink"/>
            <w:rFonts w:ascii="Times New Roman" w:hAnsi="Times New Roman"/>
            <w:noProof/>
            <w:color w:val="auto"/>
          </w:rPr>
          <w:t>По-силна Европа на световната сцена</w:t>
        </w:r>
      </w:hyperlink>
      <w:r>
        <w:rPr>
          <w:rFonts w:ascii="Times New Roman" w:hAnsi="Times New Roman"/>
          <w:noProof/>
        </w:rPr>
        <w:t>“ и „</w:t>
      </w:r>
      <w:hyperlink r:id="rId23" w:history="1">
        <w:r>
          <w:rPr>
            <w:rStyle w:val="Hyperlink"/>
            <w:rFonts w:ascii="Times New Roman" w:hAnsi="Times New Roman"/>
            <w:noProof/>
            <w:color w:val="auto"/>
          </w:rPr>
          <w:t>Нов тласък за европейската демокрация“</w:t>
        </w:r>
      </w:hyperlink>
      <w:r>
        <w:rPr>
          <w:rFonts w:ascii="Times New Roman" w:hAnsi="Times New Roman"/>
          <w:noProof/>
        </w:rPr>
        <w:t xml:space="preserve">. </w:t>
      </w:r>
    </w:p>
    <w:p>
      <w:pPr>
        <w:jc w:val="both"/>
        <w:rPr>
          <w:rFonts w:ascii="Times New Roman" w:hAnsi="Times New Roman" w:cs="Times New Roman"/>
          <w:i/>
          <w:noProof/>
        </w:rPr>
      </w:pPr>
    </w:p>
    <w:p>
      <w:pPr>
        <w:jc w:val="both"/>
        <w:rPr>
          <w:rFonts w:ascii="Times New Roman" w:hAnsi="Times New Roman" w:cs="Times New Roman"/>
          <w:b/>
          <w:noProof/>
        </w:rPr>
      </w:pPr>
      <w:r>
        <w:rPr>
          <w:rFonts w:ascii="Times New Roman" w:hAnsi="Times New Roman"/>
          <w:b/>
          <w:noProof/>
        </w:rPr>
        <w:t>3.</w:t>
      </w:r>
      <w:r>
        <w:rPr>
          <w:rFonts w:ascii="Times New Roman" w:hAnsi="Times New Roman"/>
          <w:b/>
          <w:noProof/>
        </w:rPr>
        <w:tab/>
        <w:t>Рамка на политиката за научни изследвания и иновации</w:t>
      </w:r>
    </w:p>
    <w:p>
      <w:pPr>
        <w:jc w:val="both"/>
        <w:rPr>
          <w:rFonts w:ascii="Times New Roman" w:hAnsi="Times New Roman" w:cs="Times New Roman"/>
          <w:b/>
          <w:i/>
          <w:noProof/>
        </w:rPr>
      </w:pPr>
      <w:r>
        <w:rPr>
          <w:rFonts w:ascii="Times New Roman" w:hAnsi="Times New Roman"/>
          <w:b/>
          <w:i/>
          <w:noProof/>
        </w:rPr>
        <w:t>3.1 „Хоризонт Европа“</w:t>
      </w:r>
    </w:p>
    <w:p>
      <w:pPr>
        <w:jc w:val="both"/>
        <w:rPr>
          <w:rFonts w:ascii="Times New Roman" w:hAnsi="Times New Roman" w:cs="Times New Roman"/>
          <w:noProof/>
        </w:rPr>
      </w:pPr>
      <w:r>
        <w:rPr>
          <w:rFonts w:ascii="Times New Roman" w:hAnsi="Times New Roman"/>
          <w:noProof/>
        </w:rPr>
        <w:t xml:space="preserve">През март—април 2019 г. Парламентът и Съветът постигнаха политическо съгласие по важни аспекти на проекта на законодателство за Рамковата програма за научни изследвания и иновации „Хоризонт Европа“/Правила за участие и разпространение на резултатите и за </w:t>
      </w:r>
      <w:r>
        <w:rPr>
          <w:rFonts w:ascii="Times New Roman" w:hAnsi="Times New Roman"/>
          <w:noProof/>
        </w:rPr>
        <w:lastRenderedPageBreak/>
        <w:t>специфичната програма (и двете на основание ДФЕС), като потвърдиха новите елементи, въведени в предложенията на Комисията. На тази основа Комисията предприе стратегическо планиране за първия стратегически план за „Хоризонт Европа“.</w:t>
      </w:r>
    </w:p>
    <w:p>
      <w:pPr>
        <w:jc w:val="both"/>
        <w:rPr>
          <w:rFonts w:ascii="Times New Roman" w:hAnsi="Times New Roman" w:cs="Times New Roman"/>
          <w:noProof/>
          <w:u w:val="single"/>
        </w:rPr>
      </w:pPr>
      <w:r>
        <w:rPr>
          <w:rFonts w:ascii="Times New Roman" w:hAnsi="Times New Roman"/>
          <w:noProof/>
          <w:u w:val="single"/>
        </w:rPr>
        <w:t xml:space="preserve">Стратегическо планиране </w:t>
      </w:r>
    </w:p>
    <w:p>
      <w:pPr>
        <w:jc w:val="both"/>
        <w:rPr>
          <w:rFonts w:ascii="Times New Roman" w:hAnsi="Times New Roman" w:cs="Times New Roman"/>
          <w:noProof/>
        </w:rPr>
      </w:pPr>
      <w:r>
        <w:rPr>
          <w:rFonts w:ascii="Times New Roman" w:hAnsi="Times New Roman"/>
          <w:noProof/>
        </w:rPr>
        <w:t xml:space="preserve">В допълнение към интензивната вътрешна работа по създаването на стратегически план, Комисията започна широк и приобщаващ процес за съвместно разработване с Парламента, държавите членки, заинтересованите страни и обществеността. Това включваше събития като първите </w:t>
      </w:r>
      <w:r>
        <w:rPr>
          <w:rFonts w:ascii="Times New Roman" w:hAnsi="Times New Roman"/>
          <w:b/>
          <w:noProof/>
        </w:rPr>
        <w:t>Европейски дни на научните изследвания и иновациите</w:t>
      </w:r>
      <w:r>
        <w:rPr>
          <w:rFonts w:ascii="Times New Roman" w:hAnsi="Times New Roman"/>
          <w:noProof/>
        </w:rPr>
        <w:t xml:space="preserve"> през септември 2019 г, (</w:t>
      </w:r>
      <w:hyperlink r:id="rId24" w:history="1">
        <w:r>
          <w:rPr>
            <w:rStyle w:val="Hyperlink"/>
            <w:rFonts w:ascii="Times New Roman" w:hAnsi="Times New Roman"/>
            <w:noProof/>
            <w:color w:val="auto"/>
          </w:rPr>
          <w:t>„Европейски дни на научните изследвания и иновациите 2019 г.“</w:t>
        </w:r>
      </w:hyperlink>
      <w:r>
        <w:rPr>
          <w:rFonts w:ascii="Times New Roman" w:hAnsi="Times New Roman"/>
          <w:noProof/>
        </w:rPr>
        <w:t>), а процесът доведе до изготвянето на „</w:t>
      </w:r>
      <w:hyperlink r:id="rId25" w:history="1">
        <w:r>
          <w:rPr>
            <w:rStyle w:val="Hyperlink"/>
            <w:rFonts w:ascii="Times New Roman" w:hAnsi="Times New Roman"/>
            <w:noProof/>
            <w:color w:val="auto"/>
          </w:rPr>
          <w:t>Насоките към първия стратегически план за „Хоризонт Европа</w:t>
        </w:r>
      </w:hyperlink>
      <w:r>
        <w:rPr>
          <w:rFonts w:ascii="Times New Roman" w:hAnsi="Times New Roman"/>
          <w:noProof/>
        </w:rPr>
        <w:t xml:space="preserve">“. В този документ са представени резултатите от етапа на съвместно изготвяне и са включени възможните въздействия, към които да бъде насочен първият стратегически план. Същевременно всеобхватен процес за съвместно изготвяне, включващ уеббазирано проучване (вж. </w:t>
      </w:r>
      <w:hyperlink r:id="rId26" w:history="1">
        <w:r>
          <w:rPr>
            <w:rStyle w:val="Hyperlink"/>
            <w:rFonts w:ascii="Times New Roman" w:hAnsi="Times New Roman"/>
            <w:noProof/>
            <w:color w:val="auto"/>
          </w:rPr>
          <w:t>окончателния</w:t>
        </w:r>
      </w:hyperlink>
      <w:r>
        <w:rPr>
          <w:rStyle w:val="Hyperlink"/>
          <w:rFonts w:ascii="Times New Roman" w:hAnsi="Times New Roman"/>
          <w:noProof/>
          <w:color w:val="auto"/>
        </w:rPr>
        <w:t xml:space="preserve"> доклад</w:t>
      </w:r>
      <w:r>
        <w:rPr>
          <w:rFonts w:ascii="Times New Roman" w:hAnsi="Times New Roman"/>
          <w:noProof/>
        </w:rPr>
        <w:t xml:space="preserve">), послужи за изготвянето на </w:t>
      </w:r>
      <w:r>
        <w:rPr>
          <w:rFonts w:ascii="Times New Roman" w:hAnsi="Times New Roman"/>
          <w:b/>
          <w:bCs/>
          <w:noProof/>
        </w:rPr>
        <w:t>стратегия за изпълнение на „Хоризонт Европа“</w:t>
      </w:r>
      <w:r>
        <w:rPr>
          <w:rFonts w:ascii="Times New Roman" w:hAnsi="Times New Roman"/>
          <w:noProof/>
        </w:rPr>
        <w:t>. Тази стратегия представлява съгласувана рамка за всички аспекти на изпълнението. Тя е предвидена с цел допълнително опростяване и ще спомогне за осъществяване на целите и новостите на програмата от самото начало.</w:t>
      </w:r>
    </w:p>
    <w:p>
      <w:pPr>
        <w:jc w:val="both"/>
        <w:rPr>
          <w:rFonts w:ascii="Times New Roman" w:hAnsi="Times New Roman" w:cs="Times New Roman"/>
          <w:noProof/>
          <w:u w:val="single"/>
        </w:rPr>
      </w:pPr>
      <w:r>
        <w:rPr>
          <w:rFonts w:ascii="Times New Roman" w:hAnsi="Times New Roman"/>
          <w:noProof/>
          <w:u w:val="single"/>
        </w:rPr>
        <w:t>Мисии</w:t>
      </w:r>
    </w:p>
    <w:p>
      <w:pPr>
        <w:jc w:val="both"/>
        <w:rPr>
          <w:rFonts w:ascii="Times New Roman" w:hAnsi="Times New Roman" w:cs="Times New Roman"/>
          <w:noProof/>
        </w:rPr>
      </w:pPr>
      <w:r>
        <w:rPr>
          <w:rFonts w:ascii="Times New Roman" w:hAnsi="Times New Roman"/>
          <w:bCs/>
          <w:noProof/>
        </w:rPr>
        <w:t xml:space="preserve">Една от новите основни особености на „Хоризонт Европа“ е въвеждането на </w:t>
      </w:r>
      <w:hyperlink r:id="rId27" w:history="1">
        <w:r>
          <w:rPr>
            <w:rStyle w:val="Hyperlink"/>
            <w:rFonts w:ascii="Times New Roman" w:hAnsi="Times New Roman"/>
            <w:bCs/>
            <w:noProof/>
            <w:color w:val="auto"/>
          </w:rPr>
          <w:t>мисии</w:t>
        </w:r>
      </w:hyperlink>
      <w:r>
        <w:rPr>
          <w:rFonts w:ascii="Times New Roman" w:hAnsi="Times New Roman"/>
          <w:bCs/>
          <w:noProof/>
        </w:rPr>
        <w:t>. Парламентът и Съветът приеха</w:t>
      </w:r>
      <w:r>
        <w:rPr>
          <w:rFonts w:ascii="Times New Roman" w:hAnsi="Times New Roman"/>
          <w:b/>
          <w:bCs/>
          <w:noProof/>
        </w:rPr>
        <w:t xml:space="preserve"> пет области за възможни мисии</w:t>
      </w:r>
      <w:r>
        <w:rPr>
          <w:rFonts w:ascii="Times New Roman" w:hAnsi="Times New Roman"/>
          <w:bCs/>
          <w:noProof/>
        </w:rPr>
        <w:t>. След покана за заявяване на интерес през 2019 г. бяха създадени пет</w:t>
      </w:r>
      <w:r>
        <w:rPr>
          <w:rFonts w:ascii="Times New Roman" w:hAnsi="Times New Roman"/>
          <w:b/>
          <w:noProof/>
        </w:rPr>
        <w:t xml:space="preserve"> комитета за мисии</w:t>
      </w:r>
      <w:r>
        <w:rPr>
          <w:rFonts w:ascii="Times New Roman" w:hAnsi="Times New Roman"/>
          <w:noProof/>
        </w:rPr>
        <w:t>те, съответстващи на петте</w:t>
      </w:r>
      <w:r>
        <w:rPr>
          <w:rFonts w:ascii="Times New Roman" w:hAnsi="Times New Roman"/>
          <w:bCs/>
          <w:noProof/>
        </w:rPr>
        <w:t xml:space="preserve"> области</w:t>
      </w:r>
      <w:r>
        <w:rPr>
          <w:rFonts w:ascii="Times New Roman" w:hAnsi="Times New Roman"/>
          <w:noProof/>
        </w:rPr>
        <w:t xml:space="preserve">. Комитетите включват експерти в областта на научните изследвания и иновациите, създаването на политики, представители на гражданското общество и организации на практикуващи специалисти. Председателите на комитетите бяха обявени през юли, а комитетите започнаха работа по консултиране във връзка с конкретни мисии през септември. Във всяка област беше предприето действие за прогнозиране, с цел да бъде подкрепена работата на комитетите за мисии. Всяка област на мисия има </w:t>
      </w:r>
      <w:r>
        <w:rPr>
          <w:rFonts w:ascii="Times New Roman" w:hAnsi="Times New Roman"/>
          <w:b/>
          <w:noProof/>
        </w:rPr>
        <w:t>събрание</w:t>
      </w:r>
      <w:r>
        <w:rPr>
          <w:rFonts w:ascii="Times New Roman" w:hAnsi="Times New Roman"/>
          <w:noProof/>
        </w:rPr>
        <w:t>, на което присъстват голям брой експерти от високо ниво и се споделят допълнителни идеи, знания и експертен опит.</w:t>
      </w:r>
    </w:p>
    <w:p>
      <w:pPr>
        <w:jc w:val="both"/>
        <w:rPr>
          <w:rFonts w:ascii="Times New Roman" w:hAnsi="Times New Roman" w:cs="Times New Roman"/>
          <w:noProof/>
          <w:u w:val="single"/>
        </w:rPr>
      </w:pPr>
      <w:r>
        <w:rPr>
          <w:rFonts w:ascii="Times New Roman" w:hAnsi="Times New Roman"/>
          <w:noProof/>
          <w:u w:val="single"/>
        </w:rPr>
        <w:t xml:space="preserve">Европейски партньорства  </w:t>
      </w:r>
    </w:p>
    <w:p>
      <w:pPr>
        <w:jc w:val="both"/>
        <w:rPr>
          <w:rFonts w:ascii="Times New Roman" w:hAnsi="Times New Roman" w:cs="Times New Roman"/>
          <w:noProof/>
        </w:rPr>
      </w:pPr>
      <w:r>
        <w:rPr>
          <w:rFonts w:ascii="Times New Roman" w:hAnsi="Times New Roman"/>
          <w:noProof/>
        </w:rPr>
        <w:t xml:space="preserve">Като част от стратегическото планиране на „Хоризонт Европа“ Комисията идентифицира 49 кандидати за европейски партньорства в процес на съвместно разработване през първата половина на 2019 г. (вж. приложение 7 към „Насоките“). 13 от тях бяха идентифицирани като кандидати за институционализирани европейски партньорства съгласно членове 185 и 187 от ДФЕС (Парламентът и Съветът одобриха осем области за възможни партньорства). Кандидатите преминават предварителна оценка на въздействието.  </w:t>
      </w:r>
    </w:p>
    <w:p>
      <w:pPr>
        <w:jc w:val="both"/>
        <w:rPr>
          <w:rFonts w:ascii="Times New Roman" w:hAnsi="Times New Roman" w:cs="Times New Roman"/>
          <w:noProof/>
        </w:rPr>
      </w:pPr>
      <w:r>
        <w:rPr>
          <w:rFonts w:ascii="Times New Roman" w:hAnsi="Times New Roman"/>
          <w:noProof/>
        </w:rPr>
        <w:t>През втората половина на 2019 г. Комисията започна работа с потенциални партньори и заинтересовани страни, за да се гарантира, че кандидатстващите европейски партньорства за съвместно програмиране и съвместно финансиране отговарят на новите амбиции и критерии на „Хоризонт Европа“.</w:t>
      </w:r>
    </w:p>
    <w:p>
      <w:pPr>
        <w:jc w:val="both"/>
        <w:rPr>
          <w:rFonts w:ascii="Times New Roman" w:hAnsi="Times New Roman" w:cs="Times New Roman"/>
          <w:noProof/>
          <w:u w:val="single"/>
        </w:rPr>
      </w:pPr>
      <w:r>
        <w:rPr>
          <w:rFonts w:ascii="Times New Roman" w:hAnsi="Times New Roman"/>
          <w:noProof/>
          <w:u w:val="single"/>
        </w:rPr>
        <w:t xml:space="preserve">Полезни взаимодействия с други програми  </w:t>
      </w:r>
    </w:p>
    <w:p>
      <w:pPr>
        <w:jc w:val="both"/>
        <w:rPr>
          <w:rFonts w:ascii="Times New Roman" w:hAnsi="Times New Roman" w:cs="Times New Roman"/>
          <w:noProof/>
        </w:rPr>
      </w:pPr>
      <w:r>
        <w:rPr>
          <w:rFonts w:ascii="Times New Roman" w:hAnsi="Times New Roman"/>
          <w:noProof/>
        </w:rPr>
        <w:t>През 2019 г. и Парламентът, и Съветът изразиха официално широката си подкрепа за подхода и съдържанието на приложение IV „Полезни взаимодействия с други програми“ към предложението на Комисията относно Рамковата програма „Хоризонт Европа“/Правилата за участие и разпространение на резултатите</w:t>
      </w:r>
      <w:r>
        <w:rPr>
          <w:rFonts w:ascii="Times New Roman" w:hAnsi="Times New Roman" w:cs="Times New Roman"/>
          <w:noProof/>
          <w:vertAlign w:val="superscript"/>
        </w:rPr>
        <w:footnoteReference w:id="1"/>
      </w:r>
      <w:r>
        <w:rPr>
          <w:rFonts w:ascii="Times New Roman" w:hAnsi="Times New Roman"/>
          <w:noProof/>
        </w:rPr>
        <w:t xml:space="preserve">. Целта е да бъдат оползотворени полезните взаимодействия между „Хоризонт Европа“ и всяка от другите програми през периода 2021—2027 г. чрез създаване на поредица от полезни взаимодействия и по-опростени и по-ефикасни правила за допълващо и смесено финансиране. </w:t>
      </w:r>
    </w:p>
    <w:p>
      <w:pPr>
        <w:jc w:val="both"/>
        <w:rPr>
          <w:rFonts w:ascii="Times New Roman" w:hAnsi="Times New Roman" w:cs="Times New Roman"/>
          <w:b/>
          <w:i/>
          <w:noProof/>
        </w:rPr>
      </w:pPr>
      <w:r>
        <w:rPr>
          <w:rFonts w:ascii="Times New Roman" w:hAnsi="Times New Roman"/>
          <w:b/>
          <w:i/>
          <w:noProof/>
        </w:rPr>
        <w:t>3.2 Развития в областта на политиките</w:t>
      </w:r>
    </w:p>
    <w:p>
      <w:pPr>
        <w:jc w:val="both"/>
        <w:rPr>
          <w:rFonts w:ascii="Times New Roman" w:hAnsi="Times New Roman" w:cs="Times New Roman"/>
          <w:noProof/>
          <w:u w:val="single"/>
        </w:rPr>
      </w:pPr>
      <w:r>
        <w:rPr>
          <w:rFonts w:ascii="Times New Roman" w:hAnsi="Times New Roman"/>
          <w:noProof/>
          <w:u w:val="single"/>
        </w:rPr>
        <w:t xml:space="preserve">Планетата </w:t>
      </w:r>
    </w:p>
    <w:p>
      <w:pPr>
        <w:jc w:val="both"/>
        <w:rPr>
          <w:rFonts w:ascii="Times New Roman" w:hAnsi="Times New Roman" w:cs="Times New Roman"/>
          <w:noProof/>
        </w:rPr>
      </w:pPr>
      <w:r>
        <w:rPr>
          <w:rFonts w:ascii="Times New Roman" w:hAnsi="Times New Roman"/>
          <w:noProof/>
        </w:rPr>
        <w:t>През 2019 г. климатът продължи да заема челно място в европейския дневен ред. В специалните доклади на Междуправителствения комитет по изменение на климата (IPCC) относно „Изменението на климата и земята“ и „Океаните и криосферата“ беше изтъкната неотложността на въпроса за климата. Програмата в подкрепа на биологичното разнообразие набра скорост с поставеното начало на Глобалната оценка на биологичното разнообразие, ръководена от междуправителствената научно-политическа платформа относно биоразнообразието и предлаганите от екосистемите услуги (IPBES). Комисията представи своя „</w:t>
      </w:r>
      <w:r>
        <w:rPr>
          <w:rFonts w:ascii="Times New Roman" w:hAnsi="Times New Roman"/>
          <w:b/>
          <w:noProof/>
        </w:rPr>
        <w:t>Европейски зелен пакт</w:t>
      </w:r>
      <w:r>
        <w:rPr>
          <w:rFonts w:ascii="Times New Roman" w:hAnsi="Times New Roman"/>
          <w:noProof/>
        </w:rPr>
        <w:t xml:space="preserve">“, чиято цел е да бъде ускорен напредъкът към целите за 2030 г. и Европа да се превърне до 2050 г. в първия неутрален по отношение на климата континент. Основните мерки на политиката, съпътстващи Зеления пакт, варират от намаляване на емисиите до инвестиции в авангардни научни изследвания и иновации, опазване на естествената околна среда на Европа и подкрепа за радикална промяна на поведението. Както се посочва в Зеления пакт, в процес на разработване са световна и европейска стратегия за биологично разнообразие. Комисията взе активно участие в преговорите и приемането на няколко доклада на IPCC и глобалната оценка на IPBES относно биологичното разнообразие и екосистемните услуги. </w:t>
      </w:r>
    </w:p>
    <w:p>
      <w:pPr>
        <w:jc w:val="both"/>
        <w:rPr>
          <w:rFonts w:ascii="Times New Roman" w:hAnsi="Times New Roman" w:cs="Times New Roman"/>
          <w:noProof/>
        </w:rPr>
      </w:pPr>
      <w:r>
        <w:rPr>
          <w:rFonts w:ascii="Times New Roman" w:hAnsi="Times New Roman"/>
          <w:noProof/>
        </w:rPr>
        <w:t>Продължи работата по изпълнение на 20-те мерки на политиката от съобщението на Комисията, озаглавено „</w:t>
      </w:r>
      <w:hyperlink r:id="rId28" w:history="1">
        <w:r>
          <w:rPr>
            <w:rStyle w:val="Hyperlink"/>
            <w:rFonts w:ascii="Times New Roman" w:hAnsi="Times New Roman"/>
            <w:noProof/>
            <w:color w:val="auto"/>
          </w:rPr>
          <w:t>Ускоряване на иновацията в областта на чистата енергия</w:t>
        </w:r>
      </w:hyperlink>
      <w:r>
        <w:rPr>
          <w:rFonts w:ascii="Times New Roman" w:hAnsi="Times New Roman"/>
          <w:noProof/>
        </w:rPr>
        <w:t xml:space="preserve">“. Чрез научни изследвания и иновации те допринасят за постигане на целите на енергийния съюз. </w:t>
      </w:r>
    </w:p>
    <w:p>
      <w:pPr>
        <w:jc w:val="both"/>
        <w:rPr>
          <w:rFonts w:ascii="Times New Roman" w:hAnsi="Times New Roman" w:cs="Times New Roman"/>
          <w:noProof/>
        </w:rPr>
      </w:pPr>
      <w:r>
        <w:rPr>
          <w:rFonts w:ascii="Times New Roman" w:hAnsi="Times New Roman"/>
          <w:noProof/>
        </w:rPr>
        <w:t>Финансирането по линия на „Хоризонт 2020“ за Атлантическия океан беше увеличено на почти 200 милиона евро със стартирането през 2019 г. на нови проекти на стойност над 30 милиона евро.</w:t>
      </w:r>
    </w:p>
    <w:p>
      <w:pPr>
        <w:jc w:val="both"/>
        <w:rPr>
          <w:rFonts w:ascii="Times New Roman" w:hAnsi="Times New Roman" w:cs="Times New Roman"/>
          <w:noProof/>
        </w:rPr>
      </w:pPr>
      <w:r>
        <w:rPr>
          <w:rFonts w:ascii="Times New Roman" w:hAnsi="Times New Roman"/>
          <w:noProof/>
        </w:rPr>
        <w:t xml:space="preserve">Комисията започна </w:t>
      </w:r>
      <w:hyperlink r:id="rId29" w:history="1">
        <w:r>
          <w:rPr>
            <w:rStyle w:val="Hyperlink"/>
            <w:rFonts w:ascii="Times New Roman" w:hAnsi="Times New Roman"/>
            <w:noProof/>
            <w:color w:val="auto"/>
          </w:rPr>
          <w:t>пилотна програма BlueMED за научни изследвания и иновации</w:t>
        </w:r>
      </w:hyperlink>
      <w:r>
        <w:rPr>
          <w:rFonts w:ascii="Times New Roman" w:hAnsi="Times New Roman"/>
          <w:noProof/>
        </w:rPr>
        <w:t xml:space="preserve"> за свободно от пластмаси и в добро състояние Средиземно море, </w:t>
      </w:r>
      <w:hyperlink r:id="rId30" w:history="1">
        <w:r>
          <w:rPr>
            <w:rStyle w:val="Hyperlink"/>
            <w:rFonts w:ascii="Times New Roman" w:hAnsi="Times New Roman"/>
            <w:noProof/>
            <w:color w:val="auto"/>
          </w:rPr>
          <w:t>Стратегическа програма за научни изследвания и иновации за Черно море</w:t>
        </w:r>
      </w:hyperlink>
      <w:r>
        <w:rPr>
          <w:rFonts w:ascii="Times New Roman" w:hAnsi="Times New Roman"/>
          <w:noProof/>
        </w:rPr>
        <w:t xml:space="preserve"> и сформира управленска група за </w:t>
      </w:r>
      <w:hyperlink r:id="rId31" w:history="1">
        <w:r>
          <w:rPr>
            <w:rStyle w:val="Hyperlink"/>
            <w:rFonts w:ascii="Times New Roman" w:hAnsi="Times New Roman"/>
            <w:noProof/>
            <w:color w:val="auto"/>
          </w:rPr>
          <w:t>Стратегическата програма за научни изследвания и иновации в сферата на транспорта</w:t>
        </w:r>
      </w:hyperlink>
      <w:r>
        <w:rPr>
          <w:rFonts w:ascii="Times New Roman" w:hAnsi="Times New Roman"/>
          <w:noProof/>
        </w:rPr>
        <w:t xml:space="preserve">. </w:t>
      </w:r>
    </w:p>
    <w:p>
      <w:pPr>
        <w:jc w:val="both"/>
        <w:rPr>
          <w:rFonts w:ascii="Times New Roman" w:hAnsi="Times New Roman" w:cs="Times New Roman"/>
          <w:noProof/>
          <w:u w:val="single"/>
        </w:rPr>
      </w:pPr>
      <w:r>
        <w:rPr>
          <w:rFonts w:ascii="Times New Roman" w:hAnsi="Times New Roman"/>
          <w:noProof/>
          <w:u w:val="single"/>
        </w:rPr>
        <w:t xml:space="preserve">Хората </w:t>
      </w:r>
    </w:p>
    <w:p>
      <w:pPr>
        <w:jc w:val="both"/>
        <w:rPr>
          <w:rFonts w:ascii="Times New Roman" w:hAnsi="Times New Roman" w:cs="Times New Roman"/>
          <w:bCs/>
          <w:iCs/>
          <w:noProof/>
        </w:rPr>
      </w:pPr>
      <w:r>
        <w:rPr>
          <w:rFonts w:ascii="Times New Roman" w:hAnsi="Times New Roman"/>
          <w:bCs/>
          <w:iCs/>
          <w:noProof/>
        </w:rPr>
        <w:t xml:space="preserve">През 2019 г. Европейската комисия отбеляза </w:t>
      </w:r>
      <w:r>
        <w:rPr>
          <w:rFonts w:ascii="Times New Roman" w:hAnsi="Times New Roman"/>
          <w:b/>
          <w:bCs/>
          <w:iCs/>
          <w:noProof/>
        </w:rPr>
        <w:t>20-годишнината на политиката на ЕС за равенство между половете в областта на научните изследвания и иновациите</w:t>
      </w:r>
      <w:r>
        <w:rPr>
          <w:rFonts w:ascii="Times New Roman" w:hAnsi="Times New Roman"/>
          <w:bCs/>
          <w:iCs/>
          <w:noProof/>
        </w:rPr>
        <w:t xml:space="preserve">. Във връзка с това през цялата 2019 г. бяха организирани действия и събития за разработване на препоръки за политиката по отношение на Европейското научноизследователско пространство (ЕНП). Те бяха насочени към създателите на политики на европейско и национално равнище, свързани с ЕНП организации на заинтересованите страни и специалисти, работещи в областта на равенството между половете, общността от новатори и гражданите. Резултатите включваха публикуването на доклада </w:t>
      </w:r>
      <w:hyperlink r:id="rId32" w:history="1">
        <w:r>
          <w:rPr>
            <w:rStyle w:val="Hyperlink"/>
            <w:rFonts w:ascii="Times New Roman" w:hAnsi="Times New Roman"/>
            <w:bCs/>
            <w:iCs/>
            <w:noProof/>
            <w:color w:val="auto"/>
          </w:rPr>
          <w:t>Личности жени (She Figures) за 2018 г.</w:t>
        </w:r>
      </w:hyperlink>
      <w:r>
        <w:rPr>
          <w:rFonts w:ascii="Times New Roman" w:hAnsi="Times New Roman"/>
          <w:noProof/>
          <w:vertAlign w:val="superscript"/>
        </w:rPr>
        <w:t xml:space="preserve"> </w:t>
      </w:r>
      <w:r>
        <w:rPr>
          <w:rFonts w:ascii="Times New Roman" w:hAnsi="Times New Roman"/>
          <w:bCs/>
          <w:iCs/>
          <w:noProof/>
        </w:rPr>
        <w:t xml:space="preserve">през март 2019 г., наградата на ЕС за жени новатори за 2019 г. през май и нови проекти за изпълнение на плановете за равенство между половете и за анализ на неравнопоставеността между половете и предубежденията по отношение на пола при предоставяне на безвъзмездни средства. </w:t>
      </w:r>
    </w:p>
    <w:p>
      <w:pPr>
        <w:jc w:val="both"/>
        <w:rPr>
          <w:rFonts w:ascii="Times New Roman" w:hAnsi="Times New Roman" w:cs="Times New Roman"/>
          <w:noProof/>
        </w:rPr>
      </w:pPr>
      <w:r>
        <w:rPr>
          <w:rFonts w:ascii="Times New Roman" w:hAnsi="Times New Roman"/>
          <w:b/>
          <w:bCs/>
          <w:noProof/>
        </w:rPr>
        <w:t>Действията „Мария Склодовска-Кюри“</w:t>
      </w:r>
      <w:r>
        <w:rPr>
          <w:rFonts w:ascii="Times New Roman" w:hAnsi="Times New Roman"/>
          <w:noProof/>
        </w:rPr>
        <w:t xml:space="preserve"> са пример за най-добра практика в областта на подкрепата за жените в научните изследвания и стимулирането на равенството на половете. Действията „Мария Склодовска-Кюри“ включват условия относно равновесието между професионалния и личния живот, които са привлекателни по-специално за жените, като по този начин допринасят за изключително високата степен на участие на жени изследователи в действията „Мария Склодовска-Кюри“ (41 % от всички подкрепени стипендианти).  </w:t>
      </w:r>
    </w:p>
    <w:p>
      <w:pPr>
        <w:jc w:val="both"/>
        <w:rPr>
          <w:rFonts w:ascii="Times New Roman" w:hAnsi="Times New Roman" w:cs="Times New Roman"/>
          <w:noProof/>
        </w:rPr>
      </w:pPr>
      <w:r>
        <w:rPr>
          <w:rFonts w:ascii="Times New Roman" w:hAnsi="Times New Roman"/>
          <w:noProof/>
        </w:rPr>
        <w:t xml:space="preserve">През 2019 г. Комисията публикува два политически документа: </w:t>
      </w:r>
      <w:hyperlink r:id="rId33" w:history="1">
        <w:r>
          <w:rPr>
            <w:rStyle w:val="Hyperlink"/>
            <w:rFonts w:ascii="Times New Roman" w:hAnsi="Times New Roman"/>
            <w:noProof/>
            <w:color w:val="auto"/>
          </w:rPr>
          <w:t>Преглед на политиката в подкрепа на демокрацията</w:t>
        </w:r>
      </w:hyperlink>
      <w:r>
        <w:rPr>
          <w:rFonts w:ascii="Times New Roman" w:hAnsi="Times New Roman"/>
          <w:noProof/>
        </w:rPr>
        <w:t xml:space="preserve">, в който са представени резултатите от проучване например на избирателните тенденции, политическите неравенства и поляризация, и </w:t>
      </w:r>
      <w:hyperlink r:id="rId34" w:history="1">
        <w:r>
          <w:rPr>
            <w:rStyle w:val="Hyperlink"/>
            <w:rFonts w:ascii="Times New Roman" w:hAnsi="Times New Roman"/>
            <w:noProof/>
            <w:color w:val="auto"/>
          </w:rPr>
          <w:t>Преглед относно гражданството</w:t>
        </w:r>
      </w:hyperlink>
      <w:r>
        <w:rPr>
          <w:rFonts w:ascii="Times New Roman" w:hAnsi="Times New Roman"/>
          <w:noProof/>
        </w:rPr>
        <w:t xml:space="preserve">, в който са представени констатациите от проучване относно развитията по отношение на гражданството на Съюза и перспективите за бъдещето му. </w:t>
      </w:r>
    </w:p>
    <w:p>
      <w:pPr>
        <w:jc w:val="both"/>
        <w:rPr>
          <w:rFonts w:ascii="Times New Roman" w:hAnsi="Times New Roman" w:cs="Times New Roman"/>
          <w:noProof/>
          <w:u w:val="single"/>
        </w:rPr>
      </w:pPr>
      <w:r>
        <w:rPr>
          <w:rFonts w:ascii="Times New Roman" w:hAnsi="Times New Roman"/>
          <w:noProof/>
          <w:u w:val="single"/>
        </w:rPr>
        <w:t xml:space="preserve">Просперитет </w:t>
      </w:r>
    </w:p>
    <w:p>
      <w:pPr>
        <w:jc w:val="both"/>
        <w:rPr>
          <w:rFonts w:ascii="Times New Roman" w:hAnsi="Times New Roman" w:cs="Times New Roman"/>
          <w:noProof/>
        </w:rPr>
      </w:pPr>
      <w:r>
        <w:rPr>
          <w:rFonts w:ascii="Times New Roman" w:hAnsi="Times New Roman"/>
          <w:noProof/>
        </w:rPr>
        <w:t>В „</w:t>
      </w:r>
      <w:r>
        <w:rPr>
          <w:rFonts w:ascii="Times New Roman" w:hAnsi="Times New Roman"/>
          <w:b/>
          <w:noProof/>
        </w:rPr>
        <w:t>Сравнителния анализ на инвестициите в научноизследователска и развойна дейност в промишлеността в ЕС“</w:t>
      </w:r>
      <w:r>
        <w:rPr>
          <w:rFonts w:ascii="Times New Roman" w:hAnsi="Times New Roman"/>
          <w:noProof/>
        </w:rPr>
        <w:t xml:space="preserve"> от 2019 г. са представени основните промени в показателите за научноизследователската и развойната дейност, както и икономическите показатели на дружествата през последната година и техните резултати през последните 10 години. Той включва и анализи въз основа на патенти с цел допълнително да бъде отчетена ефективността на сектора на медицинските продукти и дейността на дружествата от сравнителния анализ в областта на екологосъобразната технология. </w:t>
      </w:r>
    </w:p>
    <w:p>
      <w:pPr>
        <w:jc w:val="both"/>
        <w:rPr>
          <w:rFonts w:ascii="Times New Roman" w:hAnsi="Times New Roman" w:cs="Times New Roman"/>
          <w:noProof/>
        </w:rPr>
      </w:pPr>
      <w:r>
        <w:rPr>
          <w:rFonts w:ascii="Times New Roman" w:hAnsi="Times New Roman"/>
          <w:noProof/>
        </w:rPr>
        <w:t xml:space="preserve">Като част от разработването на </w:t>
      </w:r>
      <w:r>
        <w:rPr>
          <w:rFonts w:ascii="Times New Roman" w:hAnsi="Times New Roman"/>
          <w:b/>
          <w:noProof/>
        </w:rPr>
        <w:t>концепцията за експериментална платформа за отворени иновации</w:t>
      </w:r>
      <w:r>
        <w:rPr>
          <w:rFonts w:ascii="Times New Roman" w:hAnsi="Times New Roman"/>
          <w:noProof/>
        </w:rPr>
        <w:t xml:space="preserve">, улесняваща предлагането от МСП и новаторите на нови продукти на пазара, през май 2019 г. беше публикуван </w:t>
      </w:r>
      <w:hyperlink r:id="rId35" w:history="1">
        <w:r>
          <w:rPr>
            <w:rStyle w:val="Hyperlink"/>
            <w:rFonts w:ascii="Times New Roman" w:hAnsi="Times New Roman"/>
            <w:noProof/>
            <w:color w:val="auto"/>
          </w:rPr>
          <w:t>работен документ на службите на Комисията относно технологичните инфраструктури</w:t>
        </w:r>
      </w:hyperlink>
      <w:r>
        <w:rPr>
          <w:noProof/>
        </w:rPr>
        <w:t>.</w:t>
      </w:r>
      <w:r>
        <w:rPr>
          <w:rFonts w:ascii="Times New Roman" w:hAnsi="Times New Roman"/>
          <w:noProof/>
        </w:rPr>
        <w:t xml:space="preserve"> Концепцията беше популяризирана чрез „Обиколката за стимулиране на иновациите“, включваща събития за разпространение на информация в четири държави, предвидени за разширяване на участието (Словения, Естония, Румъния и Чехия).</w:t>
      </w:r>
    </w:p>
    <w:p>
      <w:pPr>
        <w:jc w:val="both"/>
        <w:rPr>
          <w:rFonts w:ascii="Times New Roman" w:hAnsi="Times New Roman" w:cs="Times New Roman"/>
          <w:noProof/>
        </w:rPr>
      </w:pPr>
      <w:r>
        <w:rPr>
          <w:rFonts w:ascii="Times New Roman" w:hAnsi="Times New Roman"/>
          <w:noProof/>
        </w:rPr>
        <w:t xml:space="preserve">Като главна стъпка в посока превръщането на Европа във водещ регион за изчисления със суперкомпютър </w:t>
      </w:r>
      <w:r>
        <w:rPr>
          <w:rFonts w:ascii="Times New Roman" w:hAnsi="Times New Roman"/>
          <w:b/>
          <w:noProof/>
        </w:rPr>
        <w:t>Съвместното предприятие за европейски високопроизводителни изчислителни технологии</w:t>
      </w:r>
      <w:r>
        <w:rPr>
          <w:rFonts w:ascii="Times New Roman" w:hAnsi="Times New Roman"/>
          <w:noProof/>
        </w:rPr>
        <w:t xml:space="preserve"> (</w:t>
      </w:r>
      <w:hyperlink r:id="rId36" w:history="1">
        <w:r>
          <w:rPr>
            <w:rStyle w:val="Hyperlink"/>
            <w:rFonts w:ascii="Times New Roman" w:hAnsi="Times New Roman"/>
            <w:noProof/>
            <w:color w:val="auto"/>
          </w:rPr>
          <w:t>EuroHPC</w:t>
        </w:r>
      </w:hyperlink>
      <w:r>
        <w:rPr>
          <w:rFonts w:ascii="Times New Roman" w:hAnsi="Times New Roman"/>
          <w:noProof/>
        </w:rPr>
        <w:t xml:space="preserve">) избра осем обекта за центрове за изчисления със суперкомпютър. Тези центрове ще подкрепят разработването на основни приложения в области като персонализираната медицина, разработката на лекарства и материали, биоинженерството, метеорологичните прогнози и изменението на климата. </w:t>
      </w:r>
    </w:p>
    <w:p>
      <w:pPr>
        <w:jc w:val="both"/>
        <w:rPr>
          <w:rFonts w:ascii="Times New Roman" w:hAnsi="Times New Roman" w:cs="Times New Roman"/>
          <w:noProof/>
        </w:rPr>
      </w:pPr>
      <w:r>
        <w:rPr>
          <w:rFonts w:ascii="Times New Roman" w:hAnsi="Times New Roman"/>
          <w:noProof/>
        </w:rPr>
        <w:t xml:space="preserve">Комисията улеснява и укрепва сътрудничеството в областта на </w:t>
      </w:r>
      <w:r>
        <w:rPr>
          <w:rFonts w:ascii="Times New Roman" w:hAnsi="Times New Roman"/>
          <w:b/>
          <w:noProof/>
        </w:rPr>
        <w:t>изкуствения интелект (ИИ)</w:t>
      </w:r>
      <w:r>
        <w:rPr>
          <w:rFonts w:ascii="Times New Roman" w:hAnsi="Times New Roman"/>
          <w:noProof/>
        </w:rPr>
        <w:t xml:space="preserve"> в целия ЕС, за да повиши конкурентоспособността му и да гарантира доверието в него въз основа на ценностите на ЕС. Във връзка със стратегията „Изкуствен интелект за Европа“ през април 2019 г. </w:t>
      </w:r>
      <w:hyperlink r:id="rId37" w:history="1">
        <w:r>
          <w:rPr>
            <w:rStyle w:val="Hyperlink"/>
            <w:rFonts w:ascii="Times New Roman" w:hAnsi="Times New Roman"/>
            <w:noProof/>
            <w:color w:val="auto"/>
          </w:rPr>
          <w:t>експертната група на високо равнище по въпросите на изкуствения интелект</w:t>
        </w:r>
      </w:hyperlink>
      <w:r>
        <w:rPr>
          <w:rFonts w:ascii="Times New Roman" w:hAnsi="Times New Roman"/>
          <w:noProof/>
        </w:rPr>
        <w:t xml:space="preserve"> представи </w:t>
      </w:r>
      <w:hyperlink r:id="rId38" w:history="1">
        <w:r>
          <w:rPr>
            <w:rStyle w:val="Hyperlink"/>
            <w:rFonts w:ascii="Times New Roman" w:hAnsi="Times New Roman"/>
            <w:noProof/>
            <w:color w:val="auto"/>
          </w:rPr>
          <w:t>Етични насоки за надежден изкуствен интелект</w:t>
        </w:r>
      </w:hyperlink>
      <w:r>
        <w:rPr>
          <w:rFonts w:ascii="Times New Roman" w:hAnsi="Times New Roman"/>
          <w:noProof/>
        </w:rPr>
        <w:t>. Освен това Комисията обяви пилотен проект за прецизиране на списъка за оценка с цел организациите да бъдат подпомогнати при изпълнението на тези насоки.</w:t>
      </w:r>
    </w:p>
    <w:p>
      <w:pPr>
        <w:jc w:val="both"/>
        <w:rPr>
          <w:rFonts w:ascii="Times New Roman" w:hAnsi="Times New Roman" w:cs="Times New Roman"/>
          <w:noProof/>
        </w:rPr>
      </w:pPr>
      <w:r>
        <w:rPr>
          <w:rFonts w:ascii="Times New Roman" w:hAnsi="Times New Roman"/>
          <w:noProof/>
        </w:rPr>
        <w:t xml:space="preserve">Стратегическата група на високо равнище за индустриалните технологии публикува своя </w:t>
      </w:r>
      <w:hyperlink r:id="rId39" w:history="1">
        <w:r>
          <w:rPr>
            <w:rStyle w:val="Hyperlink"/>
            <w:rFonts w:ascii="Times New Roman" w:hAnsi="Times New Roman"/>
            <w:noProof/>
            <w:color w:val="auto"/>
          </w:rPr>
          <w:t>подход на политиката към главните базови технологии (ГБТ)</w:t>
        </w:r>
      </w:hyperlink>
      <w:r>
        <w:rPr>
          <w:rFonts w:ascii="Times New Roman" w:hAnsi="Times New Roman"/>
          <w:noProof/>
        </w:rPr>
        <w:t xml:space="preserve">, като утвърди шестте ГБТ, установени през 2009 г., и предложи включването на две нови ГБТ: изкуствен интелект; и цифрова сигурност и свързаност. </w:t>
      </w:r>
    </w:p>
    <w:p>
      <w:pPr>
        <w:jc w:val="both"/>
        <w:rPr>
          <w:rFonts w:ascii="Times New Roman" w:hAnsi="Times New Roman" w:cs="Times New Roman"/>
          <w:b/>
          <w:noProof/>
          <w:u w:val="single"/>
        </w:rPr>
      </w:pPr>
      <w:r>
        <w:rPr>
          <w:rFonts w:ascii="Times New Roman" w:hAnsi="Times New Roman"/>
          <w:noProof/>
          <w:u w:val="single"/>
        </w:rPr>
        <w:t>Международно сътрудничество</w:t>
      </w:r>
      <w:r>
        <w:rPr>
          <w:rFonts w:ascii="Times New Roman" w:hAnsi="Times New Roman"/>
          <w:b/>
          <w:noProof/>
          <w:u w:val="single"/>
        </w:rPr>
        <w:t xml:space="preserve"> </w:t>
      </w:r>
    </w:p>
    <w:p>
      <w:pPr>
        <w:jc w:val="both"/>
        <w:rPr>
          <w:rFonts w:ascii="Times New Roman" w:hAnsi="Times New Roman" w:cs="Times New Roman"/>
          <w:noProof/>
        </w:rPr>
      </w:pPr>
      <w:r>
        <w:rPr>
          <w:rFonts w:ascii="Times New Roman" w:hAnsi="Times New Roman"/>
          <w:noProof/>
        </w:rPr>
        <w:t>Международното сътрудничество на ЕС в областта на научните изследвания и иновациите продължи да има ключово значение за запазването на влиятелната позиция на ЕС като световен лидер в областта и за поддържане на конкурентоспособността на ЕС. През 2019 г. продължи работата за стимулиране на сътрудничеството със стратегически партньори и региони в съответствие с интересите на ЕС и въз основа на взаимни ползи. В този контекст Комисията започна задълбочен анализ за обновяване на стратегията за международно сътрудничество в областта на научните изследвания и иновациите с цел по-добро отразяване на геополитическата обстановка и подпомагане на реализирането на нейните политически приоритети. Анализът беше извършен успоредно с няколко инициативи и събития, организирани с трети държави и региони.</w:t>
      </w:r>
    </w:p>
    <w:p>
      <w:pPr>
        <w:jc w:val="both"/>
        <w:rPr>
          <w:rFonts w:ascii="Times New Roman" w:hAnsi="Times New Roman" w:cs="Times New Roman"/>
          <w:noProof/>
        </w:rPr>
      </w:pPr>
      <w:r>
        <w:rPr>
          <w:rFonts w:ascii="Times New Roman" w:hAnsi="Times New Roman"/>
          <w:noProof/>
        </w:rPr>
        <w:t>Бяха организирани важни срещи с асоциираните към „Хоризонт 2020“ държави, като например Министерската среща на ръководната платформа за научни изследвания и иновации за Западните Балкани, Годишната конференция за научни изследвания и иновации и Експертната група на Източното партньорство за научни изследвания и иновации. В Тел Авив беше създаден център на Европейския институт за иновации и технологии (EIT) като връзка между европейските и израелските новатори. Подготовката на процеса за асоцииране на трети държави към „Хоризонт Европа“ беше осъществена чрез разработването на ключови елементи на бъдещото споразумение за асоцииране.</w:t>
      </w:r>
    </w:p>
    <w:p>
      <w:pPr>
        <w:jc w:val="both"/>
        <w:rPr>
          <w:rFonts w:ascii="Times New Roman" w:hAnsi="Times New Roman" w:cs="Times New Roman"/>
          <w:noProof/>
        </w:rPr>
      </w:pPr>
      <w:r>
        <w:rPr>
          <w:rFonts w:ascii="Times New Roman" w:hAnsi="Times New Roman"/>
          <w:noProof/>
        </w:rPr>
        <w:t>След Четвъртия диалог на високо равнище между ЕС и Китай за сътрудничество в областта на иновациите Комисията предприе разработването на съвместна пътна карта за сътрудничество в областта на научните изследвания и иновациите. Тя трябва да бъде завършена навреме за следващия диалог през 2020 г.</w:t>
      </w:r>
    </w:p>
    <w:p>
      <w:pPr>
        <w:jc w:val="both"/>
        <w:rPr>
          <w:rFonts w:ascii="Times New Roman" w:hAnsi="Times New Roman" w:cs="Times New Roman"/>
          <w:noProof/>
          <w:u w:val="single"/>
        </w:rPr>
      </w:pPr>
      <w:r>
        <w:rPr>
          <w:rFonts w:ascii="Times New Roman" w:hAnsi="Times New Roman"/>
          <w:noProof/>
        </w:rPr>
        <w:t xml:space="preserve">По отношение на сътрудничеството с Африка започна Партньорството между Африка и Европа в областта на иновациите с цел постигане на съгласуваност между центровете, ускорителните схеми и инкубаторите за иновации в ЕС и Африканския съюз. Инициативата е горещо приветствана от общностите на знание и иновации, като показателни за това са многобройните предимно официални партньорства между инкубатори и технологични центрове от ЕС и Африка, договорени в рамките на партньорството. </w:t>
      </w:r>
      <w:r>
        <w:rPr>
          <w:rFonts w:ascii="Times New Roman" w:hAnsi="Times New Roman"/>
          <w:noProof/>
          <w:u w:val="single"/>
        </w:rPr>
        <w:t xml:space="preserve">Отворена наука </w:t>
      </w:r>
    </w:p>
    <w:p>
      <w:pPr>
        <w:jc w:val="both"/>
        <w:rPr>
          <w:rFonts w:ascii="Times New Roman" w:hAnsi="Times New Roman" w:cs="Times New Roman"/>
          <w:noProof/>
        </w:rPr>
      </w:pPr>
      <w:r>
        <w:rPr>
          <w:rFonts w:ascii="Times New Roman" w:hAnsi="Times New Roman"/>
          <w:noProof/>
        </w:rPr>
        <w:t xml:space="preserve">През 2019 г. Комисията организира официалното управление на </w:t>
      </w:r>
      <w:hyperlink r:id="rId40" w:history="1">
        <w:r>
          <w:rPr>
            <w:rStyle w:val="Hyperlink"/>
            <w:rFonts w:ascii="Times New Roman" w:hAnsi="Times New Roman"/>
            <w:noProof/>
            <w:color w:val="auto"/>
          </w:rPr>
          <w:t>Европейския облак за отворена наука</w:t>
        </w:r>
      </w:hyperlink>
      <w:r>
        <w:rPr>
          <w:rFonts w:ascii="Times New Roman" w:hAnsi="Times New Roman"/>
          <w:noProof/>
        </w:rPr>
        <w:t xml:space="preserve"> (EOSC) с цел направляване на първоначалния етап (2019—2020 г.) на изпълнение.</w:t>
      </w:r>
    </w:p>
    <w:p>
      <w:pPr>
        <w:jc w:val="both"/>
        <w:rPr>
          <w:rFonts w:ascii="Times New Roman" w:hAnsi="Times New Roman" w:cs="Times New Roman"/>
          <w:noProof/>
        </w:rPr>
      </w:pPr>
      <w:r>
        <w:rPr>
          <w:rFonts w:ascii="Times New Roman" w:hAnsi="Times New Roman"/>
          <w:noProof/>
        </w:rPr>
        <w:t xml:space="preserve">През 2019 г. бяха приети: i) </w:t>
      </w:r>
      <w:hyperlink r:id="rId41" w:history="1">
        <w:r>
          <w:rPr>
            <w:rStyle w:val="Hyperlink"/>
            <w:rFonts w:ascii="Times New Roman" w:hAnsi="Times New Roman"/>
            <w:noProof/>
            <w:color w:val="auto"/>
          </w:rPr>
          <w:t>Директивата относно отворените данни и повторното използване на информацията от обществения сектор</w:t>
        </w:r>
      </w:hyperlink>
      <w:r>
        <w:rPr>
          <w:rFonts w:ascii="Times New Roman" w:hAnsi="Times New Roman"/>
          <w:noProof/>
        </w:rPr>
        <w:t xml:space="preserve">, която беше разширена, така че да включва и данните от научни изследвания и ii) </w:t>
      </w:r>
      <w:hyperlink r:id="rId42" w:history="1">
        <w:r>
          <w:rPr>
            <w:rStyle w:val="Hyperlink"/>
            <w:rFonts w:ascii="Times New Roman" w:hAnsi="Times New Roman"/>
            <w:noProof/>
            <w:color w:val="auto"/>
          </w:rPr>
          <w:t>Директивата относно авторското право и сродните му права в цифровия единен пазар</w:t>
        </w:r>
      </w:hyperlink>
      <w:r>
        <w:rPr>
          <w:rFonts w:ascii="Times New Roman" w:hAnsi="Times New Roman"/>
          <w:noProof/>
        </w:rPr>
        <w:t>, в която се предвиждат благоприятни за целите на научните изследвания правила за извличане на информация от текст и данни.</w:t>
      </w:r>
    </w:p>
    <w:p>
      <w:pPr>
        <w:jc w:val="both"/>
        <w:rPr>
          <w:rFonts w:ascii="Times New Roman" w:hAnsi="Times New Roman" w:cs="Times New Roman"/>
          <w:noProof/>
        </w:rPr>
      </w:pPr>
      <w:r>
        <w:rPr>
          <w:rFonts w:ascii="Times New Roman" w:hAnsi="Times New Roman"/>
          <w:noProof/>
        </w:rPr>
        <w:t xml:space="preserve">През 2019 г. </w:t>
      </w:r>
      <w:r>
        <w:rPr>
          <w:rFonts w:ascii="Times New Roman" w:hAnsi="Times New Roman"/>
          <w:b/>
          <w:noProof/>
        </w:rPr>
        <w:t xml:space="preserve">платформата на политиката за отворена наука </w:t>
      </w:r>
      <w:r>
        <w:rPr>
          <w:rFonts w:ascii="Times New Roman" w:hAnsi="Times New Roman"/>
          <w:noProof/>
        </w:rPr>
        <w:t xml:space="preserve">се съсредоточи върху системата за възнаграждения и стимули, показателите за отворена наука и гражданската наука. В рамките на платформата беше публикуван </w:t>
      </w:r>
      <w:hyperlink r:id="rId43" w:history="1">
        <w:r>
          <w:rPr>
            <w:rStyle w:val="Hyperlink"/>
            <w:rFonts w:ascii="Times New Roman" w:hAnsi="Times New Roman"/>
            <w:noProof/>
            <w:color w:val="auto"/>
          </w:rPr>
          <w:t>доклад</w:t>
        </w:r>
      </w:hyperlink>
      <w:r>
        <w:rPr>
          <w:noProof/>
        </w:rPr>
        <w:t>,</w:t>
      </w:r>
      <w:r>
        <w:rPr>
          <w:rFonts w:ascii="Times New Roman" w:hAnsi="Times New Roman"/>
          <w:noProof/>
        </w:rPr>
        <w:t xml:space="preserve"> в който се препоръчват отворени експериментални пилотни проекти и по-силна насоченост към постигане на по-качествени оценки по отношение на научните изследвания.</w:t>
      </w:r>
    </w:p>
    <w:p>
      <w:pPr>
        <w:jc w:val="both"/>
        <w:rPr>
          <w:rFonts w:ascii="Times New Roman" w:hAnsi="Times New Roman" w:cs="Times New Roman"/>
          <w:noProof/>
        </w:rPr>
      </w:pPr>
      <w:r>
        <w:rPr>
          <w:rFonts w:ascii="Times New Roman" w:hAnsi="Times New Roman"/>
          <w:b/>
          <w:i/>
          <w:noProof/>
        </w:rPr>
        <w:t>3.3 Партньорство с държавите членки</w:t>
      </w:r>
    </w:p>
    <w:p>
      <w:pPr>
        <w:jc w:val="both"/>
        <w:rPr>
          <w:rFonts w:ascii="Times New Roman" w:hAnsi="Times New Roman" w:cs="Times New Roman"/>
          <w:noProof/>
        </w:rPr>
      </w:pPr>
      <w:r>
        <w:rPr>
          <w:rFonts w:ascii="Times New Roman" w:hAnsi="Times New Roman"/>
          <w:noProof/>
        </w:rPr>
        <w:t>През февруари 2019 г. Комисията публикува</w:t>
      </w:r>
      <w:hyperlink r:id="rId44" w:history="1">
        <w:r>
          <w:rPr>
            <w:rStyle w:val="Hyperlink"/>
            <w:rFonts w:ascii="Times New Roman" w:hAnsi="Times New Roman"/>
            <w:b/>
            <w:noProof/>
            <w:color w:val="auto"/>
          </w:rPr>
          <w:t xml:space="preserve"> </w:t>
        </w:r>
        <w:r>
          <w:rPr>
            <w:rStyle w:val="Hyperlink"/>
            <w:rFonts w:ascii="Times New Roman" w:hAnsi="Times New Roman"/>
            <w:noProof/>
            <w:color w:val="auto"/>
          </w:rPr>
          <w:t>доклад за напредъка на европейското научноизследователско пространство за 2018 г.</w:t>
        </w:r>
      </w:hyperlink>
      <w:r>
        <w:rPr>
          <w:rFonts w:ascii="Times New Roman" w:hAnsi="Times New Roman"/>
          <w:b/>
          <w:noProof/>
        </w:rPr>
        <w:t xml:space="preserve">, </w:t>
      </w:r>
      <w:r>
        <w:rPr>
          <w:rFonts w:ascii="Times New Roman" w:hAnsi="Times New Roman"/>
          <w:noProof/>
        </w:rPr>
        <w:t xml:space="preserve">в който бяха оценени текущото състояние на ЕНП и напредъкът на ЕНП при изпълнението в периода 2016—2018 г. През юни 2019 г. държавите членки и Комисията взеха участие в работата на </w:t>
      </w:r>
      <w:r>
        <w:rPr>
          <w:rFonts w:ascii="Times New Roman" w:hAnsi="Times New Roman"/>
          <w:i/>
          <w:iCs/>
          <w:noProof/>
        </w:rPr>
        <w:t>ad hoc</w:t>
      </w:r>
      <w:r>
        <w:rPr>
          <w:rFonts w:ascii="Times New Roman" w:hAnsi="Times New Roman"/>
          <w:noProof/>
        </w:rPr>
        <w:t xml:space="preserve"> група, организирана от Комитета за европейското научноизследователско пространство и иновациите, с цел предоставяне на консултации относно бъдещето и обновеното развитие на ЕНП. Окончателният доклад на групата беше приет през декември 2019 г. като работен документ на Съвета.</w:t>
      </w:r>
    </w:p>
    <w:p>
      <w:pPr>
        <w:jc w:val="both"/>
        <w:rPr>
          <w:rFonts w:ascii="Times New Roman" w:hAnsi="Times New Roman" w:cs="Times New Roman"/>
          <w:noProof/>
        </w:rPr>
      </w:pPr>
      <w:r>
        <w:rPr>
          <w:rFonts w:ascii="Times New Roman" w:hAnsi="Times New Roman"/>
          <w:noProof/>
        </w:rPr>
        <w:t>През есента на 2019 г. Комисията започна работа с университети, академични среди и държави членки с цел развитие на измерението за научни изследвания и иновации със споделена визия за бъдещето на университетите, допълвайки текущата работа по измерението за образованието. Това ще представлява принос за съобщението на Комисията относно обновеното ЕНП и ще укрепи връзките с европейското пространство за образование (вж. глава 7).</w:t>
      </w:r>
    </w:p>
    <w:p>
      <w:pPr>
        <w:jc w:val="both"/>
        <w:rPr>
          <w:rFonts w:ascii="Times New Roman" w:hAnsi="Times New Roman" w:cs="Times New Roman"/>
          <w:noProof/>
        </w:rPr>
      </w:pPr>
      <w:r>
        <w:rPr>
          <w:rFonts w:ascii="Times New Roman" w:hAnsi="Times New Roman"/>
          <w:noProof/>
        </w:rPr>
        <w:t xml:space="preserve">Като част от цикъла на икономическите политики на </w:t>
      </w:r>
      <w:r>
        <w:rPr>
          <w:rFonts w:ascii="Times New Roman" w:hAnsi="Times New Roman"/>
          <w:b/>
          <w:noProof/>
        </w:rPr>
        <w:t>европейския семестър</w:t>
      </w:r>
      <w:r>
        <w:rPr>
          <w:rFonts w:ascii="Times New Roman" w:hAnsi="Times New Roman"/>
          <w:noProof/>
        </w:rPr>
        <w:t xml:space="preserve"> Комисията имаше принос в </w:t>
      </w:r>
      <w:hyperlink r:id="rId45" w:history="1">
        <w:r>
          <w:rPr>
            <w:rStyle w:val="Hyperlink"/>
            <w:rFonts w:ascii="Times New Roman" w:hAnsi="Times New Roman"/>
            <w:noProof/>
            <w:color w:val="auto"/>
          </w:rPr>
          <w:t>докладите на държавите</w:t>
        </w:r>
      </w:hyperlink>
      <w:r>
        <w:rPr>
          <w:rFonts w:ascii="Times New Roman" w:hAnsi="Times New Roman"/>
          <w:noProof/>
        </w:rPr>
        <w:t xml:space="preserve"> за 2019 г. по отношение на всяка държава членка. През 2019 г. за първи път всички държави членки на ЕС получиха </w:t>
      </w:r>
      <w:hyperlink r:id="rId46" w:history="1">
        <w:r>
          <w:rPr>
            <w:rStyle w:val="Hyperlink"/>
            <w:rFonts w:ascii="Times New Roman" w:hAnsi="Times New Roman"/>
            <w:noProof/>
            <w:color w:val="auto"/>
          </w:rPr>
          <w:t>специфична за всяка държава препоръка</w:t>
        </w:r>
      </w:hyperlink>
      <w:r>
        <w:rPr>
          <w:rFonts w:ascii="Times New Roman" w:hAnsi="Times New Roman"/>
          <w:noProof/>
        </w:rPr>
        <w:t>, в която се призовава за насочване на инвестиции към научните изследвания и иновациите</w:t>
      </w:r>
      <w:r>
        <w:rPr>
          <w:rFonts w:ascii="Times New Roman" w:hAnsi="Times New Roman" w:cs="Times New Roman"/>
          <w:noProof/>
          <w:vertAlign w:val="superscript"/>
        </w:rPr>
        <w:footnoteReference w:id="2"/>
      </w:r>
      <w:r>
        <w:rPr>
          <w:rFonts w:ascii="Times New Roman" w:hAnsi="Times New Roman"/>
          <w:noProof/>
        </w:rPr>
        <w:t xml:space="preserve">. Няколко държави членки получиха и специфични за всяка държава препоръки, в които се призовава за реформи на политиката с цел повишаване на качеството и ефективността на техните национални системи за научни изследвания и иновации. В пакета на </w:t>
      </w:r>
      <w:r>
        <w:rPr>
          <w:rFonts w:ascii="Times New Roman" w:hAnsi="Times New Roman"/>
          <w:b/>
          <w:noProof/>
        </w:rPr>
        <w:t>годишния обзор на устойчивия растеж</w:t>
      </w:r>
      <w:r>
        <w:rPr>
          <w:rFonts w:ascii="Times New Roman" w:hAnsi="Times New Roman"/>
          <w:noProof/>
        </w:rPr>
        <w:t>, публикуван през декември 2019 г., се изтъква ролята на научните изследвания и иновациите като главен благоприятстващ и стимулиращ фактор за превръщането на ЕС в устойчива икономика.</w:t>
      </w:r>
      <w:r>
        <w:rPr>
          <w:rFonts w:ascii="Times New Roman" w:hAnsi="Times New Roman"/>
          <w:i/>
          <w:noProof/>
        </w:rPr>
        <w:t xml:space="preserve"> </w:t>
      </w:r>
    </w:p>
    <w:p>
      <w:pPr>
        <w:jc w:val="both"/>
        <w:rPr>
          <w:rFonts w:ascii="Times New Roman" w:hAnsi="Times New Roman" w:cs="Times New Roman"/>
          <w:i/>
          <w:noProof/>
        </w:rPr>
      </w:pPr>
      <w:r>
        <w:rPr>
          <w:rFonts w:ascii="Times New Roman" w:hAnsi="Times New Roman"/>
          <w:b/>
          <w:bCs/>
          <w:noProof/>
        </w:rPr>
        <w:t>Механизмът за подкрепа в областта на политиките</w:t>
      </w:r>
      <w:r>
        <w:rPr>
          <w:rFonts w:ascii="Times New Roman" w:hAnsi="Times New Roman"/>
          <w:bCs/>
          <w:noProof/>
        </w:rPr>
        <w:t xml:space="preserve"> беше от помощ за много държави членки, например с партньорски оценки на системите на Естония и Дания в областта на научните изследвания и иновациите, специфична подкрепа за Кипър, Латвия и Малта, както и събития за взаимно учене по отношение на интегритета в научните изследвания и международното сътрудничество</w:t>
      </w:r>
      <w:r>
        <w:rPr>
          <w:rFonts w:ascii="Times New Roman" w:hAnsi="Times New Roman" w:cs="Times New Roman"/>
          <w:bCs/>
          <w:noProof/>
          <w:vertAlign w:val="superscript"/>
        </w:rPr>
        <w:footnoteReference w:id="3"/>
      </w:r>
      <w:r>
        <w:rPr>
          <w:rFonts w:ascii="Times New Roman" w:hAnsi="Times New Roman"/>
          <w:bCs/>
          <w:noProof/>
        </w:rPr>
        <w:t xml:space="preserve">.  Продължаващият </w:t>
      </w:r>
      <w:r>
        <w:rPr>
          <w:rFonts w:ascii="Times New Roman" w:hAnsi="Times New Roman"/>
          <w:b/>
          <w:bCs/>
          <w:noProof/>
        </w:rPr>
        <w:t>проект FORWARD</w:t>
      </w:r>
      <w:r>
        <w:rPr>
          <w:rFonts w:ascii="Times New Roman" w:hAnsi="Times New Roman"/>
          <w:bCs/>
          <w:noProof/>
        </w:rPr>
        <w:t xml:space="preserve"> е част от </w:t>
      </w:r>
      <w:r>
        <w:rPr>
          <w:rFonts w:ascii="Times New Roman" w:hAnsi="Times New Roman"/>
          <w:b/>
          <w:bCs/>
          <w:noProof/>
        </w:rPr>
        <w:t>новата стратегия на ЕС за най-отдалечените региони</w:t>
      </w:r>
      <w:r>
        <w:rPr>
          <w:rFonts w:ascii="Times New Roman" w:hAnsi="Times New Roman"/>
          <w:noProof/>
        </w:rPr>
        <w:t>.</w:t>
      </w:r>
    </w:p>
    <w:p>
      <w:pPr>
        <w:jc w:val="both"/>
        <w:rPr>
          <w:rFonts w:ascii="Times New Roman" w:hAnsi="Times New Roman" w:cs="Times New Roman"/>
          <w:noProof/>
        </w:rPr>
      </w:pPr>
      <w:r>
        <w:rPr>
          <w:rFonts w:ascii="Times New Roman" w:hAnsi="Times New Roman"/>
          <w:noProof/>
        </w:rPr>
        <w:t xml:space="preserve">Групата на </w:t>
      </w:r>
      <w:r>
        <w:rPr>
          <w:rFonts w:ascii="Times New Roman" w:hAnsi="Times New Roman"/>
          <w:b/>
          <w:noProof/>
        </w:rPr>
        <w:t>главните научни съветници</w:t>
      </w:r>
      <w:r>
        <w:rPr>
          <w:rFonts w:ascii="Times New Roman" w:hAnsi="Times New Roman"/>
          <w:noProof/>
        </w:rPr>
        <w:t xml:space="preserve"> предостави научни консултации относно </w:t>
      </w:r>
      <w:hyperlink r:id="rId47" w:history="1">
        <w:r>
          <w:rPr>
            <w:rStyle w:val="Hyperlink"/>
            <w:rFonts w:ascii="Times New Roman" w:hAnsi="Times New Roman"/>
            <w:noProof/>
            <w:color w:val="auto"/>
          </w:rPr>
          <w:t>рисковете от замърсяване с пластмасови микрочастици</w:t>
        </w:r>
      </w:hyperlink>
      <w:r>
        <w:rPr>
          <w:rFonts w:ascii="Times New Roman" w:hAnsi="Times New Roman"/>
          <w:noProof/>
        </w:rPr>
        <w:t xml:space="preserve"> и относно най-добрите </w:t>
      </w:r>
      <w:hyperlink r:id="rId48" w:history="1">
        <w:r>
          <w:rPr>
            <w:rStyle w:val="Hyperlink"/>
            <w:rFonts w:ascii="Times New Roman" w:hAnsi="Times New Roman"/>
            <w:noProof/>
            <w:color w:val="auto"/>
          </w:rPr>
          <w:t>практики в предоставянето на научни консултации</w:t>
        </w:r>
      </w:hyperlink>
      <w:r>
        <w:rPr>
          <w:rFonts w:ascii="Times New Roman" w:hAnsi="Times New Roman"/>
          <w:noProof/>
        </w:rPr>
        <w:t xml:space="preserve">. Въздействието от работата на съветниците е подробно представено в </w:t>
      </w:r>
      <w:hyperlink r:id="rId49" w:history="1">
        <w:r>
          <w:rPr>
            <w:rStyle w:val="Hyperlink"/>
            <w:rFonts w:ascii="Times New Roman" w:hAnsi="Times New Roman"/>
            <w:noProof/>
            <w:color w:val="auto"/>
          </w:rPr>
          <w:t>Доклада относно работата на групата на главните научни съветници за периода 2015—2019 г</w:t>
        </w:r>
      </w:hyperlink>
      <w:r>
        <w:rPr>
          <w:rFonts w:ascii="Times New Roman" w:hAnsi="Times New Roman"/>
          <w:noProof/>
        </w:rPr>
        <w:t xml:space="preserve">. </w:t>
      </w:r>
    </w:p>
    <w:p>
      <w:pPr>
        <w:jc w:val="both"/>
        <w:rPr>
          <w:rFonts w:ascii="Times New Roman" w:hAnsi="Times New Roman" w:cs="Times New Roman"/>
          <w:noProof/>
        </w:rPr>
      </w:pPr>
    </w:p>
    <w:p>
      <w:pPr>
        <w:jc w:val="both"/>
        <w:rPr>
          <w:rFonts w:ascii="Times New Roman" w:hAnsi="Times New Roman" w:cs="Times New Roman"/>
          <w:b/>
          <w:noProof/>
        </w:rPr>
      </w:pPr>
      <w:r>
        <w:rPr>
          <w:rFonts w:ascii="Times New Roman" w:hAnsi="Times New Roman"/>
          <w:b/>
          <w:noProof/>
        </w:rPr>
        <w:t>4.</w:t>
      </w:r>
      <w:r>
        <w:rPr>
          <w:rFonts w:ascii="Times New Roman" w:hAnsi="Times New Roman"/>
          <w:b/>
          <w:noProof/>
        </w:rPr>
        <w:tab/>
        <w:t>Изпълнение на „Хоризонт 2020“</w:t>
      </w:r>
    </w:p>
    <w:p>
      <w:pPr>
        <w:jc w:val="both"/>
        <w:rPr>
          <w:rFonts w:ascii="Times New Roman" w:hAnsi="Times New Roman" w:cs="Times New Roman"/>
          <w:noProof/>
        </w:rPr>
      </w:pPr>
      <w:r>
        <w:rPr>
          <w:rFonts w:ascii="Times New Roman" w:hAnsi="Times New Roman"/>
          <w:noProof/>
        </w:rPr>
        <w:t xml:space="preserve">Изпълнението на „Хоризонт 2020“ беше по график, като актуализации на работната програма за периода 2018—2020 г. бяха приети през март, юли и октомври 2019 г., а приемането на работната програма на Европейския научноизследователски съвет за 2020 г. беше през юли. </w:t>
      </w:r>
    </w:p>
    <w:p>
      <w:pPr>
        <w:jc w:val="both"/>
        <w:rPr>
          <w:rFonts w:ascii="Times New Roman" w:hAnsi="Times New Roman" w:cs="Times New Roman"/>
          <w:b/>
          <w:bCs/>
          <w:i/>
          <w:noProof/>
        </w:rPr>
      </w:pPr>
      <w:r>
        <w:rPr>
          <w:rFonts w:ascii="Times New Roman" w:hAnsi="Times New Roman"/>
          <w:b/>
          <w:bCs/>
          <w:i/>
          <w:noProof/>
        </w:rPr>
        <w:t xml:space="preserve">4.1     Отклик на поканите за представяне на предложения и други действия по работните програми </w:t>
      </w:r>
    </w:p>
    <w:p>
      <w:pPr>
        <w:jc w:val="both"/>
        <w:rPr>
          <w:rFonts w:ascii="Times New Roman" w:hAnsi="Times New Roman" w:cs="Times New Roman"/>
          <w:noProof/>
        </w:rPr>
      </w:pPr>
      <w:r>
        <w:rPr>
          <w:rFonts w:ascii="Times New Roman" w:hAnsi="Times New Roman"/>
          <w:noProof/>
        </w:rPr>
        <w:t>До края на 2019 г. изтекоха</w:t>
      </w:r>
      <w:r>
        <w:rPr>
          <w:rFonts w:ascii="Times New Roman" w:hAnsi="Times New Roman" w:cs="Times New Roman"/>
          <w:noProof/>
          <w:vertAlign w:val="superscript"/>
        </w:rPr>
        <w:footnoteReference w:id="4"/>
      </w:r>
      <w:r>
        <w:rPr>
          <w:rFonts w:ascii="Times New Roman" w:hAnsi="Times New Roman"/>
          <w:noProof/>
        </w:rPr>
        <w:t xml:space="preserve"> 815</w:t>
      </w:r>
      <w:r>
        <w:rPr>
          <w:rFonts w:ascii="Times New Roman" w:hAnsi="Times New Roman" w:cs="Times New Roman"/>
          <w:noProof/>
          <w:vertAlign w:val="superscript"/>
        </w:rPr>
        <w:footnoteReference w:id="5"/>
      </w:r>
      <w:r>
        <w:rPr>
          <w:rFonts w:ascii="Times New Roman" w:hAnsi="Times New Roman"/>
          <w:noProof/>
        </w:rPr>
        <w:t xml:space="preserve"> крайни срока на покани по „Хоризонт 2020“, като бяха представени общо 226 139 отговарящи на условията предложения, с които беше поискано финансово участие от ЕС в общ размер от 358,1 милиарда евро. От тях за финансиране бяха одобрени 27 251 предложения, като общият процент на успеваемост на отговарящите на условията предложения през първите 6 години достигна 12,05 %. До края на декември бяха подписани 27 124 споразумения за отпускане на безвъзмездни средства, като за тях беше отпуснато финансиране от бюджета на ЕС в размер на 49,54 милиарда евро.</w:t>
      </w:r>
    </w:p>
    <w:p>
      <w:pPr>
        <w:jc w:val="both"/>
        <w:rPr>
          <w:rFonts w:ascii="Times New Roman" w:hAnsi="Times New Roman" w:cs="Times New Roman"/>
          <w:noProof/>
        </w:rPr>
      </w:pPr>
      <w:r>
        <w:rPr>
          <w:rFonts w:ascii="Times New Roman" w:hAnsi="Times New Roman"/>
          <w:noProof/>
        </w:rPr>
        <w:t>През периода 2014—2019 г. участници в държавите членки получиха 90,9 % от финансирането, а останалите финансови средства бяха получени от участници от асоциирани държави (8,4 %) и от други държави извън ЕС (0,7 %). Докато делът на участие на асоциираните държави (7,6 %) е в съответствие с полученото финансиране, този на неасоциираните трети държави е значително по-висок (4,0 %), което показва интерес към международната отвореност, който не е обвързан с финансирането.</w:t>
      </w:r>
    </w:p>
    <w:p>
      <w:pPr>
        <w:jc w:val="both"/>
        <w:rPr>
          <w:rFonts w:ascii="Times New Roman" w:hAnsi="Times New Roman" w:cs="Times New Roman"/>
          <w:noProof/>
        </w:rPr>
      </w:pPr>
      <w:r>
        <w:rPr>
          <w:rFonts w:ascii="Times New Roman" w:hAnsi="Times New Roman"/>
          <w:noProof/>
        </w:rPr>
        <w:t xml:space="preserve">Висшите учебни заведения продължават да бъдат най-големият получател на финансиране (39,4 %), а 24,9 % от финансирането от ЕС по приоритетите „Водещи позиции в промишлеността“ и „Обществени предизвикателства“ се предоставят на МСП. </w:t>
      </w:r>
    </w:p>
    <w:p>
      <w:pPr>
        <w:jc w:val="both"/>
        <w:rPr>
          <w:rFonts w:ascii="Times New Roman" w:hAnsi="Times New Roman" w:cs="Times New Roman"/>
          <w:b/>
          <w:i/>
          <w:noProof/>
        </w:rPr>
      </w:pPr>
      <w:r>
        <w:rPr>
          <w:rFonts w:ascii="Times New Roman" w:hAnsi="Times New Roman"/>
          <w:b/>
          <w:i/>
          <w:noProof/>
        </w:rPr>
        <w:t xml:space="preserve">4.2 </w:t>
      </w:r>
      <w:r>
        <w:rPr>
          <w:rFonts w:ascii="Times New Roman" w:hAnsi="Times New Roman"/>
          <w:b/>
          <w:i/>
          <w:noProof/>
        </w:rPr>
        <w:tab/>
        <w:t xml:space="preserve">„Хоризонт 2020“ — избрани характеристики </w:t>
      </w:r>
    </w:p>
    <w:p>
      <w:pPr>
        <w:jc w:val="both"/>
        <w:rPr>
          <w:rFonts w:ascii="Times New Roman" w:hAnsi="Times New Roman" w:cs="Times New Roman"/>
          <w:noProof/>
          <w:u w:val="single"/>
        </w:rPr>
      </w:pPr>
      <w:r>
        <w:rPr>
          <w:rFonts w:ascii="Times New Roman" w:hAnsi="Times New Roman"/>
          <w:noProof/>
          <w:u w:val="single"/>
        </w:rPr>
        <w:t>Научноизследователски инфраструктури</w:t>
      </w:r>
    </w:p>
    <w:p>
      <w:pPr>
        <w:jc w:val="both"/>
        <w:rPr>
          <w:rFonts w:ascii="Times New Roman" w:hAnsi="Times New Roman" w:cs="Times New Roman"/>
          <w:noProof/>
        </w:rPr>
      </w:pPr>
      <w:r>
        <w:rPr>
          <w:rFonts w:ascii="Times New Roman" w:hAnsi="Times New Roman"/>
          <w:noProof/>
        </w:rPr>
        <w:t>По поканите за представяне на предложения за научноизследователски инфраструктури (НИ) за 2019 г. бяха подкрепени 51 споразумения за предоставяне на безвъзмездни средства на стойност 299,2 милиона евро. Те ще бъдат използвани за подкрепа на дейности за интегриране за силно развити общности, стимулиране на разработването на нови НИ на световно равнище, предоставяне на индивидуална подкрепа за Европейския стратегически форум за научноизследователски инфраструктури (</w:t>
      </w:r>
      <w:r>
        <w:rPr>
          <w:rFonts w:ascii="Times New Roman" w:hAnsi="Times New Roman"/>
          <w:b/>
          <w:noProof/>
        </w:rPr>
        <w:t>ESFRI</w:t>
      </w:r>
      <w:r>
        <w:rPr>
          <w:rFonts w:ascii="Times New Roman" w:hAnsi="Times New Roman"/>
          <w:noProof/>
        </w:rPr>
        <w:t>) и подпомагане на определянето на следващото поколение НИ, необходимо в Европа. Подкрепа беше предоставена и за подобряване на портала на Европейския облак за отворена наука, като беше създадена мрежа от служители за връзка по въпросите на промишлеността за НИ, както и за развитие на международното сътрудничество.</w:t>
      </w:r>
    </w:p>
    <w:p>
      <w:pPr>
        <w:jc w:val="both"/>
        <w:rPr>
          <w:rFonts w:ascii="Times New Roman" w:hAnsi="Times New Roman" w:cs="Times New Roman"/>
          <w:noProof/>
          <w:u w:val="single"/>
        </w:rPr>
      </w:pPr>
      <w:r>
        <w:rPr>
          <w:rFonts w:ascii="Times New Roman" w:hAnsi="Times New Roman"/>
          <w:noProof/>
          <w:u w:val="single"/>
        </w:rPr>
        <w:t>Пилотен проект на Европейския съвет по иновациите</w:t>
      </w:r>
    </w:p>
    <w:p>
      <w:pPr>
        <w:jc w:val="both"/>
        <w:rPr>
          <w:rFonts w:ascii="Times New Roman" w:hAnsi="Times New Roman" w:cs="Times New Roman"/>
          <w:noProof/>
        </w:rPr>
      </w:pPr>
      <w:r>
        <w:rPr>
          <w:rFonts w:ascii="Times New Roman" w:hAnsi="Times New Roman"/>
          <w:noProof/>
        </w:rPr>
        <w:t xml:space="preserve">Усъвършенстваният пилотен проект на Европейския съвет по иновациите (ЕСИ) беше стартиран като продължение на първия пилотен проект, което допринесе за доближаване до реализирането на целта за напълно функциониращ ЕСИ. Пилотният проект на ЕСИ вече показа смисъла от публичното финансиране, като привлече успешно други инвеститори. До момента за всяко евро подкрепа по пилотния проект на ЕСИ за новосъздадено предприятие или МСП се допринася с последващи инвестиции от 2,4 EUR. Чрез пилотния инструмент „Изследвач“ на ЕСИ бяха напълно интегрирани схемите „Отворен подход за бъдещи и нововъзникващи технологии“ (FET-Open) и „Активен подход за бъдещи и нововъзникващи технологии“ (FET-Proactive), като първите целенасочени покани за представяне на предложения за финансиране на повратни технологични изследвания бяха публикувани през март 2019 г. </w:t>
      </w:r>
      <w:r>
        <w:rPr>
          <w:rFonts w:ascii="Times New Roman" w:hAnsi="Times New Roman"/>
          <w:bCs/>
          <w:noProof/>
        </w:rPr>
        <w:t xml:space="preserve">По пилотния инструмент „Ускорител“ на ЕСИ започна да се предоставя смесено финансиране успоредно с възможностите само за безвъзмездни средства, както и портфейл от услуги за ускоряване на бизнеса в подкрепа на вече съществуващи бенефициери на ЕСИ. </w:t>
      </w:r>
    </w:p>
    <w:p>
      <w:pPr>
        <w:jc w:val="both"/>
        <w:rPr>
          <w:rFonts w:ascii="Times New Roman" w:hAnsi="Times New Roman" w:cs="Times New Roman"/>
          <w:noProof/>
        </w:rPr>
      </w:pPr>
      <w:r>
        <w:rPr>
          <w:rFonts w:ascii="Times New Roman" w:hAnsi="Times New Roman"/>
          <w:bCs/>
          <w:noProof/>
        </w:rPr>
        <w:t>Въвеждането на смесено финансиране и капиталови инвестиции в подкрепа на преобразуващи иновации е важна новост във финансирането на ЕС за научни изследвания и иновации и част от уникалното предлагане от ЕСИ на стойност. Фонд на ЕСИ, който ще бъде създаден като отделно частноправно юридическо лице, ще управлява капиталовите инвестиции, като основните административни услуги се предоставят от Европейската инвестиционна банка.</w:t>
      </w:r>
    </w:p>
    <w:p>
      <w:pPr>
        <w:jc w:val="both"/>
        <w:rPr>
          <w:rFonts w:ascii="Times New Roman" w:hAnsi="Times New Roman" w:cs="Times New Roman"/>
          <w:noProof/>
        </w:rPr>
      </w:pPr>
      <w:r>
        <w:rPr>
          <w:rFonts w:ascii="Times New Roman" w:hAnsi="Times New Roman"/>
          <w:noProof/>
        </w:rPr>
        <w:t xml:space="preserve">Значима новост по време на пилотния етап беше набирането на управители на ЕСИ, които ще допринесат за установяването на тенденциите при водещите до пробив иновации и управлението на проектен портфейл, финансиран по инструмента „Изследвач“ на ЕСИ. В помощ на Комисията беше сформиран консултативен съвет за пилотния проект на ЕСИ, състоящ се от 22-ма експерти. </w:t>
      </w:r>
    </w:p>
    <w:p>
      <w:pPr>
        <w:jc w:val="both"/>
        <w:rPr>
          <w:rFonts w:ascii="Times New Roman" w:hAnsi="Times New Roman" w:cs="Times New Roman"/>
          <w:bCs/>
          <w:noProof/>
          <w:u w:val="single"/>
        </w:rPr>
      </w:pPr>
      <w:r>
        <w:rPr>
          <w:rFonts w:ascii="Times New Roman" w:hAnsi="Times New Roman"/>
          <w:bCs/>
          <w:noProof/>
          <w:u w:val="single"/>
        </w:rPr>
        <w:t>Засилване на международното сътрудничество</w:t>
      </w:r>
    </w:p>
    <w:p>
      <w:pPr>
        <w:jc w:val="both"/>
        <w:rPr>
          <w:rFonts w:ascii="Times New Roman" w:hAnsi="Times New Roman" w:cs="Times New Roman"/>
          <w:noProof/>
        </w:rPr>
      </w:pPr>
      <w:r>
        <w:rPr>
          <w:rFonts w:ascii="Times New Roman" w:hAnsi="Times New Roman"/>
          <w:noProof/>
        </w:rPr>
        <w:t>За да бъде обърната негативната тенденция при международното участие през първите години на „Хоризонт 2020“, в работната програма за периода 2018—2020 г. бяха включени над 30 „водещи инициативи за международно сътрудничество“ с бюджет от ЕС на стойност почти 2 милиарда евро. Това оказа безспорно положително въздействие върху международното участие, като средната степен на международно участие в съвместни проекти се увеличи от 2,4 % през периода 2014—2017 г. на 3,3 % през 2018 г. и 3,1 % през първата половина на 2019 г. Приносът от трети държави за проекти по „Хоризонт 2020“ също нарасна значително: участниците от трети държави увеличиха средното си финансово участие от 60 милиона евро на година на 83 милиона евро през 2018 г. и на 130 милиона евро през първата третина на 2019 г. Като цяло в проекти по „Хоризонт 2020“ са участвали трети държави със средства на стойност почти 500 милиона евро. Действията „Мария Склодовска-Кюри“ имат изключително международно измерение и продължават да осигуряват над половината от всички участия на трети държави в „Хоризонт 2020“.</w:t>
      </w:r>
    </w:p>
    <w:p>
      <w:pPr>
        <w:jc w:val="both"/>
        <w:rPr>
          <w:rFonts w:ascii="Times New Roman" w:hAnsi="Times New Roman" w:cs="Times New Roman"/>
          <w:noProof/>
        </w:rPr>
      </w:pPr>
      <w:r>
        <w:rPr>
          <w:rFonts w:ascii="Times New Roman" w:hAnsi="Times New Roman"/>
          <w:noProof/>
        </w:rPr>
        <w:t>През 2019 г. Международният форум за насърчаване на иновациите при органите за първа помощ (IFAFRI), понастоящем председателстван от Комисията, изпълни чрез Комитета на IFAFRI по пропуските в способностите списък от 10 приоритетни пропуски в способностите. Денят на промишлеността през октомври и Годишният форум през ноември, организирани от IFAFRI, бяха основните събития, на които бяха представени нови финансирани от ЕС проекти и бяха изготвени основните насоки за програма за научноизследователска и развойна дейност за органите за първа помощ.</w:t>
      </w:r>
    </w:p>
    <w:p>
      <w:pPr>
        <w:jc w:val="both"/>
        <w:rPr>
          <w:rFonts w:ascii="Times New Roman" w:hAnsi="Times New Roman" w:cs="Times New Roman"/>
          <w:bCs/>
          <w:noProof/>
          <w:u w:val="single"/>
        </w:rPr>
      </w:pPr>
      <w:r>
        <w:rPr>
          <w:rFonts w:ascii="Times New Roman" w:hAnsi="Times New Roman"/>
          <w:bCs/>
          <w:noProof/>
          <w:u w:val="single"/>
        </w:rPr>
        <w:t xml:space="preserve">Европейски научноизследователски съвет (ЕНС) </w:t>
      </w:r>
    </w:p>
    <w:p>
      <w:pPr>
        <w:jc w:val="both"/>
        <w:rPr>
          <w:rFonts w:ascii="Times New Roman" w:hAnsi="Times New Roman" w:cs="Times New Roman"/>
          <w:bCs/>
          <w:noProof/>
        </w:rPr>
      </w:pPr>
      <w:r>
        <w:rPr>
          <w:rFonts w:ascii="Times New Roman" w:hAnsi="Times New Roman"/>
          <w:bCs/>
          <w:noProof/>
        </w:rPr>
        <w:t>Забележителните научни постижения на Европейския научноизследователски съвет през 2019 г. включваха първото до момента изображение на космическа черна дупка. Финансираните от ЕНС изследователи имаха основна роля в широкомащабния съвместен научноизследователски проект „Телескоп Event Horizon“, който доведе до този резултат. През 2019 г. за седми път от 2007 г. насам Нобеловата награда беше присъдена на получател на субсидия от ЕНС. За да бъде разширено участието в конкурси на ЕНС, в Сърбия и Румъния бяха стартирани две нови програми за посещения на представители на академичните среди.</w:t>
      </w:r>
    </w:p>
    <w:p>
      <w:pPr>
        <w:jc w:val="both"/>
        <w:rPr>
          <w:rFonts w:ascii="Times New Roman" w:hAnsi="Times New Roman" w:cs="Times New Roman"/>
          <w:bCs/>
          <w:noProof/>
          <w:u w:val="single"/>
        </w:rPr>
      </w:pPr>
      <w:r>
        <w:rPr>
          <w:rFonts w:ascii="Times New Roman" w:hAnsi="Times New Roman"/>
          <w:bCs/>
          <w:noProof/>
          <w:u w:val="single"/>
        </w:rPr>
        <w:t>Разширяване на участието</w:t>
      </w:r>
    </w:p>
    <w:p>
      <w:pPr>
        <w:jc w:val="both"/>
        <w:rPr>
          <w:rFonts w:ascii="Times New Roman" w:hAnsi="Times New Roman" w:cs="Times New Roman"/>
          <w:bCs/>
          <w:noProof/>
        </w:rPr>
      </w:pPr>
      <w:r>
        <w:rPr>
          <w:rFonts w:ascii="Times New Roman" w:hAnsi="Times New Roman"/>
          <w:bCs/>
          <w:noProof/>
        </w:rPr>
        <w:t xml:space="preserve">Финансовата подкрепа за държавите, предвидени за разширяване на участието, се увеличи на 5,6 % през 2019 г. Като цяло участието на държавите, предвидени за разширяване на участието, е в съответствие с техните национални инвестиции за научни изследвания и иновации. Бяха подписани </w:t>
      </w:r>
      <w:r>
        <w:rPr>
          <w:rFonts w:ascii="Times New Roman" w:hAnsi="Times New Roman"/>
          <w:b/>
          <w:bCs/>
          <w:noProof/>
        </w:rPr>
        <w:t>63 споразумения за предоставяне на безвъзмездни средства</w:t>
      </w:r>
      <w:r>
        <w:rPr>
          <w:rFonts w:ascii="Times New Roman" w:hAnsi="Times New Roman"/>
          <w:bCs/>
          <w:noProof/>
        </w:rPr>
        <w:t xml:space="preserve"> за изпълнение на проекти за „разпространяване на високи научни постижения и разширяване на участието“ на стойност 269 милиона евро. 143 от тях ще подпомогнат създаването на нови или модернизирането на съществуващи центрове за високи постижения в България, Чехия, Кипър, Естония, Латвия, Полша и Португалия с помощта на утвърдили се научни институти от други държави като напреднали партньори. </w:t>
      </w:r>
    </w:p>
    <w:p>
      <w:pPr>
        <w:jc w:val="both"/>
        <w:rPr>
          <w:rFonts w:ascii="Times New Roman" w:hAnsi="Times New Roman" w:cs="Times New Roman"/>
          <w:bCs/>
          <w:noProof/>
        </w:rPr>
      </w:pPr>
      <w:r>
        <w:rPr>
          <w:rFonts w:ascii="Times New Roman" w:hAnsi="Times New Roman"/>
          <w:bCs/>
          <w:noProof/>
        </w:rPr>
        <w:t xml:space="preserve">През 2019 г. в рамките на нов пилотен проект по „Хоризонт 2020“ </w:t>
      </w:r>
      <w:r>
        <w:rPr>
          <w:rFonts w:ascii="Times New Roman" w:hAnsi="Times New Roman"/>
          <w:noProof/>
        </w:rPr>
        <w:t xml:space="preserve">стартира първият проект „Разширяване на програмите за стипендии“ по примера на индивидуалните стипендии в рамките на </w:t>
      </w:r>
      <w:r>
        <w:rPr>
          <w:rFonts w:ascii="Times New Roman" w:hAnsi="Times New Roman"/>
          <w:bCs/>
          <w:noProof/>
        </w:rPr>
        <w:t>действията</w:t>
      </w:r>
      <w:r>
        <w:rPr>
          <w:rFonts w:ascii="Times New Roman" w:hAnsi="Times New Roman"/>
          <w:noProof/>
        </w:rPr>
        <w:t xml:space="preserve"> „Мария Склодовска-Кюри“.</w:t>
      </w:r>
      <w:r>
        <w:rPr>
          <w:rFonts w:ascii="Times New Roman" w:hAnsi="Times New Roman"/>
          <w:bCs/>
          <w:noProof/>
        </w:rPr>
        <w:t xml:space="preserve"> Първата покана за представяне на предложения беше много успешна и доведе до увеличаване с 27 % на заявленията за държавите, предвидени за разширяване на участието, и 70 % увеличаване на броя на финансираните стипендии в тези държави, като бяха финансирани 33 стипендии по проекта „Разширяване на програмите за стипендии“ в допълнение към 55 </w:t>
      </w:r>
      <w:r>
        <w:rPr>
          <w:rFonts w:ascii="Times New Roman" w:hAnsi="Times New Roman"/>
          <w:noProof/>
        </w:rPr>
        <w:t xml:space="preserve">индивидуални стипендии в рамките на </w:t>
      </w:r>
      <w:r>
        <w:rPr>
          <w:rFonts w:ascii="Times New Roman" w:hAnsi="Times New Roman"/>
          <w:bCs/>
          <w:noProof/>
        </w:rPr>
        <w:t>действията</w:t>
      </w:r>
      <w:r>
        <w:rPr>
          <w:rFonts w:ascii="Times New Roman" w:hAnsi="Times New Roman"/>
          <w:noProof/>
        </w:rPr>
        <w:t xml:space="preserve"> „Мария Склодовска-Кюри“</w:t>
      </w:r>
      <w:r>
        <w:rPr>
          <w:rFonts w:ascii="Times New Roman" w:hAnsi="Times New Roman"/>
          <w:bCs/>
          <w:noProof/>
        </w:rPr>
        <w:t xml:space="preserve">. </w:t>
      </w:r>
    </w:p>
    <w:p>
      <w:pPr>
        <w:jc w:val="both"/>
        <w:rPr>
          <w:rFonts w:ascii="Times New Roman" w:hAnsi="Times New Roman" w:cs="Times New Roman"/>
          <w:noProof/>
        </w:rPr>
      </w:pPr>
      <w:r>
        <w:rPr>
          <w:rFonts w:ascii="Times New Roman" w:hAnsi="Times New Roman"/>
          <w:noProof/>
        </w:rPr>
        <w:t>За да стане програмата за действия „Мария Склодовска-Кюри“ по-приобщаваща, през 2019 г. беше предоставена финансова подкрепа за</w:t>
      </w:r>
      <w:r>
        <w:rPr>
          <w:rFonts w:ascii="Times New Roman" w:hAnsi="Times New Roman"/>
          <w:b/>
          <w:noProof/>
        </w:rPr>
        <w:t xml:space="preserve"> </w:t>
      </w:r>
      <w:r>
        <w:rPr>
          <w:rFonts w:ascii="Times New Roman" w:hAnsi="Times New Roman"/>
          <w:b/>
          <w:bCs/>
          <w:noProof/>
        </w:rPr>
        <w:t>стипендианти на програмата за действия „Мария Склодовска-Кюри“</w:t>
      </w:r>
      <w:r>
        <w:rPr>
          <w:rFonts w:ascii="Times New Roman" w:hAnsi="Times New Roman"/>
          <w:b/>
          <w:noProof/>
        </w:rPr>
        <w:t xml:space="preserve"> със специални потребности</w:t>
      </w:r>
      <w:r>
        <w:rPr>
          <w:rFonts w:ascii="Times New Roman" w:hAnsi="Times New Roman"/>
          <w:noProof/>
        </w:rPr>
        <w:t>, при което 23-ма изследователи получиха финансиране за преодоляване на пречките пред мобилността, с които се сблъскват поради увреждане.</w:t>
      </w:r>
    </w:p>
    <w:p>
      <w:pPr>
        <w:jc w:val="both"/>
        <w:rPr>
          <w:rFonts w:ascii="Times New Roman" w:hAnsi="Times New Roman" w:cs="Times New Roman"/>
          <w:bCs/>
          <w:noProof/>
          <w:u w:val="single"/>
        </w:rPr>
      </w:pPr>
      <w:r>
        <w:rPr>
          <w:rFonts w:ascii="Times New Roman" w:hAnsi="Times New Roman"/>
          <w:bCs/>
          <w:noProof/>
          <w:u w:val="single"/>
        </w:rPr>
        <w:t>Планетата</w:t>
      </w:r>
    </w:p>
    <w:p>
      <w:pPr>
        <w:jc w:val="both"/>
        <w:rPr>
          <w:rFonts w:ascii="Times New Roman" w:hAnsi="Times New Roman" w:cs="Times New Roman"/>
          <w:bCs/>
          <w:iCs/>
          <w:noProof/>
        </w:rPr>
      </w:pPr>
      <w:r>
        <w:rPr>
          <w:rFonts w:ascii="Times New Roman" w:hAnsi="Times New Roman"/>
          <w:bCs/>
          <w:iCs/>
          <w:noProof/>
        </w:rPr>
        <w:t>В Рамковата програма „Хоризонт 2020“ очакваният дял от бюджета за действия в областта на климата и за устойчиво развитие за периода на програмата е определен съответно на 35 % и 60 %. До края на 2019 г. разходите са достигнали най-малко 29,4 % за действията в областта на климата и 65,6 % за устойчиво развитие. Понастоящем се полагат допълнителни усилия, по-специално чрез съответните приоритетни области.</w:t>
      </w:r>
    </w:p>
    <w:p>
      <w:pPr>
        <w:jc w:val="both"/>
        <w:rPr>
          <w:rFonts w:ascii="Times New Roman" w:hAnsi="Times New Roman" w:cs="Times New Roman"/>
          <w:bCs/>
          <w:noProof/>
          <w:u w:val="single"/>
        </w:rPr>
      </w:pPr>
      <w:r>
        <w:rPr>
          <w:rFonts w:ascii="Times New Roman" w:hAnsi="Times New Roman"/>
          <w:bCs/>
          <w:noProof/>
          <w:u w:val="single"/>
        </w:rPr>
        <w:t xml:space="preserve">Хората </w:t>
      </w:r>
    </w:p>
    <w:p>
      <w:pPr>
        <w:jc w:val="both"/>
        <w:rPr>
          <w:rFonts w:ascii="Times New Roman" w:hAnsi="Times New Roman" w:cs="Times New Roman"/>
          <w:noProof/>
        </w:rPr>
      </w:pPr>
      <w:r>
        <w:rPr>
          <w:rFonts w:ascii="Times New Roman" w:hAnsi="Times New Roman"/>
          <w:noProof/>
        </w:rPr>
        <w:t xml:space="preserve">Като част от изпълнението на съобщението относно </w:t>
      </w:r>
      <w:r>
        <w:rPr>
          <w:rFonts w:ascii="Times New Roman" w:hAnsi="Times New Roman"/>
          <w:b/>
          <w:noProof/>
        </w:rPr>
        <w:t>цифровата трансформация в областта на здравеопазването и грижите в контекста на цифровия единен пазар</w:t>
      </w:r>
      <w:r>
        <w:rPr>
          <w:rFonts w:ascii="Times New Roman" w:hAnsi="Times New Roman"/>
          <w:noProof/>
        </w:rPr>
        <w:t xml:space="preserve"> през януари 2019 г. започна европейската съвместна програма за съвместен фонд за </w:t>
      </w:r>
      <w:r>
        <w:rPr>
          <w:rFonts w:ascii="Times New Roman" w:hAnsi="Times New Roman"/>
          <w:b/>
          <w:noProof/>
        </w:rPr>
        <w:t>редки заболявания</w:t>
      </w:r>
      <w:r>
        <w:rPr>
          <w:rFonts w:ascii="Times New Roman" w:hAnsi="Times New Roman"/>
          <w:noProof/>
        </w:rPr>
        <w:t>. Този водещ пилотен проект, обединяващ над 130 институции от 35 държави (включително 27-те държави членки), ще оптимизира потока на знанията относно редките заболявания, като целта е бързо преминаване от изследователски резултати към клинични условия.</w:t>
      </w:r>
    </w:p>
    <w:p>
      <w:pPr>
        <w:jc w:val="both"/>
        <w:rPr>
          <w:rFonts w:ascii="Times New Roman" w:hAnsi="Times New Roman" w:cs="Times New Roman"/>
          <w:noProof/>
        </w:rPr>
      </w:pPr>
      <w:r>
        <w:rPr>
          <w:rFonts w:ascii="Times New Roman" w:hAnsi="Times New Roman"/>
          <w:noProof/>
        </w:rPr>
        <w:t>През януари 2019 г. ЕС инвестира 50 милиона евро в нови методи за изследвания и скрининг за нарушители на функциите на ендокринната система. Осемте нови проекта по „Хоризонт 2020“, започнати в този контекст, сформират</w:t>
      </w:r>
      <w:r>
        <w:rPr>
          <w:rFonts w:ascii="Times New Roman" w:hAnsi="Times New Roman"/>
          <w:b/>
          <w:bCs/>
          <w:noProof/>
        </w:rPr>
        <w:t xml:space="preserve"> Клъстер за подобряване на идентифицирането на нарушители на функциите на ендокринната система (EURION)</w:t>
      </w:r>
      <w:r>
        <w:rPr>
          <w:rFonts w:ascii="Times New Roman" w:hAnsi="Times New Roman"/>
          <w:bCs/>
          <w:noProof/>
        </w:rPr>
        <w:t>.</w:t>
      </w:r>
      <w:r>
        <w:rPr>
          <w:rFonts w:ascii="Times New Roman" w:hAnsi="Times New Roman"/>
          <w:b/>
          <w:bCs/>
          <w:noProof/>
        </w:rPr>
        <w:t xml:space="preserve"> </w:t>
      </w:r>
      <w:r>
        <w:rPr>
          <w:rFonts w:ascii="Times New Roman" w:hAnsi="Times New Roman"/>
          <w:noProof/>
        </w:rPr>
        <w:t xml:space="preserve">Той ще си сътрудничи със Съвместния изследователски център (JRC) за насърчаване на валидирането на нови разработени методи. </w:t>
      </w:r>
    </w:p>
    <w:p>
      <w:pPr>
        <w:jc w:val="both"/>
        <w:rPr>
          <w:rFonts w:ascii="Times New Roman" w:hAnsi="Times New Roman" w:cs="Times New Roman"/>
          <w:noProof/>
        </w:rPr>
      </w:pPr>
      <w:r>
        <w:rPr>
          <w:rFonts w:ascii="Times New Roman" w:hAnsi="Times New Roman"/>
          <w:noProof/>
        </w:rPr>
        <w:t xml:space="preserve">През октомври 2019 г. Комисията обяви предоставянето на 6 милиона евро за първото </w:t>
      </w:r>
      <w:r>
        <w:rPr>
          <w:rFonts w:ascii="Times New Roman" w:hAnsi="Times New Roman"/>
          <w:b/>
          <w:noProof/>
        </w:rPr>
        <w:t xml:space="preserve">широкомащабно клинично изпитване зa нова ваксина за ебола </w:t>
      </w:r>
      <w:r>
        <w:rPr>
          <w:rFonts w:ascii="Times New Roman" w:hAnsi="Times New Roman"/>
          <w:noProof/>
        </w:rPr>
        <w:t xml:space="preserve">в Демократична република Конго чрез Коалицията за иновации за готовност за реагиране при епидемии. </w:t>
      </w:r>
    </w:p>
    <w:p>
      <w:pPr>
        <w:jc w:val="both"/>
        <w:rPr>
          <w:rFonts w:ascii="Times New Roman" w:hAnsi="Times New Roman" w:cs="Times New Roman"/>
          <w:noProof/>
        </w:rPr>
      </w:pPr>
      <w:r>
        <w:rPr>
          <w:rFonts w:ascii="Times New Roman" w:hAnsi="Times New Roman"/>
          <w:noProof/>
        </w:rPr>
        <w:t xml:space="preserve">Беше създадена и </w:t>
      </w:r>
      <w:r>
        <w:rPr>
          <w:rFonts w:ascii="Times New Roman" w:hAnsi="Times New Roman"/>
          <w:b/>
          <w:noProof/>
        </w:rPr>
        <w:t>Европейска мрежа за въздействията на околната среда върху човека</w:t>
      </w:r>
      <w:r>
        <w:rPr>
          <w:rFonts w:ascii="Times New Roman" w:hAnsi="Times New Roman"/>
          <w:noProof/>
        </w:rPr>
        <w:t xml:space="preserve">. В рамките на тази инициатива, най-голямата от този вид в областта на въздействията на околната среда върху човека, се проучва как храненето, начинът на живот и околната среда засягат здравето. Тя допринася пряко за Европейския зелен пакт. </w:t>
      </w:r>
    </w:p>
    <w:p>
      <w:pPr>
        <w:jc w:val="both"/>
        <w:rPr>
          <w:rFonts w:ascii="Times New Roman" w:hAnsi="Times New Roman" w:cs="Times New Roman"/>
          <w:bCs/>
          <w:noProof/>
          <w:u w:val="single"/>
        </w:rPr>
      </w:pPr>
      <w:r>
        <w:rPr>
          <w:rFonts w:ascii="Times New Roman" w:hAnsi="Times New Roman"/>
          <w:bCs/>
          <w:noProof/>
          <w:u w:val="single"/>
        </w:rPr>
        <w:t xml:space="preserve">Просперитет </w:t>
      </w:r>
    </w:p>
    <w:p>
      <w:pPr>
        <w:jc w:val="both"/>
        <w:rPr>
          <w:rFonts w:ascii="Times New Roman" w:hAnsi="Times New Roman" w:cs="Times New Roman"/>
          <w:noProof/>
        </w:rPr>
      </w:pPr>
      <w:hyperlink r:id="rId50" w:history="1">
        <w:r>
          <w:rPr>
            <w:rStyle w:val="Hyperlink"/>
            <w:rFonts w:ascii="Times New Roman" w:hAnsi="Times New Roman"/>
            <w:noProof/>
            <w:color w:val="auto"/>
          </w:rPr>
          <w:t>Анализът на технологичните тенденции въз основа на проектите по „Хоризонт 2020“ по отношение на промишлената симбиоза</w:t>
        </w:r>
      </w:hyperlink>
      <w:r>
        <w:rPr>
          <w:rFonts w:ascii="Times New Roman" w:hAnsi="Times New Roman"/>
          <w:noProof/>
        </w:rPr>
        <w:t xml:space="preserve"> потвърждава, че </w:t>
      </w:r>
      <w:r>
        <w:rPr>
          <w:rFonts w:ascii="Times New Roman" w:hAnsi="Times New Roman"/>
          <w:b/>
          <w:bCs/>
          <w:noProof/>
        </w:rPr>
        <w:t>промишлената симбиоза</w:t>
      </w:r>
      <w:r>
        <w:rPr>
          <w:rFonts w:ascii="Times New Roman" w:hAnsi="Times New Roman"/>
          <w:noProof/>
        </w:rPr>
        <w:t xml:space="preserve"> съдържа значителен потенциал за принос към европейските усилия за неутралност по отношение на емисиите на CO</w:t>
      </w:r>
      <w:r>
        <w:rPr>
          <w:rFonts w:ascii="Times New Roman" w:hAnsi="Times New Roman"/>
          <w:noProof/>
          <w:vertAlign w:val="subscript"/>
        </w:rPr>
        <w:t>2</w:t>
      </w:r>
      <w:r>
        <w:rPr>
          <w:rFonts w:ascii="Times New Roman" w:hAnsi="Times New Roman"/>
          <w:noProof/>
        </w:rPr>
        <w:t xml:space="preserve"> и</w:t>
      </w:r>
      <w:r>
        <w:rPr>
          <w:rFonts w:ascii="Times New Roman" w:hAnsi="Times New Roman"/>
          <w:b/>
          <w:bCs/>
          <w:noProof/>
        </w:rPr>
        <w:t xml:space="preserve"> кръгова промишленост</w:t>
      </w:r>
      <w:r>
        <w:rPr>
          <w:rFonts w:ascii="Times New Roman" w:hAnsi="Times New Roman"/>
          <w:noProof/>
        </w:rPr>
        <w:t xml:space="preserve"> в Европа. </w:t>
      </w:r>
      <w:hyperlink r:id="rId51" w:history="1">
        <w:r>
          <w:rPr>
            <w:rStyle w:val="Hyperlink"/>
            <w:rFonts w:ascii="Times New Roman" w:hAnsi="Times New Roman"/>
            <w:noProof/>
            <w:color w:val="auto"/>
          </w:rPr>
          <w:t>В анализа на технологичните тенденции по отношение на промишлената роботика</w:t>
        </w:r>
      </w:hyperlink>
      <w:r>
        <w:rPr>
          <w:rFonts w:ascii="Times New Roman" w:hAnsi="Times New Roman"/>
          <w:noProof/>
        </w:rPr>
        <w:t xml:space="preserve"> се заключава, че Европа е лидер в областта на промишлените „роботи сътрудници“, макар че до 2025 г. може да бъде надмината от други световни региони, и че областта за „роботи сътрудници“ съдържа потенциал за подобряване както на икономиката, така и на обществото при същевременно възприемане на европейските ценности. </w:t>
      </w:r>
    </w:p>
    <w:p>
      <w:pPr>
        <w:numPr>
          <w:ilvl w:val="1"/>
          <w:numId w:val="21"/>
        </w:numPr>
        <w:jc w:val="both"/>
        <w:rPr>
          <w:rFonts w:ascii="Times New Roman" w:hAnsi="Times New Roman" w:cs="Times New Roman"/>
          <w:b/>
          <w:i/>
          <w:noProof/>
        </w:rPr>
      </w:pPr>
      <w:r>
        <w:rPr>
          <w:rFonts w:ascii="Times New Roman" w:hAnsi="Times New Roman"/>
          <w:b/>
          <w:i/>
          <w:noProof/>
        </w:rPr>
        <w:t xml:space="preserve">Преки действия на Съвместния изследователски център извън ядрената област </w:t>
      </w:r>
    </w:p>
    <w:p>
      <w:pPr>
        <w:jc w:val="both"/>
        <w:rPr>
          <w:rFonts w:ascii="Times New Roman" w:hAnsi="Times New Roman" w:cs="Times New Roman"/>
          <w:bCs/>
          <w:noProof/>
        </w:rPr>
      </w:pPr>
      <w:r>
        <w:rPr>
          <w:rFonts w:ascii="Times New Roman" w:hAnsi="Times New Roman"/>
          <w:noProof/>
        </w:rPr>
        <w:t xml:space="preserve">В допълнение към подкрепата си за разработване и мониторинг на политиката JRC продължи да разширява </w:t>
      </w:r>
      <w:r>
        <w:rPr>
          <w:rFonts w:ascii="Times New Roman" w:hAnsi="Times New Roman"/>
          <w:b/>
          <w:noProof/>
        </w:rPr>
        <w:t>дейностите си за управление на знанията</w:t>
      </w:r>
      <w:r>
        <w:rPr>
          <w:rFonts w:ascii="Times New Roman" w:hAnsi="Times New Roman"/>
          <w:noProof/>
        </w:rPr>
        <w:t>, като стартира нов експертен център за разбиране на поведението. Центърът предоставя инструменти за прилагане на данни за поведението при създаване на политики чрез определяне на поведения, които да бъдат анализирани чрез събиране на съответни доказателства, изпитване на алтернативни действия на политиката и окончателно съобщаване на решенията за политиката.</w:t>
      </w:r>
      <w:r>
        <w:rPr>
          <w:rFonts w:ascii="Times New Roman" w:hAnsi="Times New Roman"/>
          <w:bCs/>
          <w:noProof/>
        </w:rPr>
        <w:t xml:space="preserve"> Понастоящем JRC ръководи 13 центъра за знания и експертни центъра.  </w:t>
      </w:r>
    </w:p>
    <w:p>
      <w:pPr>
        <w:jc w:val="both"/>
        <w:rPr>
          <w:rFonts w:ascii="Times New Roman" w:hAnsi="Times New Roman" w:cs="Times New Roman"/>
          <w:bCs/>
          <w:noProof/>
        </w:rPr>
      </w:pPr>
      <w:r>
        <w:rPr>
          <w:rFonts w:ascii="Times New Roman" w:hAnsi="Times New Roman"/>
          <w:bCs/>
          <w:noProof/>
        </w:rPr>
        <w:t>Освен това JRC организира втора Седмица на знанията на Европейската комисия с над 100 събития и над 3000 участници.</w:t>
      </w:r>
    </w:p>
    <w:p>
      <w:pPr>
        <w:jc w:val="both"/>
        <w:rPr>
          <w:rFonts w:ascii="Times New Roman" w:hAnsi="Times New Roman" w:cs="Times New Roman"/>
          <w:noProof/>
        </w:rPr>
      </w:pPr>
      <w:r>
        <w:rPr>
          <w:rFonts w:ascii="Times New Roman" w:hAnsi="Times New Roman"/>
          <w:noProof/>
        </w:rPr>
        <w:t xml:space="preserve">През 2019 г. бяха публикувани седем </w:t>
      </w:r>
      <w:hyperlink r:id="rId52" w:history="1">
        <w:r>
          <w:rPr>
            <w:rStyle w:val="Hyperlink"/>
            <w:rFonts w:ascii="Times New Roman" w:hAnsi="Times New Roman"/>
            <w:noProof/>
            <w:color w:val="auto"/>
          </w:rPr>
          <w:t>водещи доклада</w:t>
        </w:r>
      </w:hyperlink>
      <w:r>
        <w:rPr>
          <w:rFonts w:ascii="Times New Roman" w:hAnsi="Times New Roman" w:cs="Times New Roman"/>
          <w:noProof/>
          <w:vertAlign w:val="superscript"/>
        </w:rPr>
        <w:footnoteReference w:id="6"/>
      </w:r>
      <w:r>
        <w:rPr>
          <w:rFonts w:ascii="Times New Roman" w:hAnsi="Times New Roman"/>
          <w:noProof/>
        </w:rPr>
        <w:t>, съдържащи междудисциплинарни анализи с разбиране на очакваните поведения. Извършена беше обширна дейност по отношение на справедливостта, устойчивостта и киберсигурността, като бяха изготвени доклади, които ще бъдат публикувани през 2020 г.</w:t>
      </w:r>
    </w:p>
    <w:p>
      <w:pPr>
        <w:jc w:val="both"/>
        <w:rPr>
          <w:rFonts w:ascii="Times New Roman" w:hAnsi="Times New Roman" w:cs="Times New Roman"/>
          <w:noProof/>
        </w:rPr>
      </w:pPr>
      <w:r>
        <w:rPr>
          <w:rFonts w:ascii="Times New Roman" w:hAnsi="Times New Roman"/>
          <w:noProof/>
        </w:rPr>
        <w:t xml:space="preserve">Други ключови постижения: </w:t>
      </w:r>
    </w:p>
    <w:p>
      <w:pPr>
        <w:numPr>
          <w:ilvl w:val="0"/>
          <w:numId w:val="24"/>
        </w:numPr>
        <w:jc w:val="both"/>
        <w:rPr>
          <w:rFonts w:ascii="Times New Roman" w:hAnsi="Times New Roman" w:cs="Times New Roman"/>
          <w:noProof/>
        </w:rPr>
      </w:pPr>
      <w:r>
        <w:rPr>
          <w:rFonts w:ascii="Times New Roman" w:hAnsi="Times New Roman"/>
          <w:noProof/>
        </w:rPr>
        <w:t xml:space="preserve">JRC стартира нова европейска </w:t>
      </w:r>
      <w:r>
        <w:rPr>
          <w:rFonts w:ascii="Times New Roman" w:hAnsi="Times New Roman"/>
          <w:b/>
          <w:noProof/>
        </w:rPr>
        <w:t>платформа за регистрация на редки заболявания</w:t>
      </w:r>
      <w:r>
        <w:rPr>
          <w:rFonts w:ascii="Times New Roman" w:hAnsi="Times New Roman"/>
          <w:noProof/>
        </w:rPr>
        <w:t xml:space="preserve"> в подкрепа на споделянето на знания за по-добро диагностициране и лечение;</w:t>
      </w:r>
    </w:p>
    <w:p>
      <w:pPr>
        <w:numPr>
          <w:ilvl w:val="0"/>
          <w:numId w:val="24"/>
        </w:numPr>
        <w:jc w:val="both"/>
        <w:rPr>
          <w:rFonts w:ascii="Times New Roman" w:hAnsi="Times New Roman" w:cs="Times New Roman"/>
          <w:noProof/>
        </w:rPr>
      </w:pPr>
      <w:r>
        <w:rPr>
          <w:rFonts w:ascii="Times New Roman" w:hAnsi="Times New Roman"/>
          <w:noProof/>
        </w:rPr>
        <w:t xml:space="preserve">през декември беше пусната </w:t>
      </w:r>
      <w:r>
        <w:rPr>
          <w:rFonts w:ascii="Times New Roman" w:hAnsi="Times New Roman"/>
          <w:b/>
          <w:noProof/>
        </w:rPr>
        <w:t>интерактивна онлайн платформа за атлас на миграцията</w:t>
      </w:r>
      <w:r>
        <w:rPr>
          <w:rFonts w:ascii="Times New Roman" w:hAnsi="Times New Roman"/>
          <w:noProof/>
        </w:rPr>
        <w:t>, предоставяща информация за 60 различни показателя за демография, миграция, предоставяне на убежище, интеграция и развитие;</w:t>
      </w:r>
    </w:p>
    <w:p>
      <w:pPr>
        <w:numPr>
          <w:ilvl w:val="0"/>
          <w:numId w:val="24"/>
        </w:numPr>
        <w:jc w:val="both"/>
        <w:rPr>
          <w:rFonts w:ascii="Times New Roman" w:hAnsi="Times New Roman" w:cs="Times New Roman"/>
          <w:noProof/>
        </w:rPr>
      </w:pPr>
      <w:r>
        <w:rPr>
          <w:rFonts w:ascii="Times New Roman" w:hAnsi="Times New Roman"/>
          <w:noProof/>
        </w:rPr>
        <w:t>JRC подкрепи създаването на проекта „</w:t>
      </w:r>
      <w:r>
        <w:rPr>
          <w:rFonts w:ascii="Times New Roman" w:hAnsi="Times New Roman"/>
          <w:b/>
          <w:noProof/>
        </w:rPr>
        <w:t>AI Watch“</w:t>
      </w:r>
      <w:r>
        <w:rPr>
          <w:rFonts w:ascii="Times New Roman" w:hAnsi="Times New Roman"/>
          <w:noProof/>
        </w:rPr>
        <w:t>, чрез който се наблюдава процеса на разработването, въвеждането и въздействието на изкуствения интелект в Европа;</w:t>
      </w:r>
    </w:p>
    <w:p>
      <w:pPr>
        <w:numPr>
          <w:ilvl w:val="0"/>
          <w:numId w:val="24"/>
        </w:numPr>
        <w:jc w:val="both"/>
        <w:rPr>
          <w:rFonts w:ascii="Times New Roman" w:hAnsi="Times New Roman" w:cs="Times New Roman"/>
          <w:noProof/>
        </w:rPr>
      </w:pPr>
      <w:r>
        <w:rPr>
          <w:rFonts w:ascii="Times New Roman" w:hAnsi="Times New Roman"/>
          <w:noProof/>
        </w:rPr>
        <w:t xml:space="preserve">JRC разработи модел </w:t>
      </w:r>
      <w:r>
        <w:rPr>
          <w:rFonts w:ascii="Times New Roman" w:hAnsi="Times New Roman"/>
          <w:b/>
          <w:noProof/>
        </w:rPr>
        <w:t>на изчислимото общо равновесие</w:t>
      </w:r>
      <w:r>
        <w:rPr>
          <w:rFonts w:ascii="Times New Roman" w:hAnsi="Times New Roman"/>
          <w:noProof/>
        </w:rPr>
        <w:t xml:space="preserve"> </w:t>
      </w:r>
      <w:r>
        <w:rPr>
          <w:rFonts w:ascii="Times New Roman" w:hAnsi="Times New Roman"/>
          <w:b/>
          <w:noProof/>
        </w:rPr>
        <w:t>RHOMOLO-EIB</w:t>
      </w:r>
      <w:r>
        <w:rPr>
          <w:rFonts w:ascii="Times New Roman" w:hAnsi="Times New Roman"/>
          <w:noProof/>
        </w:rPr>
        <w:t>, с който се провеждат симулации на политики с цел оценяване на макроикономическите въздействия на операциите;</w:t>
      </w:r>
    </w:p>
    <w:p>
      <w:pPr>
        <w:numPr>
          <w:ilvl w:val="0"/>
          <w:numId w:val="24"/>
        </w:numPr>
        <w:jc w:val="both"/>
        <w:rPr>
          <w:rFonts w:ascii="Times New Roman" w:hAnsi="Times New Roman" w:cs="Times New Roman"/>
          <w:noProof/>
        </w:rPr>
      </w:pPr>
      <w:r>
        <w:rPr>
          <w:rFonts w:ascii="Times New Roman" w:hAnsi="Times New Roman"/>
          <w:noProof/>
        </w:rPr>
        <w:t>над 1100 публикации, свързани с политиката, и почти 700 рецензирани научни публикации; около 40 % от рецензираните статии на JRC бяха публикувани в първите 10 най-често цитирани списания.</w:t>
      </w:r>
    </w:p>
    <w:p>
      <w:pPr>
        <w:jc w:val="both"/>
        <w:rPr>
          <w:rFonts w:ascii="Times New Roman" w:hAnsi="Times New Roman" w:cs="Times New Roman"/>
          <w:b/>
          <w:noProof/>
        </w:rPr>
      </w:pPr>
    </w:p>
    <w:p>
      <w:pPr>
        <w:numPr>
          <w:ilvl w:val="1"/>
          <w:numId w:val="21"/>
        </w:numPr>
        <w:jc w:val="both"/>
        <w:rPr>
          <w:rFonts w:ascii="Times New Roman" w:hAnsi="Times New Roman" w:cs="Times New Roman"/>
          <w:b/>
          <w:i/>
          <w:noProof/>
        </w:rPr>
      </w:pPr>
      <w:r>
        <w:rPr>
          <w:rFonts w:ascii="Times New Roman" w:hAnsi="Times New Roman"/>
          <w:b/>
          <w:i/>
          <w:noProof/>
        </w:rPr>
        <w:t>Европейски институт за иновации и технологии</w:t>
      </w:r>
    </w:p>
    <w:p>
      <w:pPr>
        <w:jc w:val="both"/>
        <w:rPr>
          <w:rFonts w:ascii="Times New Roman" w:hAnsi="Times New Roman" w:cs="Times New Roman"/>
          <w:noProof/>
        </w:rPr>
      </w:pPr>
      <w:r>
        <w:rPr>
          <w:rFonts w:ascii="Times New Roman" w:hAnsi="Times New Roman"/>
          <w:bCs/>
          <w:iCs/>
          <w:noProof/>
        </w:rPr>
        <w:t xml:space="preserve">Общото финансово участие на EIT за изпълнението на бизнес плановете за общностите на знание и иновации (ОЗИ) за 2019 г. беше на стойност 470 милиона евро. </w:t>
      </w:r>
    </w:p>
    <w:p>
      <w:pPr>
        <w:jc w:val="both"/>
        <w:rPr>
          <w:rFonts w:ascii="Times New Roman" w:hAnsi="Times New Roman" w:cs="Times New Roman"/>
          <w:noProof/>
        </w:rPr>
      </w:pPr>
      <w:r>
        <w:rPr>
          <w:rFonts w:ascii="Times New Roman" w:hAnsi="Times New Roman"/>
          <w:noProof/>
        </w:rPr>
        <w:t>Моделът за иновации на EIT функционира и оказва действително въздействие върху някои от най-сериозните обществени предизвикателства в Европа. През 2019 г. общността на EIT нарасна до надеждна мрежа от около 1650 партньори с 51 центрове със споделена локация в 16 държави членки, което превърна EIT в една от най-големите в Европа иновационни общности за работа в мрежа. От създаването си насам EIT е подкрепил над 1250 новосъздадени и разрастващи се предприятия, създал е над 6100 висококвалифицирани работни места и е представил над 600 нови продукти и услуги на пазара.</w:t>
      </w:r>
    </w:p>
    <w:p>
      <w:pPr>
        <w:jc w:val="both"/>
        <w:rPr>
          <w:rFonts w:ascii="Times New Roman" w:hAnsi="Times New Roman" w:cs="Times New Roman"/>
          <w:noProof/>
        </w:rPr>
      </w:pPr>
    </w:p>
    <w:p>
      <w:pPr>
        <w:jc w:val="both"/>
        <w:rPr>
          <w:rFonts w:ascii="Times New Roman" w:hAnsi="Times New Roman" w:cs="Times New Roman"/>
          <w:b/>
          <w:bCs/>
          <w:iCs/>
          <w:noProof/>
        </w:rPr>
      </w:pPr>
      <w:r>
        <w:rPr>
          <w:rFonts w:ascii="Times New Roman" w:hAnsi="Times New Roman"/>
          <w:b/>
          <w:noProof/>
        </w:rPr>
        <w:t>5.</w:t>
      </w:r>
      <w:r>
        <w:rPr>
          <w:rFonts w:ascii="Times New Roman" w:hAnsi="Times New Roman"/>
          <w:b/>
          <w:noProof/>
        </w:rPr>
        <w:tab/>
        <w:t>Изпълнение на програмата на Евратом, допълваща програмата „Хоризонт 2020“</w:t>
      </w:r>
    </w:p>
    <w:p>
      <w:pPr>
        <w:numPr>
          <w:ilvl w:val="1"/>
          <w:numId w:val="28"/>
        </w:numPr>
        <w:jc w:val="both"/>
        <w:rPr>
          <w:rFonts w:ascii="Times New Roman" w:hAnsi="Times New Roman" w:cs="Times New Roman"/>
          <w:b/>
          <w:i/>
          <w:noProof/>
        </w:rPr>
      </w:pPr>
      <w:r>
        <w:rPr>
          <w:rFonts w:ascii="Times New Roman" w:hAnsi="Times New Roman"/>
          <w:b/>
          <w:i/>
          <w:noProof/>
        </w:rPr>
        <w:t>Непреки действия</w:t>
      </w:r>
    </w:p>
    <w:p>
      <w:pPr>
        <w:jc w:val="both"/>
        <w:rPr>
          <w:rFonts w:ascii="Times New Roman" w:hAnsi="Times New Roman" w:cs="Times New Roman"/>
          <w:noProof/>
        </w:rPr>
      </w:pPr>
      <w:r>
        <w:rPr>
          <w:rFonts w:ascii="Times New Roman" w:hAnsi="Times New Roman"/>
          <w:noProof/>
        </w:rPr>
        <w:t>До края на 2019 г. бяха приключени четири покани за представяне на предложения, като бяха представени 192 отговарящи на условията предложения, с които беше поискано финансово участие от Евратом на обща стойност 725,70 милиона евро. 62 от тях бяха избрани за финансиране с участие от Евратом в размер на 271,29 милиона евро, като общият процент на успеваемост на отговарящите на условията пълни предложения от 2014 г. насам е 32,12.</w:t>
      </w:r>
    </w:p>
    <w:p>
      <w:pPr>
        <w:jc w:val="both"/>
        <w:rPr>
          <w:rFonts w:ascii="Times New Roman" w:hAnsi="Times New Roman" w:cs="Times New Roman"/>
          <w:noProof/>
        </w:rPr>
      </w:pPr>
      <w:r>
        <w:rPr>
          <w:rFonts w:ascii="Times New Roman" w:hAnsi="Times New Roman"/>
          <w:noProof/>
        </w:rPr>
        <w:t xml:space="preserve">Петата покана за представяне на предложения беше приключена в края на 2019 г. (с дата на приключване 25 септември). 62 предложения по поканата отговаряха на условията, като с тях беше поискано финансово участие от Евратом на обща стойност 265,33 милиона евро. След оценката 31 предложения бяха препоръчани за финансиране с участие от 133,19 милиона евро. Споразуменията за безвъзмездни средства следва да бъдат подписани, а средствата — отпуснати, през 2020 г., при условие че всички необходими проверки преминат успешно. </w:t>
      </w:r>
    </w:p>
    <w:p>
      <w:pPr>
        <w:jc w:val="both"/>
        <w:rPr>
          <w:rFonts w:ascii="Times New Roman" w:hAnsi="Times New Roman" w:cs="Times New Roman"/>
          <w:b/>
          <w:i/>
          <w:noProof/>
        </w:rPr>
      </w:pPr>
      <w:r>
        <w:rPr>
          <w:rFonts w:ascii="Times New Roman" w:hAnsi="Times New Roman"/>
          <w:b/>
          <w:bCs/>
          <w:i/>
          <w:iCs/>
          <w:noProof/>
        </w:rPr>
        <w:t xml:space="preserve">5.2 Преки действия в ядрената област, осъществени от Съвместния изследователски център (JRC) </w:t>
      </w:r>
    </w:p>
    <w:p>
      <w:pPr>
        <w:jc w:val="both"/>
        <w:rPr>
          <w:rFonts w:ascii="Times New Roman" w:hAnsi="Times New Roman" w:cs="Times New Roman"/>
          <w:noProof/>
        </w:rPr>
      </w:pPr>
      <w:r>
        <w:rPr>
          <w:rFonts w:ascii="Times New Roman" w:hAnsi="Times New Roman"/>
          <w:noProof/>
        </w:rPr>
        <w:t xml:space="preserve">Преките действия, осъществени от JRC през 2019 г., обхванаха научните изследвания и обучението в областите, избрани по специфичните цели на програмата: </w:t>
      </w:r>
    </w:p>
    <w:p>
      <w:pPr>
        <w:numPr>
          <w:ilvl w:val="0"/>
          <w:numId w:val="24"/>
        </w:numPr>
        <w:jc w:val="both"/>
        <w:rPr>
          <w:rFonts w:ascii="Times New Roman" w:hAnsi="Times New Roman" w:cs="Times New Roman"/>
          <w:noProof/>
        </w:rPr>
      </w:pPr>
      <w:r>
        <w:rPr>
          <w:rFonts w:ascii="Times New Roman" w:hAnsi="Times New Roman"/>
          <w:noProof/>
        </w:rPr>
        <w:t xml:space="preserve">подобряване на ядрената безопасност; </w:t>
      </w:r>
    </w:p>
    <w:p>
      <w:pPr>
        <w:numPr>
          <w:ilvl w:val="0"/>
          <w:numId w:val="24"/>
        </w:numPr>
        <w:jc w:val="both"/>
        <w:rPr>
          <w:rFonts w:ascii="Times New Roman" w:hAnsi="Times New Roman" w:cs="Times New Roman"/>
          <w:noProof/>
        </w:rPr>
      </w:pPr>
      <w:r>
        <w:rPr>
          <w:rFonts w:ascii="Times New Roman" w:hAnsi="Times New Roman"/>
          <w:noProof/>
        </w:rPr>
        <w:t xml:space="preserve">подобряване на ядрените гаранции за неразпространение и сигурност; </w:t>
      </w:r>
    </w:p>
    <w:p>
      <w:pPr>
        <w:numPr>
          <w:ilvl w:val="0"/>
          <w:numId w:val="24"/>
        </w:numPr>
        <w:jc w:val="both"/>
        <w:rPr>
          <w:rFonts w:ascii="Times New Roman" w:hAnsi="Times New Roman" w:cs="Times New Roman"/>
          <w:noProof/>
        </w:rPr>
      </w:pPr>
      <w:r>
        <w:rPr>
          <w:rFonts w:ascii="Times New Roman" w:hAnsi="Times New Roman"/>
          <w:noProof/>
        </w:rPr>
        <w:t>увеличаване на високите постижения за основни научни познания, както и стандарти и референтни материали;</w:t>
      </w:r>
    </w:p>
    <w:p>
      <w:pPr>
        <w:numPr>
          <w:ilvl w:val="0"/>
          <w:numId w:val="24"/>
        </w:numPr>
        <w:jc w:val="both"/>
        <w:rPr>
          <w:rFonts w:ascii="Times New Roman" w:hAnsi="Times New Roman" w:cs="Times New Roman"/>
          <w:noProof/>
        </w:rPr>
      </w:pPr>
      <w:r>
        <w:rPr>
          <w:rFonts w:ascii="Times New Roman" w:hAnsi="Times New Roman"/>
          <w:noProof/>
        </w:rPr>
        <w:t xml:space="preserve">насърчаване на управлението на знанията, образованието и обучението на напреднало ниво; </w:t>
      </w:r>
    </w:p>
    <w:p>
      <w:pPr>
        <w:numPr>
          <w:ilvl w:val="0"/>
          <w:numId w:val="24"/>
        </w:numPr>
        <w:jc w:val="both"/>
        <w:rPr>
          <w:rFonts w:ascii="Times New Roman" w:hAnsi="Times New Roman" w:cs="Times New Roman"/>
          <w:noProof/>
        </w:rPr>
      </w:pPr>
      <w:r>
        <w:rPr>
          <w:rFonts w:ascii="Times New Roman" w:hAnsi="Times New Roman"/>
          <w:noProof/>
        </w:rPr>
        <w:t>предоставяне на научна и техническа подкрепа за политиките, свързани с ЕС.</w:t>
      </w:r>
    </w:p>
    <w:p>
      <w:pPr>
        <w:jc w:val="both"/>
        <w:rPr>
          <w:rFonts w:ascii="Times New Roman" w:hAnsi="Times New Roman" w:cs="Times New Roman"/>
          <w:noProof/>
        </w:rPr>
      </w:pPr>
      <w:r>
        <w:rPr>
          <w:rFonts w:ascii="Times New Roman" w:hAnsi="Times New Roman"/>
          <w:noProof/>
        </w:rPr>
        <w:t xml:space="preserve">През 2019 г. учени от JRC публикуваха 99 статии в рецензирани периодични издания и 37 статии в монографии или други периодични издания; също така JRC публикува 15 документа „наука за политика“ и 102 технически доклада, заедно с референтни методи и показатели за измерване, технически системи и научни бази данни. И накрая, JRC организира 25 курса за обучение на професионалисти и студенти от държавите членки и Комисията, като предостави достъп до своята изследователска инфраструктура в ядрената област. </w:t>
      </w:r>
    </w:p>
    <w:p>
      <w:pPr>
        <w:jc w:val="both"/>
        <w:rPr>
          <w:rFonts w:ascii="Times New Roman" w:hAnsi="Times New Roman" w:cs="Times New Roman"/>
          <w:b/>
          <w:noProof/>
        </w:rPr>
      </w:pPr>
      <w:r>
        <w:rPr>
          <w:rFonts w:ascii="Times New Roman" w:hAnsi="Times New Roman"/>
          <w:b/>
          <w:noProof/>
        </w:rPr>
        <w:t xml:space="preserve">6. </w:t>
      </w:r>
      <w:r>
        <w:rPr>
          <w:rFonts w:ascii="Times New Roman" w:hAnsi="Times New Roman"/>
          <w:b/>
          <w:noProof/>
        </w:rPr>
        <w:tab/>
        <w:t>Комуникация, използване и разпространение на резултатите</w:t>
      </w:r>
    </w:p>
    <w:p>
      <w:pPr>
        <w:jc w:val="both"/>
        <w:rPr>
          <w:rFonts w:ascii="Times New Roman" w:hAnsi="Times New Roman" w:cs="Times New Roman"/>
          <w:noProof/>
        </w:rPr>
      </w:pPr>
      <w:r>
        <w:rPr>
          <w:rFonts w:ascii="Times New Roman" w:hAnsi="Times New Roman"/>
          <w:noProof/>
        </w:rPr>
        <w:t xml:space="preserve">Разпоредбите за свободен достъп за образците на споразумения за отпускане на безвъзмездни средства по „Хоризонт 2020“ гарантират пълна достъпност на почти 75 000 публикации, създадени чрез проекти по „Хоризонт 2020“. През 2019 г. 88 % от статиите, публикувани в рецензирани списания, бяха предоставени за свободен достъп, което превърна политиката на „Хоризонт 2020“ за свободен достъп в една от най-успешните в света. </w:t>
      </w:r>
    </w:p>
    <w:p>
      <w:pPr>
        <w:jc w:val="both"/>
        <w:rPr>
          <w:rFonts w:ascii="Times New Roman" w:hAnsi="Times New Roman" w:cs="Times New Roman"/>
          <w:noProof/>
        </w:rPr>
      </w:pPr>
      <w:r>
        <w:rPr>
          <w:rFonts w:ascii="Times New Roman" w:hAnsi="Times New Roman"/>
          <w:noProof/>
        </w:rPr>
        <w:t xml:space="preserve">Напредващото създаване на интегрирана система за подпомагане използването на резултатите е в почти готов вид: </w:t>
      </w:r>
      <w:r>
        <w:rPr>
          <w:rFonts w:ascii="Times New Roman" w:hAnsi="Times New Roman"/>
          <w:b/>
          <w:bCs/>
          <w:noProof/>
        </w:rPr>
        <w:t>платформа за резултатите от програмата „Хоризонт“</w:t>
      </w:r>
      <w:r>
        <w:rPr>
          <w:rFonts w:ascii="Times New Roman" w:hAnsi="Times New Roman"/>
          <w:noProof/>
        </w:rPr>
        <w:t xml:space="preserve">, която позволява на бенефициерите да публикуват резултатите си от научни изследвания и да определят потребностите за по-нататъшно използване на резултатите, представени по време на дните на научните изследвания и иновациите през 2019 г. Приключи тръжната процедура за нови услуги </w:t>
      </w:r>
      <w:r>
        <w:rPr>
          <w:rFonts w:ascii="Times New Roman" w:hAnsi="Times New Roman"/>
          <w:b/>
          <w:bCs/>
          <w:noProof/>
        </w:rPr>
        <w:t>за стимулиране на разпространението и оползотворяване на резултатите</w:t>
      </w:r>
      <w:r>
        <w:rPr>
          <w:rFonts w:ascii="Times New Roman" w:hAnsi="Times New Roman"/>
          <w:noProof/>
        </w:rPr>
        <w:t xml:space="preserve"> с цел предоставяне на целенасочени услуги на бенефициерите въз основа на техните потребности. Първото издание на</w:t>
      </w:r>
      <w:r>
        <w:rPr>
          <w:rFonts w:ascii="Times New Roman" w:hAnsi="Times New Roman"/>
          <w:b/>
          <w:bCs/>
          <w:noProof/>
        </w:rPr>
        <w:t xml:space="preserve"> Наградите на „Хоризонт“ за изключително отражение</w:t>
      </w:r>
      <w:r>
        <w:rPr>
          <w:rFonts w:ascii="Times New Roman" w:hAnsi="Times New Roman"/>
          <w:noProof/>
        </w:rPr>
        <w:t xml:space="preserve">, с които се признават и отличават изключителни проекти по „Хоризонт 2020“ или Седмата рамкова програма за научни изследвания и технологично развитие с доказана социална стойност, се проведе по време на дните на научните изследвания и иновациите през 2019 г. Освен това продължава предприемането на стъпки за изпълнение на </w:t>
      </w:r>
      <w:r>
        <w:rPr>
          <w:rFonts w:ascii="Times New Roman" w:hAnsi="Times New Roman"/>
          <w:b/>
          <w:bCs/>
          <w:noProof/>
        </w:rPr>
        <w:t>стратегията за данните</w:t>
      </w:r>
      <w:r>
        <w:rPr>
          <w:rFonts w:ascii="Times New Roman" w:hAnsi="Times New Roman"/>
          <w:noProof/>
        </w:rPr>
        <w:t xml:space="preserve"> за свързване и увеличаване на оперативната съвместимост на данните от рамковата програма с външни набори от данни, като например публикации или патенти, както и национални и регионални данни за научни изследвания и иновации в рамките на нова инициатива — </w:t>
      </w:r>
      <w:r>
        <w:rPr>
          <w:rFonts w:ascii="Times New Roman" w:hAnsi="Times New Roman"/>
          <w:b/>
          <w:noProof/>
        </w:rPr>
        <w:t>Европейски център за данни в областта на научните изследвания и иновациите</w:t>
      </w:r>
      <w:r>
        <w:rPr>
          <w:rFonts w:ascii="Times New Roman" w:hAnsi="Times New Roman"/>
          <w:noProof/>
        </w:rPr>
        <w:t xml:space="preserve">. Постигнат беше напредък и по отношение на </w:t>
      </w:r>
      <w:r>
        <w:rPr>
          <w:rFonts w:ascii="Times New Roman" w:hAnsi="Times New Roman"/>
          <w:b/>
          <w:noProof/>
        </w:rPr>
        <w:t>IRIS —</w:t>
      </w:r>
      <w:r>
        <w:rPr>
          <w:rFonts w:ascii="Times New Roman" w:hAnsi="Times New Roman"/>
          <w:noProof/>
        </w:rPr>
        <w:t xml:space="preserve"> инструмент за извличане на данни, както и по отношение на </w:t>
      </w:r>
      <w:r>
        <w:rPr>
          <w:rFonts w:ascii="Times New Roman" w:hAnsi="Times New Roman"/>
          <w:b/>
          <w:noProof/>
        </w:rPr>
        <w:t>проследяването на резултатите от научни изследвания</w:t>
      </w:r>
      <w:r>
        <w:rPr>
          <w:rFonts w:ascii="Times New Roman" w:hAnsi="Times New Roman"/>
          <w:noProof/>
        </w:rPr>
        <w:t xml:space="preserve"> с цел по-добро локализиране и проследяване на резултатите и въздействията от рамковата програма във времето.  </w:t>
      </w:r>
      <w:r>
        <w:rPr>
          <w:rFonts w:ascii="Times New Roman" w:hAnsi="Times New Roman"/>
          <w:b/>
          <w:noProof/>
        </w:rPr>
        <w:t xml:space="preserve"> </w:t>
      </w:r>
    </w:p>
    <w:p>
      <w:pPr>
        <w:jc w:val="both"/>
        <w:rPr>
          <w:rFonts w:ascii="Times New Roman" w:hAnsi="Times New Roman" w:cs="Times New Roman"/>
          <w:noProof/>
        </w:rPr>
      </w:pPr>
      <w:r>
        <w:rPr>
          <w:rFonts w:ascii="Times New Roman" w:hAnsi="Times New Roman"/>
          <w:noProof/>
        </w:rPr>
        <w:t xml:space="preserve">За да се подобри разпространението на резултатите, </w:t>
      </w:r>
      <w:r>
        <w:rPr>
          <w:rFonts w:ascii="Times New Roman" w:hAnsi="Times New Roman"/>
          <w:b/>
          <w:bCs/>
          <w:noProof/>
        </w:rPr>
        <w:t>информационното табло на „Хоризонт“</w:t>
      </w:r>
      <w:r>
        <w:rPr>
          <w:rFonts w:ascii="Times New Roman" w:hAnsi="Times New Roman"/>
          <w:noProof/>
        </w:rPr>
        <w:t>, предоставящо ключова информация и показатели относно финансираните проекти, продължи да бъде усъвършенствано и да обхваща нови фокусни области на политиката като ЕСИ и „Печат за високи постижения“. За първи път на него бяха представени консолидирани стойности относно резултатите, по-специално по отношение на правата върху интелектуална собственост и научните публикации от Седмата рамкова програма за научни изследвания и технологично развитие и „Хоризонт 2020“.</w:t>
      </w:r>
      <w:r>
        <w:rPr>
          <w:rFonts w:ascii="Times New Roman" w:hAnsi="Times New Roman"/>
          <w:i/>
          <w:iCs/>
          <w:noProof/>
        </w:rPr>
        <w:t xml:space="preserve"> </w:t>
      </w:r>
      <w:r>
        <w:rPr>
          <w:rFonts w:ascii="Times New Roman" w:hAnsi="Times New Roman"/>
          <w:iCs/>
          <w:noProof/>
        </w:rPr>
        <w:t>CORDIS продължи да публикува периодичното списание Research*eu и тематичните „Пакети от резултати“, допълнени от информационни дейности чрез събития и социални медии</w:t>
      </w:r>
      <w:r>
        <w:rPr>
          <w:rFonts w:ascii="Times New Roman" w:hAnsi="Times New Roman"/>
          <w:noProof/>
        </w:rPr>
        <w:t xml:space="preserve">. Освен това беше създадена </w:t>
      </w:r>
      <w:r>
        <w:rPr>
          <w:rFonts w:ascii="Times New Roman" w:hAnsi="Times New Roman"/>
          <w:iCs/>
          <w:noProof/>
        </w:rPr>
        <w:t>EuroSciVoc — нова многоезична таксономия в областта на науката, която ще позволи полуавтоматичната класификация на проектите и ще служи като референтен речник за отворена наука.</w:t>
      </w:r>
      <w:r>
        <w:rPr>
          <w:rFonts w:ascii="Times New Roman" w:hAnsi="Times New Roman"/>
          <w:noProof/>
        </w:rPr>
        <w:t xml:space="preserve"> </w:t>
      </w:r>
    </w:p>
    <w:p>
      <w:pPr>
        <w:jc w:val="both"/>
        <w:rPr>
          <w:rFonts w:ascii="Times New Roman" w:hAnsi="Times New Roman" w:cs="Times New Roman"/>
          <w:noProof/>
        </w:rPr>
      </w:pPr>
      <w:r>
        <w:rPr>
          <w:rFonts w:ascii="Times New Roman" w:hAnsi="Times New Roman"/>
          <w:noProof/>
        </w:rPr>
        <w:t>Нощта на европейските изследователи (NIGHT) към действията „Мария Склодовска-Кюри“ се превърна в най-голямото събитие за информираност и популяризиране в областта на научните изследвания в Европа. През 2019 г. NIGHT се проведе на 27 септември 2019 г. в над 400 града и привлече 1,65 милиона посетители във връзка с 55 проекта, финансирани по линия на действията „Мария Склодовска-Кюри“, в които са взели участие 35 000 изследователи.</w:t>
      </w:r>
    </w:p>
    <w:p>
      <w:pPr>
        <w:jc w:val="both"/>
        <w:rPr>
          <w:rFonts w:ascii="Times New Roman" w:hAnsi="Times New Roman" w:cs="Times New Roman"/>
          <w:noProof/>
        </w:rPr>
      </w:pPr>
    </w:p>
    <w:p>
      <w:pPr>
        <w:jc w:val="both"/>
        <w:rPr>
          <w:rFonts w:ascii="Times New Roman" w:hAnsi="Times New Roman" w:cs="Times New Roman"/>
          <w:b/>
          <w:noProof/>
        </w:rPr>
      </w:pPr>
      <w:r>
        <w:rPr>
          <w:rFonts w:ascii="Times New Roman" w:hAnsi="Times New Roman"/>
          <w:b/>
          <w:noProof/>
        </w:rPr>
        <w:t xml:space="preserve">7. </w:t>
      </w:r>
      <w:r>
        <w:rPr>
          <w:rFonts w:ascii="Times New Roman" w:hAnsi="Times New Roman"/>
          <w:b/>
          <w:noProof/>
        </w:rPr>
        <w:tab/>
        <w:t xml:space="preserve">Перспективи  </w:t>
      </w:r>
    </w:p>
    <w:p>
      <w:pPr>
        <w:jc w:val="both"/>
        <w:rPr>
          <w:rFonts w:ascii="Times New Roman" w:hAnsi="Times New Roman" w:cs="Times New Roman"/>
          <w:noProof/>
        </w:rPr>
      </w:pPr>
      <w:r>
        <w:rPr>
          <w:rFonts w:ascii="Times New Roman" w:hAnsi="Times New Roman"/>
          <w:noProof/>
        </w:rPr>
        <w:t>Междуинституционалните преговори по „Хоризонт Европа“ (ДФЕС и Евратом) ще приключат през 2020 г. в зависимост от приключването на общите преговори по бюджета на ЕС за 2021—2027 г. Ще бъде завършен първият стратегически план на „Хоризонт Европа“, подготвящ условията за първите работни програми. Това ще гарантира съгласуваност с новите приоритети на политиката, по-специално изменението на климата и цифровата трансформация.</w:t>
      </w:r>
      <w:r>
        <w:rPr>
          <w:rFonts w:ascii="Times New Roman" w:hAnsi="Times New Roman"/>
          <w:i/>
          <w:iCs/>
          <w:noProof/>
        </w:rPr>
        <w:t xml:space="preserve"> </w:t>
      </w:r>
      <w:r>
        <w:rPr>
          <w:rFonts w:ascii="Times New Roman" w:hAnsi="Times New Roman"/>
          <w:iCs/>
          <w:noProof/>
        </w:rPr>
        <w:t>Ще бъдат предприети и специални мерки в контекста на пандемията от коронавируса (COVID-19).</w:t>
      </w:r>
    </w:p>
    <w:p>
      <w:pPr>
        <w:jc w:val="both"/>
        <w:rPr>
          <w:rFonts w:ascii="Times New Roman" w:hAnsi="Times New Roman" w:cs="Times New Roman"/>
          <w:noProof/>
        </w:rPr>
      </w:pPr>
      <w:r>
        <w:rPr>
          <w:rFonts w:ascii="Times New Roman" w:hAnsi="Times New Roman"/>
          <w:noProof/>
        </w:rPr>
        <w:t>Значителни усилия ще бъдат положени и за изготвянето на</w:t>
      </w:r>
      <w:r>
        <w:rPr>
          <w:rFonts w:ascii="Times New Roman" w:hAnsi="Times New Roman"/>
          <w:b/>
          <w:noProof/>
        </w:rPr>
        <w:t xml:space="preserve"> политика за по-добро стимулиране на научните изследвания и иновациите в Европа</w:t>
      </w:r>
      <w:r>
        <w:rPr>
          <w:rFonts w:ascii="Times New Roman" w:hAnsi="Times New Roman"/>
          <w:noProof/>
        </w:rPr>
        <w:t xml:space="preserve"> в подкрепа на </w:t>
      </w:r>
      <w:r>
        <w:rPr>
          <w:rFonts w:ascii="Times New Roman" w:hAnsi="Times New Roman"/>
          <w:b/>
          <w:noProof/>
        </w:rPr>
        <w:t>целите за устойчиво развитие на ООН</w:t>
      </w:r>
      <w:r>
        <w:rPr>
          <w:rFonts w:ascii="Times New Roman" w:hAnsi="Times New Roman"/>
          <w:noProof/>
        </w:rPr>
        <w:t xml:space="preserve"> и за постигане на стратегическите цели на ЕС. По-специално това включва разработването на всеобхватна рамка за инвестиране на ресурси на ЕС, стимулиране на реформи и подобряване на условията за регулаторната рамка. </w:t>
      </w:r>
    </w:p>
    <w:p>
      <w:pPr>
        <w:jc w:val="both"/>
        <w:rPr>
          <w:rFonts w:ascii="Times New Roman" w:hAnsi="Times New Roman" w:cs="Times New Roman"/>
          <w:noProof/>
        </w:rPr>
      </w:pPr>
      <w:r>
        <w:rPr>
          <w:rFonts w:ascii="Times New Roman" w:hAnsi="Times New Roman"/>
          <w:noProof/>
        </w:rPr>
        <w:t>До средата на 2020 г. Комисията ще представи</w:t>
      </w:r>
      <w:r>
        <w:rPr>
          <w:rFonts w:ascii="Times New Roman" w:hAnsi="Times New Roman"/>
          <w:b/>
          <w:noProof/>
        </w:rPr>
        <w:t xml:space="preserve"> съобщение относно мисиите на „Хоризонт Европа“ и</w:t>
      </w:r>
      <w:r>
        <w:rPr>
          <w:rFonts w:ascii="Times New Roman" w:hAnsi="Times New Roman"/>
          <w:noProof/>
        </w:rPr>
        <w:t xml:space="preserve"> </w:t>
      </w:r>
      <w:r>
        <w:rPr>
          <w:rFonts w:ascii="Times New Roman" w:hAnsi="Times New Roman"/>
          <w:b/>
          <w:noProof/>
        </w:rPr>
        <w:t>съобщение относно бъдещето на политиката относно научните изследвания и иновациите в ЕС и ЕНП</w:t>
      </w:r>
      <w:r>
        <w:rPr>
          <w:rFonts w:ascii="Times New Roman" w:hAnsi="Times New Roman"/>
          <w:noProof/>
        </w:rPr>
        <w:t xml:space="preserve">. ЕНП ще бъде основен приоритет и по време на хърватското и германското председателства през 2020 г. </w:t>
      </w:r>
    </w:p>
    <w:p>
      <w:pPr>
        <w:jc w:val="both"/>
        <w:rPr>
          <w:rFonts w:ascii="Times New Roman" w:hAnsi="Times New Roman" w:cs="Times New Roman"/>
          <w:noProof/>
        </w:rPr>
      </w:pPr>
      <w:r>
        <w:rPr>
          <w:rFonts w:ascii="Times New Roman" w:hAnsi="Times New Roman"/>
          <w:noProof/>
        </w:rPr>
        <w:t>Следващите, втори по ред,</w:t>
      </w:r>
      <w:r>
        <w:rPr>
          <w:rFonts w:ascii="Times New Roman" w:hAnsi="Times New Roman"/>
          <w:b/>
          <w:noProof/>
        </w:rPr>
        <w:t xml:space="preserve"> дни на научните изследвания и иновациите</w:t>
      </w:r>
      <w:r>
        <w:rPr>
          <w:rFonts w:ascii="Times New Roman" w:hAnsi="Times New Roman"/>
          <w:noProof/>
        </w:rPr>
        <w:t xml:space="preserve"> ще се проведат през септември 2020 г. с цел да допринесат за Конференцията за </w:t>
      </w:r>
      <w:hyperlink r:id="rId53" w:history="1">
        <w:r>
          <w:rPr>
            <w:rStyle w:val="Hyperlink"/>
            <w:rFonts w:ascii="Times New Roman" w:hAnsi="Times New Roman"/>
            <w:noProof/>
            <w:color w:val="auto"/>
          </w:rPr>
          <w:t>бъдещето на Европа</w:t>
        </w:r>
      </w:hyperlink>
      <w:r>
        <w:rPr>
          <w:rFonts w:ascii="Times New Roman" w:hAnsi="Times New Roman"/>
          <w:noProof/>
        </w:rPr>
        <w:t xml:space="preserve">, като ангажирането на заинтересованите страни ще продължи да бъде значима част от процеса на стратегическо планиране на „Хоризонт Европа“ и подготовката на работните програми на „Хоризонт Европа“. </w:t>
      </w:r>
    </w:p>
    <w:p>
      <w:pPr>
        <w:rPr>
          <w:noProof/>
        </w:rPr>
      </w:pPr>
    </w:p>
    <w:sectPr>
      <w:headerReference w:type="even" r:id="rId54"/>
      <w:headerReference w:type="default" r:id="rId55"/>
      <w:footerReference w:type="even" r:id="rId56"/>
      <w:footerReference w:type="default" r:id="rId57"/>
      <w:headerReference w:type="first" r:id="rId58"/>
      <w:footerReference w:type="first" r:id="rId59"/>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p;quo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EC Square Sans Pro">
    <w:panose1 w:val="020B0506040000020004"/>
    <w:charset w:val="00"/>
    <w:family w:val="swiss"/>
    <w:pitch w:val="variable"/>
    <w:sig w:usb0="A00002BF" w:usb1="5000E0F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558143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Fonts w:eastAsiaTheme="minorHAnsi"/>
        </w:rPr>
        <w:footnoteRef/>
      </w:r>
      <w:r>
        <w:t xml:space="preserve"> През 2020 г. по тази точка ще бъдат проведени междуинституционални преговори.</w:t>
      </w:r>
    </w:p>
  </w:footnote>
  <w:footnote w:id="2">
    <w:p>
      <w:pPr>
        <w:pStyle w:val="FootnoteText"/>
        <w:rPr>
          <w:rFonts w:ascii="Times New Roman" w:hAnsi="Times New Roman" w:cs="Times New Roman"/>
        </w:rPr>
      </w:pPr>
      <w:r>
        <w:rPr>
          <w:rStyle w:val="FootnoteReference"/>
          <w:rFonts w:eastAsiaTheme="minorHAnsi"/>
        </w:rPr>
        <w:footnoteRef/>
      </w:r>
      <w:r>
        <w:t xml:space="preserve"> </w:t>
      </w:r>
      <w:r>
        <w:rPr>
          <w:rFonts w:ascii="Times New Roman" w:hAnsi="Times New Roman"/>
        </w:rPr>
        <w:t>Акцент в докладите за държавите и специфичните за всяка държава препоръки през 2019 г. бяха инвестициите, тъй като тяхното предназначение беше да предоставят конкретни насоки за програмирането на средствата на ЕС за следващата многогодишна финансова рамка.</w:t>
      </w:r>
    </w:p>
  </w:footnote>
  <w:footnote w:id="3">
    <w:p>
      <w:pPr>
        <w:pStyle w:val="FootnoteText"/>
        <w:rPr>
          <w:rFonts w:ascii="Times New Roman" w:hAnsi="Times New Roman" w:cs="Times New Roman"/>
        </w:rPr>
      </w:pPr>
      <w:r>
        <w:rPr>
          <w:rStyle w:val="FootnoteReference"/>
          <w:rFonts w:eastAsiaTheme="minorHAnsi"/>
        </w:rPr>
        <w:footnoteRef/>
      </w:r>
      <w:r>
        <w:rPr>
          <w:rStyle w:val="FootnoteReference"/>
          <w:rFonts w:eastAsiaTheme="minorHAnsi"/>
        </w:rPr>
        <w:t xml:space="preserve"> </w:t>
      </w:r>
      <w:r>
        <w:rPr>
          <w:rFonts w:ascii="Times New Roman" w:hAnsi="Times New Roman"/>
        </w:rPr>
        <w:t xml:space="preserve">За пълен преглед вж. </w:t>
      </w:r>
      <w:hyperlink r:id="rId1" w:history="1">
        <w:r>
          <w:rPr>
            <w:rStyle w:val="Hyperlink"/>
            <w:rFonts w:ascii="Times New Roman" w:hAnsi="Times New Roman"/>
          </w:rPr>
          <w:t>https://rio.jrc.ec.europa.eu/en/policy-support-facility</w:t>
        </w:r>
      </w:hyperlink>
      <w:r>
        <w:rPr>
          <w:rFonts w:ascii="Times New Roman" w:hAnsi="Times New Roman"/>
        </w:rPr>
        <w:t xml:space="preserve"> </w:t>
      </w:r>
    </w:p>
  </w:footnote>
  <w:footnote w:id="4">
    <w:p>
      <w:pPr>
        <w:pStyle w:val="FootnoteText"/>
      </w:pPr>
      <w:r>
        <w:rPr>
          <w:rStyle w:val="FootnoteReference"/>
          <w:rFonts w:eastAsiaTheme="minorHAnsi"/>
        </w:rPr>
        <w:footnoteRef/>
      </w:r>
      <w:r>
        <w:t xml:space="preserve"> </w:t>
      </w:r>
      <w:r>
        <w:rPr>
          <w:rFonts w:ascii="Times New Roman" w:hAnsi="Times New Roman"/>
        </w:rPr>
        <w:t>Състояние към 5 март 2020 г. (извадка от информационното табло на „Хоризонт 2020“).</w:t>
      </w:r>
    </w:p>
  </w:footnote>
  <w:footnote w:id="5">
    <w:p>
      <w:pPr>
        <w:pStyle w:val="FootnoteText"/>
        <w:rPr>
          <w:rFonts w:ascii="Times New Roman" w:eastAsia="Calibri" w:hAnsi="Times New Roman" w:cs="Times New Roman"/>
        </w:rPr>
      </w:pPr>
      <w:r>
        <w:rPr>
          <w:rStyle w:val="FootnoteReference"/>
          <w:rFonts w:eastAsiaTheme="minorHAnsi"/>
        </w:rPr>
        <w:footnoteRef/>
      </w:r>
      <w:r>
        <w:rPr>
          <w:rFonts w:ascii="Times New Roman" w:hAnsi="Times New Roman"/>
        </w:rPr>
        <w:t xml:space="preserve"> Постоянните покани H2020-Adhoc-2014-20 и EURATOM-Adhoc-2014-20 бяха отчитани само веднъж.</w:t>
      </w:r>
    </w:p>
  </w:footnote>
  <w:footnote w:id="6">
    <w:p>
      <w:pPr>
        <w:pStyle w:val="FootnoteText"/>
      </w:pPr>
      <w:r>
        <w:rPr>
          <w:rStyle w:val="FootnoteReference"/>
          <w:rFonts w:eastAsiaTheme="minorHAnsi"/>
        </w:rPr>
        <w:footnoteRef/>
      </w:r>
      <w:r>
        <w:t xml:space="preserve"> </w:t>
      </w:r>
      <w:r>
        <w:rPr>
          <w:rFonts w:ascii="Times New Roman" w:hAnsi="Times New Roman"/>
        </w:rPr>
        <w:t>Докладите се съсредоточиха върху демографските сценарии за ЕС; бъдещето на градовете и автомобилния транспорт; променящия се характер на труда и уменията в ерата на цифровите технологии; предимствата и недостатъците на технологията на блоковата верига; политическото естество на човека и условията за иновации и научни изследвания в Китай.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567ED"/>
    <w:multiLevelType w:val="hybridMultilevel"/>
    <w:tmpl w:val="6700DD7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082E7F8E"/>
    <w:multiLevelType w:val="hybridMultilevel"/>
    <w:tmpl w:val="5F082108"/>
    <w:lvl w:ilvl="0" w:tplc="02A4C7A6">
      <w:numFmt w:val="bullet"/>
      <w:lvlText w:val="-"/>
      <w:lvlJc w:val="left"/>
      <w:pPr>
        <w:ind w:left="360" w:hanging="360"/>
      </w:pPr>
      <w:rPr>
        <w:rFonts w:ascii="&amp;quot" w:eastAsia="Times New Roman" w:hAnsi="&amp;quot" w:cs="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nsid w:val="121574A5"/>
    <w:multiLevelType w:val="hybridMultilevel"/>
    <w:tmpl w:val="C54EE2C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126B4984"/>
    <w:multiLevelType w:val="hybridMultilevel"/>
    <w:tmpl w:val="2D7690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13E26C79"/>
    <w:multiLevelType w:val="multilevel"/>
    <w:tmpl w:val="7EB44E6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0981A36"/>
    <w:multiLevelType w:val="hybridMultilevel"/>
    <w:tmpl w:val="6F381E30"/>
    <w:lvl w:ilvl="0" w:tplc="02A4C7A6">
      <w:numFmt w:val="bullet"/>
      <w:lvlText w:val="-"/>
      <w:lvlJc w:val="left"/>
      <w:pPr>
        <w:ind w:left="360" w:hanging="360"/>
      </w:pPr>
      <w:rPr>
        <w:rFonts w:ascii="&amp;quot" w:eastAsia="Times New Roman" w:hAnsi="&amp;quot" w:cs="Times New Roman"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nsid w:val="2CE20406"/>
    <w:multiLevelType w:val="multilevel"/>
    <w:tmpl w:val="07966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352915"/>
    <w:multiLevelType w:val="hybridMultilevel"/>
    <w:tmpl w:val="E61C70B2"/>
    <w:lvl w:ilvl="0" w:tplc="02A4C7A6">
      <w:numFmt w:val="bullet"/>
      <w:lvlText w:val="-"/>
      <w:lvlJc w:val="left"/>
      <w:pPr>
        <w:ind w:left="360" w:hanging="360"/>
      </w:pPr>
      <w:rPr>
        <w:rFonts w:ascii="&amp;quot" w:eastAsia="Times New Roman" w:hAnsi="&amp;quot" w:cs="Times New Roman"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nsid w:val="30EA36BF"/>
    <w:multiLevelType w:val="hybridMultilevel"/>
    <w:tmpl w:val="A7DAE49A"/>
    <w:lvl w:ilvl="0" w:tplc="887C799A">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4EB5F0B"/>
    <w:multiLevelType w:val="hybridMultilevel"/>
    <w:tmpl w:val="F370DB3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377F4FFD"/>
    <w:multiLevelType w:val="hybridMultilevel"/>
    <w:tmpl w:val="A9AC9928"/>
    <w:lvl w:ilvl="0" w:tplc="46349112">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38AD0A21"/>
    <w:multiLevelType w:val="hybridMultilevel"/>
    <w:tmpl w:val="987C7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AE35CBA"/>
    <w:multiLevelType w:val="hybridMultilevel"/>
    <w:tmpl w:val="8D7A25B0"/>
    <w:lvl w:ilvl="0" w:tplc="A064A7D2">
      <w:start w:val="4"/>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B8F271B"/>
    <w:multiLevelType w:val="hybridMultilevel"/>
    <w:tmpl w:val="EB2A6E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424109CA"/>
    <w:multiLevelType w:val="hybridMultilevel"/>
    <w:tmpl w:val="837CBF9A"/>
    <w:lvl w:ilvl="0" w:tplc="02A4C7A6">
      <w:numFmt w:val="bullet"/>
      <w:lvlText w:val="-"/>
      <w:lvlJc w:val="left"/>
      <w:pPr>
        <w:ind w:left="360" w:hanging="360"/>
      </w:pPr>
      <w:rPr>
        <w:rFonts w:ascii="&amp;quot" w:eastAsia="Times New Roman" w:hAnsi="&amp;quot" w:cs="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nsid w:val="434B6811"/>
    <w:multiLevelType w:val="hybridMultilevel"/>
    <w:tmpl w:val="22509C3A"/>
    <w:lvl w:ilvl="0" w:tplc="4634911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D61569E"/>
    <w:multiLevelType w:val="hybridMultilevel"/>
    <w:tmpl w:val="44DAED46"/>
    <w:lvl w:ilvl="0" w:tplc="080C0001">
      <w:start w:val="1"/>
      <w:numFmt w:val="bullet"/>
      <w:lvlText w:val=""/>
      <w:lvlJc w:val="left"/>
      <w:pPr>
        <w:ind w:left="1440" w:hanging="360"/>
      </w:pPr>
      <w:rPr>
        <w:rFonts w:ascii="Symbol" w:hAnsi="Symbol" w:hint="default"/>
      </w:rPr>
    </w:lvl>
    <w:lvl w:ilvl="1" w:tplc="080C0003">
      <w:start w:val="1"/>
      <w:numFmt w:val="bullet"/>
      <w:lvlText w:val="o"/>
      <w:lvlJc w:val="left"/>
      <w:pPr>
        <w:ind w:left="2160" w:hanging="360"/>
      </w:pPr>
      <w:rPr>
        <w:rFonts w:ascii="Courier New" w:hAnsi="Courier New" w:cs="Courier New" w:hint="default"/>
      </w:rPr>
    </w:lvl>
    <w:lvl w:ilvl="2" w:tplc="080C0005">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7">
    <w:nsid w:val="57507337"/>
    <w:multiLevelType w:val="hybridMultilevel"/>
    <w:tmpl w:val="9C9A2B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DF725E2"/>
    <w:multiLevelType w:val="hybridMultilevel"/>
    <w:tmpl w:val="01902EC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605D2CEC"/>
    <w:multiLevelType w:val="hybridMultilevel"/>
    <w:tmpl w:val="2B328984"/>
    <w:lvl w:ilvl="0" w:tplc="F29AB8E4">
      <w:start w:val="1"/>
      <w:numFmt w:val="bullet"/>
      <w:pStyle w:va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1890752"/>
    <w:multiLevelType w:val="multilevel"/>
    <w:tmpl w:val="E598B1E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40016E9"/>
    <w:multiLevelType w:val="multilevel"/>
    <w:tmpl w:val="53B6D074"/>
    <w:lvl w:ilvl="0">
      <w:start w:val="2019"/>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nsid w:val="66E95110"/>
    <w:multiLevelType w:val="hybridMultilevel"/>
    <w:tmpl w:val="2EF00FBA"/>
    <w:lvl w:ilvl="0" w:tplc="080C0001">
      <w:start w:val="1"/>
      <w:numFmt w:val="bullet"/>
      <w:lvlText w:val=""/>
      <w:lvlJc w:val="left"/>
      <w:pPr>
        <w:ind w:left="1776" w:hanging="360"/>
      </w:pPr>
      <w:rPr>
        <w:rFonts w:ascii="Symbol" w:hAnsi="Symbol" w:hint="default"/>
      </w:rPr>
    </w:lvl>
    <w:lvl w:ilvl="1" w:tplc="080C0003" w:tentative="1">
      <w:start w:val="1"/>
      <w:numFmt w:val="bullet"/>
      <w:lvlText w:val="o"/>
      <w:lvlJc w:val="left"/>
      <w:pPr>
        <w:ind w:left="2496" w:hanging="360"/>
      </w:pPr>
      <w:rPr>
        <w:rFonts w:ascii="Courier New" w:hAnsi="Courier New" w:cs="Courier New" w:hint="default"/>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cs="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cs="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23">
    <w:nsid w:val="69746349"/>
    <w:multiLevelType w:val="hybridMultilevel"/>
    <w:tmpl w:val="14100226"/>
    <w:lvl w:ilvl="0" w:tplc="68A29AF0">
      <w:start w:val="1"/>
      <w:numFmt w:val="bullet"/>
      <w:lvlText w:val="­"/>
      <w:lvlJc w:val="left"/>
      <w:pPr>
        <w:ind w:left="578" w:hanging="360"/>
      </w:pPr>
      <w:rPr>
        <w:rFonts w:ascii="Courier New" w:hAnsi="Courier New" w:hint="default"/>
      </w:rPr>
    </w:lvl>
    <w:lvl w:ilvl="1" w:tplc="08090003">
      <w:start w:val="1"/>
      <w:numFmt w:val="bullet"/>
      <w:lvlText w:val="o"/>
      <w:lvlJc w:val="left"/>
      <w:pPr>
        <w:ind w:left="1298" w:hanging="360"/>
      </w:pPr>
      <w:rPr>
        <w:rFonts w:ascii="Courier New" w:hAnsi="Courier New" w:cs="Courier New" w:hint="default"/>
      </w:rPr>
    </w:lvl>
    <w:lvl w:ilvl="2" w:tplc="08090005">
      <w:start w:val="1"/>
      <w:numFmt w:val="bullet"/>
      <w:lvlText w:val=""/>
      <w:lvlJc w:val="left"/>
      <w:pPr>
        <w:ind w:left="2018" w:hanging="360"/>
      </w:pPr>
      <w:rPr>
        <w:rFonts w:ascii="Wingdings" w:hAnsi="Wingdings" w:hint="default"/>
      </w:rPr>
    </w:lvl>
    <w:lvl w:ilvl="3" w:tplc="08090001">
      <w:start w:val="1"/>
      <w:numFmt w:val="bullet"/>
      <w:lvlText w:val=""/>
      <w:lvlJc w:val="left"/>
      <w:pPr>
        <w:ind w:left="2738" w:hanging="360"/>
      </w:pPr>
      <w:rPr>
        <w:rFonts w:ascii="Symbol" w:hAnsi="Symbol" w:hint="default"/>
      </w:rPr>
    </w:lvl>
    <w:lvl w:ilvl="4" w:tplc="08090003">
      <w:start w:val="1"/>
      <w:numFmt w:val="bullet"/>
      <w:lvlText w:val="o"/>
      <w:lvlJc w:val="left"/>
      <w:pPr>
        <w:ind w:left="3458" w:hanging="360"/>
      </w:pPr>
      <w:rPr>
        <w:rFonts w:ascii="Courier New" w:hAnsi="Courier New" w:cs="Courier New" w:hint="default"/>
      </w:rPr>
    </w:lvl>
    <w:lvl w:ilvl="5" w:tplc="08090005">
      <w:start w:val="1"/>
      <w:numFmt w:val="bullet"/>
      <w:lvlText w:val=""/>
      <w:lvlJc w:val="left"/>
      <w:pPr>
        <w:ind w:left="4178" w:hanging="360"/>
      </w:pPr>
      <w:rPr>
        <w:rFonts w:ascii="Wingdings" w:hAnsi="Wingdings" w:hint="default"/>
      </w:rPr>
    </w:lvl>
    <w:lvl w:ilvl="6" w:tplc="08090001">
      <w:start w:val="1"/>
      <w:numFmt w:val="bullet"/>
      <w:lvlText w:val=""/>
      <w:lvlJc w:val="left"/>
      <w:pPr>
        <w:ind w:left="4898" w:hanging="360"/>
      </w:pPr>
      <w:rPr>
        <w:rFonts w:ascii="Symbol" w:hAnsi="Symbol" w:hint="default"/>
      </w:rPr>
    </w:lvl>
    <w:lvl w:ilvl="7" w:tplc="08090003">
      <w:start w:val="1"/>
      <w:numFmt w:val="bullet"/>
      <w:lvlText w:val="o"/>
      <w:lvlJc w:val="left"/>
      <w:pPr>
        <w:ind w:left="5618" w:hanging="360"/>
      </w:pPr>
      <w:rPr>
        <w:rFonts w:ascii="Courier New" w:hAnsi="Courier New" w:cs="Courier New" w:hint="default"/>
      </w:rPr>
    </w:lvl>
    <w:lvl w:ilvl="8" w:tplc="08090005">
      <w:start w:val="1"/>
      <w:numFmt w:val="bullet"/>
      <w:lvlText w:val=""/>
      <w:lvlJc w:val="left"/>
      <w:pPr>
        <w:ind w:left="6338" w:hanging="360"/>
      </w:pPr>
      <w:rPr>
        <w:rFonts w:ascii="Wingdings" w:hAnsi="Wingdings" w:hint="default"/>
      </w:rPr>
    </w:lvl>
  </w:abstractNum>
  <w:abstractNum w:abstractNumId="24">
    <w:nsid w:val="6CB1187C"/>
    <w:multiLevelType w:val="hybridMultilevel"/>
    <w:tmpl w:val="5B64896E"/>
    <w:lvl w:ilvl="0" w:tplc="10722276">
      <w:start w:val="3"/>
      <w:numFmt w:val="bullet"/>
      <w:lvlText w:val="-"/>
      <w:lvlJc w:val="left"/>
      <w:pPr>
        <w:ind w:left="720" w:hanging="360"/>
      </w:pPr>
      <w:rPr>
        <w:rFonts w:ascii="Times New Roman" w:eastAsiaTheme="minorHAnsi" w:hAnsi="Times New Roman" w:cs="Times New Roman" w:hint="default"/>
        <w:b/>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nsid w:val="78F81555"/>
    <w:multiLevelType w:val="hybridMultilevel"/>
    <w:tmpl w:val="1A0A3A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7BD86DD8"/>
    <w:multiLevelType w:val="hybridMultilevel"/>
    <w:tmpl w:val="69043EF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nsid w:val="7C8E2FDC"/>
    <w:multiLevelType w:val="hybridMultilevel"/>
    <w:tmpl w:val="9A8EA1A0"/>
    <w:lvl w:ilvl="0" w:tplc="02A4C7A6">
      <w:numFmt w:val="bullet"/>
      <w:lvlText w:val="-"/>
      <w:lvlJc w:val="left"/>
      <w:pPr>
        <w:ind w:left="360" w:hanging="360"/>
      </w:pPr>
      <w:rPr>
        <w:rFonts w:ascii="&amp;quot" w:eastAsia="Times New Roman" w:hAnsi="&amp;quot" w:cs="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0"/>
  </w:num>
  <w:num w:numId="2">
    <w:abstractNumId w:val="26"/>
  </w:num>
  <w:num w:numId="3">
    <w:abstractNumId w:val="17"/>
  </w:num>
  <w:num w:numId="4">
    <w:abstractNumId w:val="15"/>
  </w:num>
  <w:num w:numId="5">
    <w:abstractNumId w:val="10"/>
  </w:num>
  <w:num w:numId="6">
    <w:abstractNumId w:val="6"/>
  </w:num>
  <w:num w:numId="7">
    <w:abstractNumId w:val="19"/>
  </w:num>
  <w:num w:numId="8">
    <w:abstractNumId w:val="8"/>
  </w:num>
  <w:num w:numId="9">
    <w:abstractNumId w:val="22"/>
  </w:num>
  <w:num w:numId="10">
    <w:abstractNumId w:val="16"/>
  </w:num>
  <w:num w:numId="11">
    <w:abstractNumId w:val="24"/>
  </w:num>
  <w:num w:numId="12">
    <w:abstractNumId w:val="13"/>
  </w:num>
  <w:num w:numId="13">
    <w:abstractNumId w:val="11"/>
  </w:num>
  <w:num w:numId="14">
    <w:abstractNumId w:val="5"/>
  </w:num>
  <w:num w:numId="15">
    <w:abstractNumId w:val="7"/>
  </w:num>
  <w:num w:numId="16">
    <w:abstractNumId w:val="3"/>
  </w:num>
  <w:num w:numId="17">
    <w:abstractNumId w:val="18"/>
  </w:num>
  <w:num w:numId="18">
    <w:abstractNumId w:val="1"/>
  </w:num>
  <w:num w:numId="19">
    <w:abstractNumId w:val="14"/>
  </w:num>
  <w:num w:numId="20">
    <w:abstractNumId w:val="21"/>
  </w:num>
  <w:num w:numId="21">
    <w:abstractNumId w:val="4"/>
  </w:num>
  <w:num w:numId="22">
    <w:abstractNumId w:val="27"/>
  </w:num>
  <w:num w:numId="23">
    <w:abstractNumId w:val="12"/>
  </w:num>
  <w:num w:numId="24">
    <w:abstractNumId w:val="23"/>
  </w:num>
  <w:num w:numId="25">
    <w:abstractNumId w:val="25"/>
  </w:num>
  <w:num w:numId="26">
    <w:abstractNumId w:val="2"/>
  </w:num>
  <w:num w:numId="27">
    <w:abstractNumId w:val="9"/>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t;UNUSED&gt;"/>
    <w:docVar w:name="LW_CORRIGENDUM" w:val="&lt;UNUSED&gt;"/>
    <w:docVar w:name="LW_COVERPAGE_EXISTS" w:val="True"/>
    <w:docVar w:name="LW_COVERPAGE_GUID" w:val="4CBAA7EA-D2F5-4E36-8B49-6E532BE928EF"/>
    <w:docVar w:name="LW_COVERPAGE_TYPE" w:val="1"/>
    <w:docVar w:name="LW_CROSSREFERENCE" w:val="&lt;UNUSED&gt;"/>
    <w:docVar w:name="LW_DATE.ADOPT.CP_ISODATE" w:val="&lt;EMPTY&gt;"/>
    <w:docVar w:name="LW_DocType" w:val="NORMAL"/>
    <w:docVar w:name="LW_EMISSION" w:val="15.7.2020"/>
    <w:docVar w:name="LW_EMISSION_ISODATE" w:val="2020-07-15"/>
    <w:docVar w:name="LW_EMISSION_LOCATION" w:val="BRX"/>
    <w:docVar w:name="LW_EMISSION_PREFIX" w:val="Брюксел, "/>
    <w:docVar w:name="LW_EMISSION_SUFFIX" w:val=" \u1075?."/>
    <w:docVar w:name="LW_ID_DOCTYPE_NONLW" w:val="CP-006"/>
    <w:docVar w:name="LW_INTERETEEE.CP" w:val="&lt;UNUSED&gt;"/>
    <w:docVar w:name="LW_LANGUE" w:val="BG"/>
    <w:docVar w:name="LW_LANGUESFAISANTFOI.CP" w:val="&lt;UNUSED&gt;"/>
    <w:docVar w:name="LW_LEVEL_OF_SENSITIVITY" w:val="Standard treatment"/>
    <w:docVar w:name="LW_NOM.INST" w:val="\u1045?\u1042?\u1056?\u1054?\u1055?\u1045?\u1049?\u1057?\u1050?\u1040? \u1050?\u1054?\u1052?\u1048?\u1057?\u1048?\u1071?"/>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31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u1044?\u1077?\u1081?\u1085?\u1086?\u1089?\u1090?\u1080? \u1085?\u1072? \u1045?\u1057? \u1074? \u1086?\u1073?\u1083?\u1072?\u1089?\u1090?\u1090?\u1072? \u1085?\u1072? \u1085?\u1072?\u1091?\u1095?\u1085?\u1080?\u1090?\u1077? \u1080?\u1079?\u1089?\u1083?\u1077?\u1076?\u1074?\u1072?\u1085?\u1080?\u1103? \u1080? \u1090?\u1077?\u1093?\u1085?\u1086?\u1083?\u1086?\u1075?\u1080?\u1095?\u1085?\u1086?\u1090?\u1086? \u1088?\u1072?\u1079?\u1074?\u1080?\u1090?\u1080?\u1077? \u1080? \u1084?\u1086?\u1085?\u1080?\u1090?\u1086?\u1088?\u1080?\u1085?\u1075? \u1085?\u1072? \u1087?\u1088?\u1086?\u1075?\u1088?\u1072?\u1084?\u1072? \u8222?\u1061?\u1086?\u1088?\u1080?\u1079?\u1086?\u1085?\u1090? 2020\u8220? \u1087?\u1088?\u1077?\u1079? 2019 \u1075?.&lt;/FMT&gt;"/>
    <w:docVar w:name="LW_TYPE.DOC.CP" w:val="\u1044?\u1054?\u1050?\u1051?\u1040?\u1044? \u1053?\u1040? \u1050?\u1054?\u1052?\u1048?\u1057?\u1048?\u1071?\u1058?\u1040? \u1044?\u1054? \u1045?\u1042?\u1056?\u1054?\u1055?\u1045?\u1049?\u1057?\u1050?\u1048?\u1071? \u1055?\u1040?\u1056?\u1051?\u1040?\u1052?\u1045?\u1053?\u1058? \u1048? \u1057?\u1066?\u1042?\u1045?\u1058?\u1040?"/>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after="240" w:line="240" w:lineRule="auto"/>
      <w:outlineLvl w:val="0"/>
    </w:pPr>
    <w:rPr>
      <w:rFonts w:ascii="EC Square Sans Pro" w:eastAsiaTheme="majorEastAsia" w:hAnsi="EC Square Sans Pro" w:cstheme="majorBidi"/>
      <w:caps/>
      <w:sz w:val="44"/>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EC Square Sans Pro" w:eastAsiaTheme="majorEastAsia" w:hAnsi="EC Square Sans Pro" w:cstheme="majorBidi"/>
      <w:caps/>
      <w:sz w:val="44"/>
      <w:szCs w:val="32"/>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Hyperlink">
    <w:name w:val="Hyperlink"/>
    <w:rPr>
      <w:color w:val="0000FF"/>
      <w:u w:val="single"/>
      <w:shd w:val="clear" w:color="auto" w:fill="auto"/>
    </w:rPr>
  </w:style>
  <w:style w:type="character" w:styleId="FootnoteReference">
    <w:name w:val="footnote reference"/>
    <w:link w:val="Nota"/>
    <w:uiPriority w:val="99"/>
    <w:unhideWhenUsed/>
    <w:rPr>
      <w:rFonts w:ascii="Times New Roman" w:eastAsia="Times New Roman" w:hAnsi="Times New Roman" w:cs="Times New Roman"/>
      <w:sz w:val="20"/>
      <w:szCs w:val="20"/>
      <w:vertAlign w:val="superscript"/>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954F72" w:themeColor="followedHyperlink"/>
      <w:u w:val="single"/>
    </w:rPr>
  </w:style>
  <w:style w:type="paragraph" w:styleId="ListParagraph">
    <w:name w:val="List Paragraph"/>
    <w:basedOn w:val="Normal"/>
    <w:uiPriority w:val="34"/>
    <w:qFormat/>
    <w:pPr>
      <w:ind w:left="720"/>
      <w:contextualSpacing/>
    </w:pPr>
  </w:style>
  <w:style w:type="paragraph" w:customStyle="1" w:styleId="Nota">
    <w:name w:val="Nota"/>
    <w:aliases w:val=" Char1,Char1,(NECG) Footnote Reference,fr,Appel note de bas de p,o,Style 6,Signature Ch"/>
    <w:basedOn w:val="Normal"/>
    <w:link w:val="FootnoteReference"/>
    <w:uiPriority w:val="99"/>
    <w:pPr>
      <w:spacing w:line="240" w:lineRule="exact"/>
    </w:pPr>
    <w:rPr>
      <w:rFonts w:ascii="Times New Roman" w:eastAsia="Times New Roman" w:hAnsi="Times New Roman" w:cs="Times New Roman"/>
      <w:sz w:val="20"/>
      <w:szCs w:val="20"/>
      <w:vertAlign w:val="superscript"/>
      <w:lang w:eastAsia="en-GB"/>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Strong">
    <w:name w:val="Strong"/>
    <w:basedOn w:val="DefaultParagraphFont"/>
    <w:uiPriority w:val="22"/>
    <w:qFormat/>
    <w:rPr>
      <w:b/>
      <w:bCs/>
    </w:rPr>
  </w:style>
  <w:style w:type="paragraph" w:customStyle="1" w:styleId="Bullets">
    <w:name w:val="Bullets"/>
    <w:basedOn w:val="Normal"/>
    <w:qFormat/>
    <w:pPr>
      <w:numPr>
        <w:numId w:val="7"/>
      </w:numPr>
      <w:spacing w:after="0" w:line="300" w:lineRule="exact"/>
      <w:ind w:left="454" w:hanging="454"/>
      <w:jc w:val="both"/>
    </w:pPr>
    <w:rPr>
      <w:rFonts w:ascii="EC Square Sans Pro" w:hAnsi="EC Square Sans Pro"/>
    </w:rPr>
  </w:style>
  <w:style w:type="paragraph" w:customStyle="1" w:styleId="Body">
    <w:name w:val="Body"/>
    <w:basedOn w:val="Normal"/>
    <w:qFormat/>
    <w:pPr>
      <w:spacing w:after="240" w:line="300" w:lineRule="exact"/>
    </w:pPr>
    <w:rPr>
      <w:rFonts w:ascii="EC Square Sans Pro" w:hAnsi="EC Square Sans Pro"/>
    </w:rPr>
  </w:style>
  <w:style w:type="character" w:customStyle="1" w:styleId="ilfuvd">
    <w:name w:val="ilfuvd"/>
    <w:basedOn w:val="DefaultParagraphFon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ucun">
    <w:name w:val="Aucun"/>
    <w:basedOn w:val="DefaultParagraphFont"/>
  </w:style>
  <w:style w:type="paragraph" w:customStyle="1" w:styleId="paragraph">
    <w:name w:val="paragraph"/>
    <w:basedOn w:val="Normal"/>
    <w:uiPriority w:val="99"/>
    <w:pPr>
      <w:spacing w:before="100" w:beforeAutospacing="1" w:after="100" w:afterAutospacing="1" w:line="240" w:lineRule="auto"/>
    </w:pPr>
    <w:rPr>
      <w:rFonts w:ascii="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spellingerror">
    <w:name w:val="spellingerror"/>
    <w:basedOn w:val="DefaultParagraphFont"/>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after="240" w:line="240" w:lineRule="auto"/>
      <w:outlineLvl w:val="0"/>
    </w:pPr>
    <w:rPr>
      <w:rFonts w:ascii="EC Square Sans Pro" w:eastAsiaTheme="majorEastAsia" w:hAnsi="EC Square Sans Pro" w:cstheme="majorBidi"/>
      <w:caps/>
      <w:sz w:val="44"/>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EC Square Sans Pro" w:eastAsiaTheme="majorEastAsia" w:hAnsi="EC Square Sans Pro" w:cstheme="majorBidi"/>
      <w:caps/>
      <w:sz w:val="44"/>
      <w:szCs w:val="32"/>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Hyperlink">
    <w:name w:val="Hyperlink"/>
    <w:rPr>
      <w:color w:val="0000FF"/>
      <w:u w:val="single"/>
      <w:shd w:val="clear" w:color="auto" w:fill="auto"/>
    </w:rPr>
  </w:style>
  <w:style w:type="character" w:styleId="FootnoteReference">
    <w:name w:val="footnote reference"/>
    <w:link w:val="Nota"/>
    <w:uiPriority w:val="99"/>
    <w:unhideWhenUsed/>
    <w:rPr>
      <w:rFonts w:ascii="Times New Roman" w:eastAsia="Times New Roman" w:hAnsi="Times New Roman" w:cs="Times New Roman"/>
      <w:sz w:val="20"/>
      <w:szCs w:val="20"/>
      <w:vertAlign w:val="superscript"/>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954F72" w:themeColor="followedHyperlink"/>
      <w:u w:val="single"/>
    </w:rPr>
  </w:style>
  <w:style w:type="paragraph" w:styleId="ListParagraph">
    <w:name w:val="List Paragraph"/>
    <w:basedOn w:val="Normal"/>
    <w:uiPriority w:val="34"/>
    <w:qFormat/>
    <w:pPr>
      <w:ind w:left="720"/>
      <w:contextualSpacing/>
    </w:pPr>
  </w:style>
  <w:style w:type="paragraph" w:customStyle="1" w:styleId="Nota">
    <w:name w:val="Nota"/>
    <w:aliases w:val=" Char1,Char1,(NECG) Footnote Reference,fr,Appel note de bas de p,o,Style 6,Signature Ch"/>
    <w:basedOn w:val="Normal"/>
    <w:link w:val="FootnoteReference"/>
    <w:uiPriority w:val="99"/>
    <w:pPr>
      <w:spacing w:line="240" w:lineRule="exact"/>
    </w:pPr>
    <w:rPr>
      <w:rFonts w:ascii="Times New Roman" w:eastAsia="Times New Roman" w:hAnsi="Times New Roman" w:cs="Times New Roman"/>
      <w:sz w:val="20"/>
      <w:szCs w:val="20"/>
      <w:vertAlign w:val="superscript"/>
      <w:lang w:eastAsia="en-GB"/>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Strong">
    <w:name w:val="Strong"/>
    <w:basedOn w:val="DefaultParagraphFont"/>
    <w:uiPriority w:val="22"/>
    <w:qFormat/>
    <w:rPr>
      <w:b/>
      <w:bCs/>
    </w:rPr>
  </w:style>
  <w:style w:type="paragraph" w:customStyle="1" w:styleId="Bullets">
    <w:name w:val="Bullets"/>
    <w:basedOn w:val="Normal"/>
    <w:qFormat/>
    <w:pPr>
      <w:numPr>
        <w:numId w:val="7"/>
      </w:numPr>
      <w:spacing w:after="0" w:line="300" w:lineRule="exact"/>
      <w:ind w:left="454" w:hanging="454"/>
      <w:jc w:val="both"/>
    </w:pPr>
    <w:rPr>
      <w:rFonts w:ascii="EC Square Sans Pro" w:hAnsi="EC Square Sans Pro"/>
    </w:rPr>
  </w:style>
  <w:style w:type="paragraph" w:customStyle="1" w:styleId="Body">
    <w:name w:val="Body"/>
    <w:basedOn w:val="Normal"/>
    <w:qFormat/>
    <w:pPr>
      <w:spacing w:after="240" w:line="300" w:lineRule="exact"/>
    </w:pPr>
    <w:rPr>
      <w:rFonts w:ascii="EC Square Sans Pro" w:hAnsi="EC Square Sans Pro"/>
    </w:rPr>
  </w:style>
  <w:style w:type="character" w:customStyle="1" w:styleId="ilfuvd">
    <w:name w:val="ilfuvd"/>
    <w:basedOn w:val="DefaultParagraphFon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ucun">
    <w:name w:val="Aucun"/>
    <w:basedOn w:val="DefaultParagraphFont"/>
  </w:style>
  <w:style w:type="paragraph" w:customStyle="1" w:styleId="paragraph">
    <w:name w:val="paragraph"/>
    <w:basedOn w:val="Normal"/>
    <w:uiPriority w:val="99"/>
    <w:pPr>
      <w:spacing w:before="100" w:beforeAutospacing="1" w:after="100" w:afterAutospacing="1" w:line="240" w:lineRule="auto"/>
    </w:pPr>
    <w:rPr>
      <w:rFonts w:ascii="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spellingerror">
    <w:name w:val="spellingerror"/>
    <w:basedOn w:val="DefaultParagraphFont"/>
  </w:style>
  <w:style w:type="paragraph" w:customStyle="1" w:styleId="SecurityMarking">
    <w:name w:val="SecurityMarking"/>
    <w:basedOn w:val="Normal"/>
    <w:pPr>
      <w:spacing w:after="0" w:line="276" w:lineRule="auto"/>
      <w:ind w:left="5103"/>
    </w:pPr>
    <w:rPr>
      <w:rFonts w:ascii="Times New Roman" w:hAnsi="Times New Roman" w:cs="Times New Roman"/>
      <w:sz w:val="28"/>
    </w:rPr>
  </w:style>
  <w:style w:type="paragraph" w:customStyle="1" w:styleId="DateMarking">
    <w:name w:val="DateMarking"/>
    <w:basedOn w:val="Normal"/>
    <w:pPr>
      <w:spacing w:after="0" w:line="276" w:lineRule="auto"/>
      <w:ind w:left="5103"/>
    </w:pPr>
    <w:rPr>
      <w:rFonts w:ascii="Times New Roman" w:hAnsi="Times New Roman" w:cs="Times New Roman"/>
      <w:i/>
      <w:sz w:val="28"/>
    </w:rPr>
  </w:style>
  <w:style w:type="paragraph" w:customStyle="1" w:styleId="ReleasableTo">
    <w:name w:val="ReleasableTo"/>
    <w:basedOn w:val="Normal"/>
    <w:pPr>
      <w:spacing w:after="0" w:line="276" w:lineRule="auto"/>
      <w:ind w:left="5103"/>
    </w:pPr>
    <w:rPr>
      <w:rFonts w:ascii="Times New Roman" w:hAnsi="Times New Roman" w:cs="Times New Roman"/>
      <w: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81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ec.europa.eu/transparency/regdoc/rep/1/2019/BG/COM-2019-640-F1-BG-MAIN-PART-1.PDF" TargetMode="External"/><Relationship Id="rId26" Type="http://schemas.openxmlformats.org/officeDocument/2006/relationships/hyperlink" Target="https://ec.europa.eu/info/sites/info/files/research_and_innovation/contact/documents/ec_rtd_he-codesign-implementation_112019.pdf" TargetMode="External"/><Relationship Id="rId39" Type="http://schemas.openxmlformats.org/officeDocument/2006/relationships/hyperlink" Target="https://publications.europa.eu/bg/publication-detail/-/publication/28e1c485-476a-11e8-be1d-01aa75ed71a1" TargetMode="External"/><Relationship Id="rId21" Type="http://schemas.openxmlformats.org/officeDocument/2006/relationships/hyperlink" Target="https://ec.europa.eu/info/strategy/priorities-2019-2024/promoting-our-european-way-life_bg" TargetMode="External"/><Relationship Id="rId34" Type="http://schemas.openxmlformats.org/officeDocument/2006/relationships/hyperlink" Target="https://op.europa.eu/s/nYMl" TargetMode="External"/><Relationship Id="rId42" Type="http://schemas.openxmlformats.org/officeDocument/2006/relationships/hyperlink" Target="https://eur-lex.europa.eu/legal-content/BG/TXT/PDF/?uri=CELEX:32019L0790&amp;from=BG" TargetMode="External"/><Relationship Id="rId47" Type="http://schemas.openxmlformats.org/officeDocument/2006/relationships/hyperlink" Target="https://op.europa.eu/en/publication-detail/-/publication/f235d1e3-7c4d-11e9-9f05-01aa75ed71a1/language-en/format-PDF/source-108645429" TargetMode="External"/><Relationship Id="rId50" Type="http://schemas.openxmlformats.org/officeDocument/2006/relationships/hyperlink" Target="https://op.europa.eu/en/publication-detail/-/publication/f26dfd11-6288-11ea-b735-01aa75ed71a1/language-en/format-PDF/source-120515772" TargetMode="External"/><Relationship Id="rId55" Type="http://schemas.openxmlformats.org/officeDocument/2006/relationships/header" Target="header5.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www.consilium.europa.eu/en/eu-strategic-agenda-2019-2024/" TargetMode="External"/><Relationship Id="rId20" Type="http://schemas.openxmlformats.org/officeDocument/2006/relationships/hyperlink" Target="https://ec.europa.eu/info/strategy/priorities-2019-2024/economy-works-people_bg" TargetMode="External"/><Relationship Id="rId29" Type="http://schemas.openxmlformats.org/officeDocument/2006/relationships/hyperlink" Target="http://www.bluemed-initiative.eu/" TargetMode="External"/><Relationship Id="rId41" Type="http://schemas.openxmlformats.org/officeDocument/2006/relationships/hyperlink" Target="https://eur-lex.europa.eu/legal-content/BG/TXT/PDF/?uri=CELEX:32019L1024&amp;from=BG" TargetMode="External"/><Relationship Id="rId54"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ec.europa.eu/info/research-and-innovation/events/upcoming-events/european-research-and-innovation-days_en" TargetMode="External"/><Relationship Id="rId32" Type="http://schemas.openxmlformats.org/officeDocument/2006/relationships/hyperlink" Target="https://ec.europa.eu/info/publications/she-figures-2018_en" TargetMode="External"/><Relationship Id="rId37" Type="http://schemas.openxmlformats.org/officeDocument/2006/relationships/hyperlink" Target="https://ec.europa.eu/digital-single-market/en/high-level-expert-group-artificial-intelligence" TargetMode="External"/><Relationship Id="rId40" Type="http://schemas.openxmlformats.org/officeDocument/2006/relationships/hyperlink" Target="https://ec.europa.eu/research/openscience/index.cfm?pg=open-science-cloud" TargetMode="External"/><Relationship Id="rId45" Type="http://schemas.openxmlformats.org/officeDocument/2006/relationships/hyperlink" Target="https://ec.europa.eu/info/publications/2019-european-semester-country-reports_en" TargetMode="External"/><Relationship Id="rId53" Type="http://schemas.openxmlformats.org/officeDocument/2006/relationships/hyperlink" Target="https://ec.europa.eu/commission/presscorner/detail/bg/ip_20_89" TargetMode="External"/><Relationship Id="rId58"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ec.europa.eu/info/funding-tenders/opportunities/portal/screen/opportunities/horizon-dashboard" TargetMode="External"/><Relationship Id="rId23" Type="http://schemas.openxmlformats.org/officeDocument/2006/relationships/hyperlink" Target="https://ec.europa.eu/info/strategy/priorities-2019-2024/new-push-european-democracy_bg" TargetMode="External"/><Relationship Id="rId28" Type="http://schemas.openxmlformats.org/officeDocument/2006/relationships/hyperlink" Target="https://ec.europa.eu/transparency/regdoc/rep/1/2016/BG/COM-2016-763-F1-BG-MAIN-PART-1.PDF" TargetMode="External"/><Relationship Id="rId36" Type="http://schemas.openxmlformats.org/officeDocument/2006/relationships/hyperlink" Target="https://eurohpc-ju.europa.eu/;%20https:/ec.europa.eu/digital-single-market/en/eurohpc-joint-undertaking" TargetMode="External"/><Relationship Id="rId49" Type="http://schemas.openxmlformats.org/officeDocument/2006/relationships/hyperlink" Target="https://ec.europa.eu/research/sam/pdf/sam_4years_b5_2020_web.pdf" TargetMode="External"/><Relationship Id="rId57" Type="http://schemas.openxmlformats.org/officeDocument/2006/relationships/footer" Target="footer5.xml"/><Relationship Id="rId61"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ec.europa.eu/info/priorities/europe-fit-digital-age_bg" TargetMode="External"/><Relationship Id="rId31" Type="http://schemas.openxmlformats.org/officeDocument/2006/relationships/hyperlink" Target="https://ec.europa.eu/info/research-and-innovation/research-area/transport/stria_en" TargetMode="External"/><Relationship Id="rId44" Type="http://schemas.openxmlformats.org/officeDocument/2006/relationships/hyperlink" Target="https://ec.europa.eu/info/publications/era-progress-report-2018_en" TargetMode="External"/><Relationship Id="rId52" Type="http://schemas.openxmlformats.org/officeDocument/2006/relationships/hyperlink" Target="https://ec.europa.eu/jrc/en/facts4eufuture"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ec.europa.eu/info/strategy/priorities-2019-2024/stronger-europe-world_bg" TargetMode="External"/><Relationship Id="rId27" Type="http://schemas.openxmlformats.org/officeDocument/2006/relationships/hyperlink" Target="https://ec.europa.eu/info/horizon-europe-next-research-and-innovation-framework-programme/mission-oriented-policy-horizon-europe_en" TargetMode="External"/><Relationship Id="rId30" Type="http://schemas.openxmlformats.org/officeDocument/2006/relationships/hyperlink" Target="file:///C:\Users\vogleis\AppData\Local\Temp\1\black-sea-strategic-research_enpdf.pdf" TargetMode="External"/><Relationship Id="rId35" Type="http://schemas.openxmlformats.org/officeDocument/2006/relationships/hyperlink" Target="https://op.europa.eu/en/publication-detail/-/publication/0df85f8b-7b72-11e9-9f05-01aa75ed71a1" TargetMode="External"/><Relationship Id="rId43" Type="http://schemas.openxmlformats.org/officeDocument/2006/relationships/hyperlink" Target="https://ec.europa.eu/research/openscience/index.cfm?pg=altmetrics_eg" TargetMode="External"/><Relationship Id="rId48" Type="http://schemas.openxmlformats.org/officeDocument/2006/relationships/hyperlink" Target="https://op.europa.eu/en/web/eu-law-and-publications/publication-detail/-/publication/5cb9ca21-0500-11ea-8c1f-01aa75ed71a1" TargetMode="External"/><Relationship Id="rId56" Type="http://schemas.openxmlformats.org/officeDocument/2006/relationships/footer" Target="footer4.xml"/><Relationship Id="rId8" Type="http://schemas.openxmlformats.org/officeDocument/2006/relationships/image" Target="media/image1.emf"/><Relationship Id="rId51" Type="http://schemas.openxmlformats.org/officeDocument/2006/relationships/hyperlink" Target="https://ec.europa.eu/info/publications/unlocking-potential-industrial-human-robot-collaboration_en" TargetMode="External"/><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hyperlink" Target="https://ec.europa.eu/commission/sites/beta-political/files/political-guidelines-next-commission_bg_1.pdf" TargetMode="External"/><Relationship Id="rId25" Type="http://schemas.openxmlformats.org/officeDocument/2006/relationships/hyperlink" Target="https://ec.europa.eu/info/files/orientations-towards-first-strategic-plan-horizon-europe_en" TargetMode="External"/><Relationship Id="rId33" Type="http://schemas.openxmlformats.org/officeDocument/2006/relationships/hyperlink" Target="https://op.europa.eu/en/publication-detail/-/publication/4bebf83d-60ba-11e9-b6eb-01aa75ed71a1" TargetMode="External"/><Relationship Id="rId38" Type="http://schemas.openxmlformats.org/officeDocument/2006/relationships/hyperlink" Target="https://ec.europa.eu/digital-single-market/en/news/ethics-guidelines-trustworthy-ai" TargetMode="External"/><Relationship Id="rId46" Type="http://schemas.openxmlformats.org/officeDocument/2006/relationships/hyperlink" Target="https://ec.europa.eu/info/publications/2019-european-semester-country-specific-recommendations-commission-recommendations_en" TargetMode="External"/><Relationship Id="rId59"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s://rio.jrc.ec.europa.eu/en/policy-support-fac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13</Pages>
  <Words>6168</Words>
  <Characters>37009</Characters>
  <Application>Microsoft Office Word</Application>
  <DocSecurity>0</DocSecurity>
  <Lines>578</Lines>
  <Paragraphs>147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20</cp:revision>
  <dcterms:created xsi:type="dcterms:W3CDTF">2020-06-12T12:13:00Z</dcterms:created>
  <dcterms:modified xsi:type="dcterms:W3CDTF">2020-07-13T16:07:00Z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7.0.1, Build 20190916</vt:lpwstr>
  </property>
</Properties>
</file>