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E72EE58-1B0F-4269-A43B-0609CB452DBC" style="width:450.5pt;height:307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 w:name="_GoBack"/>
      <w:bookmarkEnd w:id="1"/>
      <w:r>
        <w:rPr>
          <w:rFonts w:ascii="Times New Roman" w:hAnsi="Times New Roman"/>
          <w:b/>
          <w:smallCaps/>
          <w:noProof/>
        </w:rPr>
        <w:lastRenderedPageBreak/>
        <w:t>1</w:t>
      </w:r>
      <w:r>
        <w:rPr>
          <w:rFonts w:ascii="Times New Roman" w:hAnsi="Times New Roman"/>
          <w:b/>
          <w:smallCaps/>
          <w:noProof/>
        </w:rPr>
        <w:tab/>
        <w:t>Въведение</w:t>
      </w:r>
    </w:p>
    <w:p>
      <w:pPr>
        <w:spacing w:before="120" w:after="100" w:afterAutospacing="1" w:line="240" w:lineRule="auto"/>
        <w:jc w:val="both"/>
        <w:rPr>
          <w:rFonts w:ascii="Times New Roman" w:eastAsia="Times New Roman" w:hAnsi="Times New Roman" w:cs="Times New Roman"/>
          <w:noProof/>
          <w:sz w:val="24"/>
        </w:rPr>
      </w:pPr>
      <w:r>
        <w:rPr>
          <w:rFonts w:ascii="Times New Roman" w:hAnsi="Times New Roman"/>
          <w:noProof/>
        </w:rPr>
        <w:t>В контекста на оттеглянето на Обединеното кралство от Съюза останалите 27 държави членки, заседаващи в рамките на Съвета, избраха Париж, Франция за ново седалище на Европейския банков орган (ЕБО)</w:t>
      </w:r>
      <w:r>
        <w:rPr>
          <w:rFonts w:ascii="Times New Roman" w:eastAsia="Times New Roman" w:hAnsi="Times New Roman" w:cs="Times New Roman"/>
          <w:noProof/>
          <w:vertAlign w:val="superscript"/>
        </w:rPr>
        <w:footnoteReference w:id="1"/>
      </w:r>
      <w:r>
        <w:rPr>
          <w:rFonts w:ascii="Times New Roman" w:hAnsi="Times New Roman"/>
          <w:noProof/>
        </w:rPr>
        <w:t xml:space="preserve">. </w:t>
      </w:r>
    </w:p>
    <w:p>
      <w:pPr>
        <w:spacing w:before="120" w:after="100" w:afterAutospacing="1" w:line="240" w:lineRule="auto"/>
        <w:jc w:val="both"/>
        <w:rPr>
          <w:rFonts w:ascii="Times New Roman" w:eastAsia="Times New Roman" w:hAnsi="Times New Roman" w:cs="Times New Roman"/>
          <w:noProof/>
          <w:sz w:val="24"/>
        </w:rPr>
      </w:pPr>
      <w:r>
        <w:rPr>
          <w:rFonts w:ascii="Times New Roman" w:hAnsi="Times New Roman"/>
          <w:noProof/>
        </w:rPr>
        <w:t>Разпоредбите относно местонахождението на седалището на ЕБО се съдържат в член 7 от учредителния регламент за ЕБО</w:t>
      </w:r>
      <w:r>
        <w:rPr>
          <w:rFonts w:ascii="Times New Roman" w:eastAsia="Times New Roman" w:hAnsi="Times New Roman" w:cs="Times New Roman"/>
          <w:noProof/>
          <w:vertAlign w:val="superscript"/>
        </w:rPr>
        <w:footnoteReference w:id="2"/>
      </w:r>
      <w:r>
        <w:rPr>
          <w:rFonts w:ascii="Times New Roman" w:hAnsi="Times New Roman"/>
          <w:noProof/>
        </w:rPr>
        <w:t xml:space="preserve"> (т.нар. Регламент за ЕБО), който трябваше да бъде съответно изменен</w:t>
      </w:r>
      <w:r>
        <w:rPr>
          <w:rFonts w:ascii="Times New Roman" w:eastAsia="Times New Roman" w:hAnsi="Times New Roman" w:cs="Times New Roman"/>
          <w:noProof/>
          <w:vertAlign w:val="superscript"/>
        </w:rPr>
        <w:footnoteReference w:id="3"/>
      </w:r>
      <w:r>
        <w:rPr>
          <w:rFonts w:ascii="Times New Roman" w:hAnsi="Times New Roman"/>
          <w:noProof/>
        </w:rPr>
        <w:t>, за да бъде преместено седалището от Лондон в Париж. Освен промяната на местонахождението на седалището, с изменението на Регламента за ЕБО бяха въведени и нови изисквания по отношение на последствията, свързани с местонахождението на седалището, а също и задължение за Комисията да публикува доклад до 30 март 2019 г., както и на всеки 12 месеца след това, относно спазването от ЕБО на тези изисквания.</w:t>
      </w:r>
    </w:p>
    <w:p>
      <w:pPr>
        <w:spacing w:before="120" w:after="100" w:afterAutospacing="1" w:line="240" w:lineRule="auto"/>
        <w:jc w:val="both"/>
        <w:rPr>
          <w:rFonts w:ascii="Times New Roman" w:eastAsia="Times New Roman" w:hAnsi="Times New Roman" w:cs="Times New Roman"/>
          <w:noProof/>
          <w:sz w:val="24"/>
        </w:rPr>
      </w:pPr>
      <w:r>
        <w:rPr>
          <w:rFonts w:ascii="Times New Roman" w:hAnsi="Times New Roman"/>
          <w:noProof/>
        </w:rPr>
        <w:t>В съответствие с член 7 от регламента: „</w:t>
      </w:r>
      <w:r>
        <w:rPr>
          <w:rFonts w:ascii="Times New Roman" w:hAnsi="Times New Roman"/>
          <w:i/>
          <w:iCs/>
          <w:noProof/>
        </w:rPr>
        <w:t>Местонахождението на седалището на Органа не засяга изпълнението на неговите задачи и правомощия, организацията на структурата на управлението му, работата на основната му организация или основното финансиране на дейностите му, като същевременно позволява, когато е приложимо, споделяне с агенции на Съюза на услуги за административна подкрепа и услуги за управление на инфраструктура, които не са свързани с основните дейности на Органа</w:t>
      </w:r>
      <w:r>
        <w:rPr>
          <w:rFonts w:ascii="Times New Roman" w:hAnsi="Times New Roman"/>
          <w:noProof/>
        </w:rPr>
        <w:t xml:space="preserve">“. </w:t>
      </w:r>
    </w:p>
    <w:p>
      <w:pPr>
        <w:spacing w:before="120" w:after="100" w:afterAutospacing="1" w:line="240" w:lineRule="auto"/>
        <w:jc w:val="both"/>
        <w:rPr>
          <w:rFonts w:ascii="Times New Roman" w:eastAsia="Times New Roman" w:hAnsi="Times New Roman" w:cs="Times New Roman"/>
          <w:noProof/>
          <w:sz w:val="24"/>
        </w:rPr>
      </w:pPr>
      <w:r>
        <w:rPr>
          <w:rFonts w:ascii="Times New Roman" w:hAnsi="Times New Roman"/>
          <w:noProof/>
        </w:rPr>
        <w:t>ЕБО предостави информацията, необходима за изпълнението на тези изисквания за докладване. Първият доклад бе публикуван през 2019 г</w:t>
      </w:r>
      <w:r>
        <w:rPr>
          <w:rStyle w:val="FootnoteReference"/>
          <w:rFonts w:ascii="Times New Roman" w:eastAsia="Times New Roman" w:hAnsi="Times New Roman" w:cs="Times New Roman"/>
          <w:noProof/>
        </w:rPr>
        <w:footnoteReference w:id="4"/>
      </w:r>
      <w:r>
        <w:rPr>
          <w:rFonts w:ascii="Times New Roman" w:hAnsi="Times New Roman"/>
          <w:noProof/>
        </w:rPr>
        <w:t xml:space="preserve">. Това е вторият доклад в изпълнение на новото задължение за докладване. </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2</w:t>
      </w:r>
      <w:r>
        <w:rPr>
          <w:rFonts w:ascii="Times New Roman" w:hAnsi="Times New Roman"/>
          <w:b/>
          <w:smallCaps/>
          <w:noProof/>
        </w:rPr>
        <w:tab/>
        <w:t>Споразумение за седалището на ЕБО</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rPr>
        <w:t xml:space="preserve">Споразумението за седалището беше подписано с френското правителство в Париж на 6 март 2019 г. ЕБО очаква потвърждение за приключването на изискваните от френското законодателство процедури, за да може Споразумението за седалището да влезе в сила — включително ратифицирането му от френския парламент. Подписването му не засегна дейността и управлението на ЕБО.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rPr>
        <w:t>В споразумението са отразени изискванията на Протокол № 7 за привилегиите и имунитетите на Европейския съюз</w:t>
      </w:r>
      <w:r>
        <w:rPr>
          <w:rFonts w:ascii="Times New Roman" w:eastAsia="Times New Roman" w:hAnsi="Times New Roman" w:cs="Times New Roman"/>
          <w:noProof/>
          <w:vertAlign w:val="superscript"/>
        </w:rPr>
        <w:footnoteReference w:id="5"/>
      </w:r>
      <w:r>
        <w:rPr>
          <w:rFonts w:ascii="Times New Roman" w:hAnsi="Times New Roman"/>
          <w:noProof/>
        </w:rPr>
        <w:t>, като в допълнение е предвидена и възможността преместилите се от Лондон в Париж служители да закупят автомобил, без да заплащат данък, в рамките на дванадесет месеца след преместването. Тази възможност е предоставена и на служителите с френско гражданство. До 13 март 2020 г. от 175 служители, които имат право да се ползват от тази привилегия, десетима са регистрирали своите превозни средства съгласно привилегията, а други четирима в момента очакват приключване на процедурата.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rPr>
        <w:t>Със споразумението френското правителство се ангажира да участва в процедурата по откриване на Европейско училище в района на Париж. През септември 2019 г. в Courbevoie бе открито Европейско училище от тип ІІ, което понастоящем е в процес на акредитация. Английската секция на училището предлага пълен предучилищен и начален курс; средният ѝ курс обаче все още не е пълен, като постепенно се добавят нови класове. Целта на училището е до септември 2021 г. средният курс да бъде попълнен. Френската секция бе отворена за предучилищните класове и частично за началния курс. Средният курс на обучение ще бъде открит през септември 2021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Освен това ЕБО си сътрудничи със службата по протокол към френското министерство по европейските въпроси и външните работи, а също така и с френските митнически органи, за да се гарантира гладкото протичане на процедурите по пристигането на служителите и техните семейства във Франция, издаването на специални разрешения за пребиваване, както и прилагането на данъчните привилегии по отношение на ЕБО. Към 15 май 2020 г. 139 служители и 67 членове на семейството са получили специални разрешителни за пребиваване.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По силата на Протокол № 7 за привилегиите и имунитетите на Европейския съюз ЕБО се освобождава от ДДС при покупки на стоки и услуги, които са необходими за дейността му. ЕБО е подал до френското правителство искания за възстановяване на ДДС за стоки и услуги, предоставени от френски дружества, както и за покупки по интернет, а разходите по предишни искания бяха възстановени.</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3</w:t>
      </w:r>
      <w:r>
        <w:rPr>
          <w:rFonts w:ascii="Times New Roman" w:hAnsi="Times New Roman"/>
          <w:b/>
          <w:smallCaps/>
          <w:noProof/>
        </w:rPr>
        <w:tab/>
        <w:t>Управление, операции и изпълнение на задачите на ЕБО</w:t>
      </w:r>
    </w:p>
    <w:p>
      <w:pPr>
        <w:spacing w:before="120"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rPr>
        <w:t>Задачите и правомощията на ЕБО, организацията на неговата управленска структура, функционирането на основната му организация, както и основното му финансиране не са засегнати от преместването на неговото седалище. От началото на юни 2019 г. ЕБО работи пълноценно в новите си офиси в Париж.</w:t>
      </w:r>
    </w:p>
    <w:p>
      <w:pPr>
        <w:spacing w:before="120"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rPr>
        <w:t xml:space="preserve">ЕБО и Европейският орган за ценни книжа и пазари (ЕОЦКП) координират тясно процедурите за възлагане на обществени поръчки. ЕБО участва в два рамкови договора, произтичащи от водените от ЕОЦКП процедури: за консултантски услуги в областта на информационните и комуникационните технологии (ИКТ) и за управление на инфраструктура. ЕОЦКП също така покани ЕБО да участва в предстоящата процедура за възлагане на обществена поръчка за набиране на персонал от агенции за временна заетост, към която ЕБО ще се присъедини. ЕОЦКП се присъедини към процедурата на ЕБО за възлагане на обществена поръчка за езикови обучения, за която през януари 2020 г. бяха подписани рамкови договори. ЕБО покани ЕОЦКП (и Европейския орган за застраховане и професионално пенсионно осигуряване) да се присъединят към предстоящата процедура за възлагане на обществени поръчки за услуги по корекция и редакция на документи, за която се очаква да бъде подписан рамков договор през 2020 г. Понастоящем двете агенции обсъждат съвместна обществена поръчка за предстояща процедура за предоставяне на медицински услуги и редица други бъдещи процедури в административната област.  </w:t>
      </w:r>
    </w:p>
    <w:p>
      <w:pPr>
        <w:spacing w:before="120"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rPr>
        <w:t>На 8 юли 2019 г. Европейската комисия одобри искането на Европейските надзорни органи (ЕНО) финансовите им правила да се отклоняват от някои разпоредби на Делегиран регламент (ЕС) 2019/715</w:t>
      </w:r>
      <w:r>
        <w:rPr>
          <w:rFonts w:ascii="Times New Roman" w:eastAsia="Times New Roman" w:hAnsi="Times New Roman" w:cs="Times New Roman"/>
          <w:noProof/>
          <w:vertAlign w:val="superscript"/>
        </w:rPr>
        <w:footnoteReference w:id="6"/>
      </w:r>
      <w:r>
        <w:rPr>
          <w:rFonts w:ascii="Times New Roman" w:hAnsi="Times New Roman"/>
          <w:noProof/>
        </w:rPr>
        <w:t>, за да могат да се присъединят към процедурите за възлагане на обществени поръчки, провеждани от Европейската централна банка и Службата за координиране на обществените поръчки на Евросистемата (EPCO). ЕБО действа като връзка между EPCO и другите два ЕНО и координира обсъжданията с EPCO за установяване и присъединяване към процедурите за възлагане на обществени поръчки. ЕОЗППО действа като връзка с ЕЦБ.</w:t>
      </w:r>
    </w:p>
    <w:p>
      <w:pPr>
        <w:spacing w:before="120"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rPr>
        <w:t>ЕБО и ЕОЦКП също така участват в мрежа на служителите по обществените поръчки на международните организации със седалище в Париж. По инициатива на ЕОЦКП международните организации също така обмислят провеждането на редовни срещи на административните ръководители.</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4</w:t>
      </w:r>
      <w:r>
        <w:rPr>
          <w:rFonts w:ascii="Times New Roman" w:hAnsi="Times New Roman"/>
          <w:b/>
          <w:smallCaps/>
          <w:noProof/>
        </w:rPr>
        <w:tab/>
        <w:t>Заключения</w:t>
      </w:r>
    </w:p>
    <w:p>
      <w:pPr>
        <w:spacing w:before="120" w:after="120" w:line="240" w:lineRule="auto"/>
        <w:jc w:val="both"/>
        <w:rPr>
          <w:rFonts w:ascii="Times New Roman" w:eastAsia="Times New Roman" w:hAnsi="Times New Roman" w:cs="Times New Roman"/>
          <w:noProof/>
        </w:rPr>
      </w:pPr>
      <w:r>
        <w:rPr>
          <w:rFonts w:ascii="Times New Roman" w:hAnsi="Times New Roman"/>
          <w:noProof/>
        </w:rPr>
        <w:t>Въз основа на наличната информация изпълнението на задачите и правомощията на ЕБО, структурата му на управление, основната му организация и финансирането на дейностите му не са били засегнати нито в резултат на преместването на седалището на ЕБО в Париж, нито в резултат на описаните по-горе мерки за административно сътрудничество с ЕОЦКП и ЕОЗППО, които не са свързани с основните дейности на ЕБО.</w:t>
      </w:r>
    </w:p>
    <w:p>
      <w:pPr>
        <w:spacing w:before="120" w:after="120" w:line="240" w:lineRule="auto"/>
        <w:jc w:val="both"/>
        <w:rPr>
          <w:rFonts w:ascii="Times New Roman" w:eastAsia="Times New Roman" w:hAnsi="Times New Roman" w:cs="Times New Roman"/>
          <w:noProof/>
          <w:sz w:val="24"/>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 xml:space="preserve">Съвет по общи въпроси (член 50), 20 ноември 2017 г.: </w:t>
      </w:r>
      <w:r>
        <w:tab/>
        <w:t xml:space="preserve"> </w:t>
      </w:r>
      <w:hyperlink r:id="rId1" w:history="1">
        <w:r>
          <w:rPr>
            <w:rStyle w:val="Hyperlink1"/>
          </w:rPr>
          <w:t>https://www.consilium.europa.eu/en/press/press-releases/2017/11/20/european-banking-authority-to-be-relocated-to-city-country/</w:t>
        </w:r>
      </w:hyperlink>
      <w:r>
        <w:t xml:space="preserve"> </w:t>
      </w:r>
    </w:p>
  </w:footnote>
  <w:footnote w:id="2">
    <w:p>
      <w:pPr>
        <w:pStyle w:val="FootnoteText"/>
        <w:jc w:val="both"/>
      </w:pPr>
      <w:r>
        <w:rPr>
          <w:rStyle w:val="FootnoteReference"/>
        </w:rPr>
        <w:footnoteRef/>
      </w:r>
      <w:r>
        <w:t xml:space="preserve"> </w:t>
      </w:r>
      <w:r>
        <w:tab/>
        <w:t>Регламент (ЕС) № 1093/2010 на Европейския парламент и на Съвета от 24 ноември 2010 г. за създаване на Европейски надзорен орган (Европейски банков орган) (ОВ L 331, 15.12.2010 г., стр. 12).</w:t>
      </w:r>
    </w:p>
  </w:footnote>
  <w:footnote w:id="3">
    <w:p>
      <w:pPr>
        <w:pStyle w:val="FootnoteText"/>
        <w:jc w:val="both"/>
      </w:pPr>
      <w:r>
        <w:rPr>
          <w:rStyle w:val="FootnoteReference"/>
        </w:rPr>
        <w:footnoteRef/>
      </w:r>
      <w:r>
        <w:t xml:space="preserve"> </w:t>
      </w:r>
      <w:r>
        <w:tab/>
        <w:t>Регламент (ЕС) 2018/1717 на Европейския парламент и на Съвета от 14 ноември 2018 г. за изменение на Регламент (ЕС) № 1093/2010 по отношение на местонахождението на седалището на Европейския банков орган (OВ L 291, 16.11.2018 г., стр. 1)</w:t>
      </w:r>
    </w:p>
  </w:footnote>
  <w:footnote w:id="4">
    <w:p>
      <w:pPr>
        <w:pStyle w:val="FootnoteText"/>
      </w:pPr>
      <w:r>
        <w:rPr>
          <w:rStyle w:val="FootnoteReference"/>
        </w:rPr>
        <w:footnoteRef/>
      </w:r>
      <w:r>
        <w:t xml:space="preserve"> </w:t>
      </w:r>
      <w:r>
        <w:tab/>
        <w:t>COM(2019) 451 final.</w:t>
      </w:r>
    </w:p>
  </w:footnote>
  <w:footnote w:id="5">
    <w:p>
      <w:pPr>
        <w:pStyle w:val="FootnoteText"/>
        <w:jc w:val="both"/>
      </w:pPr>
      <w:r>
        <w:rPr>
          <w:rStyle w:val="FootnoteReference"/>
        </w:rPr>
        <w:footnoteRef/>
      </w:r>
      <w:r>
        <w:t xml:space="preserve"> </w:t>
      </w:r>
      <w:r>
        <w:tab/>
        <w:t>OВ C 202, 7.6.2016 г., стр. 266-272</w:t>
      </w:r>
    </w:p>
  </w:footnote>
  <w:footnote w:id="6">
    <w:p>
      <w:pPr>
        <w:pStyle w:val="FootnoteText"/>
        <w:jc w:val="both"/>
        <w:rPr>
          <w:rFonts w:ascii="&amp;quot" w:eastAsia="Times New Roman" w:hAnsi="&amp;quot" w:cs="Times New Roman"/>
          <w:color w:val="444444"/>
        </w:rPr>
      </w:pPr>
      <w:r>
        <w:rPr>
          <w:rStyle w:val="FootnoteReference"/>
        </w:rPr>
        <w:footnoteRef/>
      </w:r>
      <w:r>
        <w:t xml:space="preserve">  </w:t>
      </w:r>
      <w:r>
        <w:tab/>
      </w:r>
      <w:r>
        <w:rPr>
          <w:rFonts w:ascii="&amp;quot" w:hAnsi="&amp;quot"/>
          <w:color w:val="444444"/>
        </w:rPr>
        <w:t>Делегиран регламент (ЕС) 2019/715 на Комисията от 18 декември 2018 г. относно рамковия финансов регламент за органите, създадени по силата на ДФЕС и Договора за Евратом и посочени в член 70 от Регламент (ЕС, Евратом) 2018/1046 на Европейския парламент и на Съвета (ОВ L 122, 10.5.2019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E72EE58-1B0F-4269-A43B-0609CB452DBC"/>
    <w:docVar w:name="LW_COVERPAGE_TYPE" w:val="1"/>
    <w:docVar w:name="LW_CROSSREFERENCE" w:val="&lt;UNUSED&gt;"/>
    <w:docVar w:name="LW_DocType" w:val="NORMAL"/>
    <w:docVar w:name="LW_EMISSION" w:val="15.7.2020"/>
    <w:docVar w:name="LW_EMISSION_ISODATE" w:val="2020-07-15"/>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9?\u1087?\u1072?\u1079?\u1074?\u1072?\u1085?\u1077?\u1090?\u1086? \u1086?\u1090? \u1045?\u1074?\u1088?\u1086?\u1087?\u1077?\u1081?\u1089?\u1082?\u1080?\u1103? \u1073?\u1072?\u1085?\u1082?\u1086?\u1074? \u1086?\u1088?\u1075?\u1072?\u1085? \u1085?\u1072? \u1080?\u1079?\u1080?\u1089?\u1082?\u1074?\u1072?\u1085?\u1080?\u1103?\u1090?\u1072? \u1087?\u1086? \u1086?\u1090?\u1085?\u1086?\u1096?\u1077?\u1085?\u1080?\u1077? \u1085?\u1072? \u1084?\u1077?\u1089?\u1090?\u1086?\u1085?\u1072?\u1093?\u1086?\u1078?\u1076?\u1077?\u1085?\u1080?\u1077?\u1090?\u1086? \u1085?\u1072? \u1085?\u1077?\u1075?\u1086?\u1074?\u1086?\u1090?\u1086? \u1089?\u1077?\u1076?\u1072?\u1083?\u1080?\u1097?\u107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rPr>
      <w:shd w:val="clear" w:color="auto" w:fill="auto"/>
      <w:vertAlign w:val="superscript"/>
    </w:rPr>
  </w:style>
  <w:style w:type="character" w:customStyle="1" w:styleId="Hyperlink1">
    <w:name w:val="Hyperlink1"/>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character" w:styleId="Hyperlink">
    <w:name w:val="Hyperlink"/>
    <w:basedOn w:val="DefaultParagraphFont"/>
    <w:uiPriority w:val="99"/>
    <w:semiHidden/>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before="0"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rPr>
      <w:shd w:val="clear" w:color="auto" w:fill="auto"/>
      <w:vertAlign w:val="superscript"/>
    </w:rPr>
  </w:style>
  <w:style w:type="character" w:customStyle="1" w:styleId="Hyperlink1">
    <w:name w:val="Hyperlink1"/>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character" w:styleId="Hyperlink">
    <w:name w:val="Hyperlink"/>
    <w:basedOn w:val="DefaultParagraphFont"/>
    <w:uiPriority w:val="99"/>
    <w:semiHidden/>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before="0"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press/press-releases/2017/11/20/european-banking-authority-to-be-relocated-to-city-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E44A-5ED9-4D84-81D7-172EDD2A3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1017</Words>
  <Characters>5758</Characters>
  <Application>Microsoft Office Word</Application>
  <DocSecurity>0</DocSecurity>
  <Lines>99</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dcterms:created xsi:type="dcterms:W3CDTF">2020-06-20T17:24:00Z</dcterms:created>
  <dcterms:modified xsi:type="dcterms:W3CDTF">2020-07-13T07:57:00Z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