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9E4" w:rsidRDefault="00E7470C" w:rsidP="00E7470C">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D3C3BE1-A32B-4B23-928E-E69CC3CAA633" style="width:450.5pt;height:461.5pt">
            <v:imagedata r:id="rId7" o:title=""/>
          </v:shape>
        </w:pict>
      </w:r>
    </w:p>
    <w:bookmarkEnd w:id="0"/>
    <w:p w:rsidR="00A049E4" w:rsidRDefault="00A049E4">
      <w:pPr>
        <w:sectPr w:rsidR="00A049E4" w:rsidSect="00E7470C">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A049E4" w:rsidRDefault="00A143B9">
      <w:pPr>
        <w:pStyle w:val="Titre"/>
        <w:rPr>
          <w:rStyle w:val="Aucun"/>
        </w:rPr>
      </w:pPr>
      <w:r>
        <w:rPr>
          <w:rStyle w:val="Aucun"/>
        </w:rPr>
        <w:lastRenderedPageBreak/>
        <w:t xml:space="preserve">Vue d’ensemble des initiatives fiscales envisagées pour </w:t>
      </w:r>
      <w:r w:rsidRPr="002F757E">
        <w:rPr>
          <w:rStyle w:val="Aucun"/>
        </w:rPr>
        <w:t>2020</w:t>
      </w:r>
      <w:r>
        <w:rPr>
          <w:rStyle w:val="Aucun"/>
        </w:rPr>
        <w:t>-</w:t>
      </w:r>
      <w:r w:rsidRPr="002F757E">
        <w:rPr>
          <w:rStyle w:val="Aucun"/>
        </w:rPr>
        <w:t>2023</w:t>
      </w:r>
      <w:r>
        <w:rPr>
          <w:rStyle w:val="Aucun"/>
        </w:rPr>
        <w:t xml:space="preserve"> qui s’inscrivent dans le cadre du plan d’action pour une fiscalité équitable et simplifiée à l’appui de la relance</w:t>
      </w: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062"/>
        <w:gridCol w:w="5809"/>
        <w:gridCol w:w="5953"/>
        <w:gridCol w:w="1322"/>
      </w:tblGrid>
      <w:tr w:rsidR="00A049E4">
        <w:trPr>
          <w:trHeight w:val="373"/>
          <w:tblHeader/>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b/>
              </w:rPr>
            </w:pPr>
            <w:r>
              <w:rPr>
                <w:b/>
              </w:rPr>
              <w:t>Numéro</w:t>
            </w:r>
          </w:p>
        </w:tc>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pPr>
            <w:r>
              <w:rPr>
                <w:rStyle w:val="Aucun"/>
                <w:b/>
                <w:bCs/>
              </w:rPr>
              <w:t>Action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b/>
                <w:bCs/>
              </w:rPr>
              <w:t>Moyens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b/>
                <w:bCs/>
              </w:rPr>
              <w:t xml:space="preserve">Calendrier </w:t>
            </w:r>
          </w:p>
        </w:tc>
      </w:tr>
      <w:tr w:rsidR="00A049E4">
        <w:trPr>
          <w:trHeight w:val="3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049E4" w:rsidRDefault="00A143B9">
            <w:pPr>
              <w:pStyle w:val="Corps"/>
              <w:jc w:val="center"/>
            </w:pPr>
            <w:r>
              <w:rPr>
                <w:rStyle w:val="Aucun"/>
                <w:b/>
                <w:bCs/>
              </w:rPr>
              <w:t xml:space="preserve">Actions à mener en </w:t>
            </w:r>
            <w:r w:rsidRPr="002F757E">
              <w:rPr>
                <w:rStyle w:val="Aucun"/>
                <w:b/>
                <w:bCs/>
              </w:rPr>
              <w:t>2020</w:t>
            </w:r>
            <w:r>
              <w:rPr>
                <w:rStyle w:val="Aucun"/>
                <w:b/>
                <w:bCs/>
              </w:rPr>
              <w:t>-</w:t>
            </w:r>
            <w:r w:rsidRPr="002F757E">
              <w:rPr>
                <w:rStyle w:val="Aucun"/>
                <w:b/>
                <w:bCs/>
              </w:rPr>
              <w:t>2021</w:t>
            </w:r>
          </w:p>
        </w:tc>
      </w:tr>
      <w:tr w:rsidR="00A049E4">
        <w:trPr>
          <w:trHeight w:val="600"/>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Recommandations de bonnes pratiques pour améliorer le recouvrement des impôts dans l’UE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 xml:space="preserve">Rapport de la Commission européenne au Parlement et au Conseil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2020</w:t>
            </w:r>
            <w:r>
              <w:rPr>
                <w:rStyle w:val="Aucun"/>
              </w:rPr>
              <w:t>, T</w:t>
            </w:r>
            <w:r w:rsidRPr="002F757E">
              <w:rPr>
                <w:rStyle w:val="Aucun"/>
              </w:rPr>
              <w:t>4</w:t>
            </w:r>
          </w:p>
        </w:tc>
      </w:tr>
      <w:tr w:rsidR="00A049E4">
        <w:trPr>
          <w:trHeight w:val="709"/>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 xml:space="preserve">Transformation du comité de la TVA en comité de comitologie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 xml:space="preserve">Initiative législative visant à modifier la directive TVA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2020</w:t>
            </w:r>
            <w:r>
              <w:rPr>
                <w:rStyle w:val="Aucun"/>
              </w:rPr>
              <w:t>, T</w:t>
            </w:r>
            <w:r w:rsidRPr="002F757E">
              <w:rPr>
                <w:rStyle w:val="Aucun"/>
              </w:rPr>
              <w:t>4</w:t>
            </w:r>
          </w:p>
        </w:tc>
      </w:tr>
      <w:tr w:rsidR="00A049E4">
        <w:trPr>
          <w:trHeight w:val="600"/>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22</w:t>
            </w:r>
            <w:r>
              <w:rPr>
                <w:rStyle w:val="Aucun"/>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Évaluation du régime de TVA particulier des agences de voyages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 xml:space="preserve">Initiative non législative: document de travail des services de la Commission – évaluation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2020</w:t>
            </w:r>
            <w:r>
              <w:rPr>
                <w:rStyle w:val="Aucun"/>
              </w:rPr>
              <w:t>, T</w:t>
            </w:r>
            <w:r w:rsidRPr="002F757E">
              <w:rPr>
                <w:rStyle w:val="Aucun"/>
              </w:rPr>
              <w:t>4</w:t>
            </w:r>
          </w:p>
        </w:tc>
      </w:tr>
      <w:tr w:rsidR="00A049E4">
        <w:trPr>
          <w:trHeight w:val="600"/>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Mise en place de l'observatoire fiscal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 xml:space="preserve">Initiative non législative, mise en œuvre d’une action préparatoire du Parlement européen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2020</w:t>
            </w:r>
            <w:r>
              <w:rPr>
                <w:rStyle w:val="Aucun"/>
              </w:rPr>
              <w:t>, T</w:t>
            </w:r>
            <w:r w:rsidRPr="002F757E">
              <w:rPr>
                <w:rStyle w:val="Aucun"/>
              </w:rPr>
              <w:t>4</w:t>
            </w:r>
          </w:p>
        </w:tc>
      </w:tr>
      <w:tr w:rsidR="00A049E4">
        <w:trPr>
          <w:trHeight w:val="1351"/>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Cadre de conformité coopérative pour un dialogue préventif entre les administrations fiscales et les entreprises en vue du règlement commun des différends fiscaux transfrontières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Initiative non législative: projet pilote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2021</w:t>
            </w:r>
            <w:r>
              <w:rPr>
                <w:rStyle w:val="Aucun"/>
              </w:rPr>
              <w:t>, T</w:t>
            </w:r>
            <w:r w:rsidRPr="002F757E">
              <w:rPr>
                <w:rStyle w:val="Aucun"/>
              </w:rPr>
              <w:t>1</w:t>
            </w:r>
            <w:r>
              <w:rPr>
                <w:rStyle w:val="Aucun"/>
              </w:rPr>
              <w:t xml:space="preserve"> et T</w:t>
            </w:r>
            <w:r w:rsidRPr="002F757E">
              <w:rPr>
                <w:rStyle w:val="Aucun"/>
              </w:rPr>
              <w:t>2</w:t>
            </w:r>
          </w:p>
        </w:tc>
      </w:tr>
      <w:tr w:rsidR="00A049E4">
        <w:trPr>
          <w:trHeight w:val="960"/>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Style w:val="Aucun"/>
                <w:rFonts w:eastAsia="Arial Unicode MS" w:cs="Arial Unicode MS"/>
              </w:rPr>
            </w:pPr>
            <w:r>
              <w:rPr>
                <w:rStyle w:val="Aucun"/>
              </w:rPr>
              <w:t>Constitution d’un groupe d’experts sur les prix de transfert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Style w:val="Aucun"/>
                <w:rFonts w:eastAsia="Arial Unicode MS" w:cs="Arial Unicode MS"/>
              </w:rPr>
            </w:pPr>
            <w:r>
              <w:rPr>
                <w:rStyle w:val="Aucun"/>
              </w:rPr>
              <w:t>Création d’un groupe d’experts chargé d’élaborer des solutions pragmatiques et non législatives aux problèmes pratiques posés par les pratiques en matière de prix de transfert dans l’UE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Style w:val="Aucun"/>
                <w:rFonts w:eastAsia="Arial Unicode MS" w:cs="Arial Unicode MS"/>
              </w:rPr>
            </w:pPr>
            <w:r w:rsidRPr="002F757E">
              <w:rPr>
                <w:rStyle w:val="Aucun"/>
              </w:rPr>
              <w:t>2021</w:t>
            </w:r>
            <w:r>
              <w:rPr>
                <w:rStyle w:val="Aucun"/>
              </w:rPr>
              <w:t>, T</w:t>
            </w:r>
            <w:r w:rsidRPr="002F757E">
              <w:rPr>
                <w:rStyle w:val="Aucun"/>
              </w:rPr>
              <w:t>1</w:t>
            </w:r>
          </w:p>
        </w:tc>
      </w:tr>
      <w:tr w:rsidR="00A049E4">
        <w:trPr>
          <w:trHeight w:val="600"/>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Conférence sur l’analyse de données et les solutions numériques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Initiative non législative: événement de communication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2021</w:t>
            </w:r>
            <w:r>
              <w:rPr>
                <w:rStyle w:val="Aucun"/>
              </w:rPr>
              <w:t>, T</w:t>
            </w:r>
            <w:r w:rsidRPr="002F757E">
              <w:rPr>
                <w:rStyle w:val="Aucun"/>
              </w:rPr>
              <w:t>2</w:t>
            </w:r>
          </w:p>
        </w:tc>
      </w:tr>
      <w:tr w:rsidR="00A049E4">
        <w:trPr>
          <w:trHeight w:val="900"/>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Fonts w:eastAsia="Arial Unicode MS" w:cs="Arial Unicode MS"/>
              </w:rPr>
            </w:pPr>
            <w:r>
              <w:rPr>
                <w:rStyle w:val="Aucun"/>
              </w:rPr>
              <w:t>Chartes des droits des contribuables - Communication faisant le point sur les droits dont jouissent les contribuables en vertu du droit de l’Union, accompagnée d’une recommandation adressée aux États membres visant à faciliter la mise en œuvre des droits des contribuables et à simplifier les obligations fiscales.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 xml:space="preserve">Communication de la Commission européenne au Parlement et au Conseil et recommandation de la Commission adressée aux États membres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2021</w:t>
            </w:r>
            <w:r>
              <w:rPr>
                <w:rStyle w:val="Aucun"/>
              </w:rPr>
              <w:t>, T</w:t>
            </w:r>
            <w:r w:rsidRPr="002F757E">
              <w:rPr>
                <w:rStyle w:val="Aucun"/>
              </w:rPr>
              <w:t>3</w:t>
            </w:r>
            <w:r>
              <w:rPr>
                <w:rStyle w:val="Aucun"/>
              </w:rPr>
              <w:t xml:space="preserve"> </w:t>
            </w:r>
          </w:p>
        </w:tc>
      </w:tr>
      <w:tr w:rsidR="00A049E4">
        <w:trPr>
          <w:trHeight w:val="975"/>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Élargissement de l’échange automatique d’informations aux crypto-actifs et à la monnaie électronique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Analyse d’impact susceptible de déboucher sur une initiative législative sous la forme d’une proposition de directive du Conseil modifiant la directive du Conseil relative à la coopération administrative dans le domaine de la fiscalité directe, présentée par la Commission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2021</w:t>
            </w:r>
            <w:r>
              <w:rPr>
                <w:rStyle w:val="Aucun"/>
              </w:rPr>
              <w:t>, T</w:t>
            </w:r>
            <w:r w:rsidRPr="002F757E">
              <w:rPr>
                <w:rStyle w:val="Aucun"/>
              </w:rPr>
              <w:t>3</w:t>
            </w:r>
            <w:r>
              <w:rPr>
                <w:rStyle w:val="Aucun"/>
              </w:rPr>
              <w:t xml:space="preserve"> </w:t>
            </w:r>
          </w:p>
        </w:tc>
      </w:tr>
      <w:tr w:rsidR="00A049E4">
        <w:trPr>
          <w:trHeight w:val="1500"/>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Mise à jour et simplification des règles en matière de TVA applicables aux services financiers, afin de garantir des conditions de concurrence équitables au sein de l’Union ainsi que la compétitivité internationale des entreprises de l’UE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Analyse d’impact susceptible de déboucher sur une initiative législative sous la forme d’une proposition de directive du Conseil modifiant la directive TVA du Conseil, présentée par la Commission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2021</w:t>
            </w:r>
            <w:r>
              <w:rPr>
                <w:rStyle w:val="Aucun"/>
              </w:rPr>
              <w:t>, T</w:t>
            </w:r>
            <w:r w:rsidRPr="002F757E">
              <w:rPr>
                <w:rStyle w:val="Aucun"/>
              </w:rPr>
              <w:t>4</w:t>
            </w:r>
          </w:p>
        </w:tc>
      </w:tr>
      <w:tr w:rsidR="00A049E4">
        <w:trPr>
          <w:trHeight w:val="1081"/>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Style w:val="Aucun"/>
                <w:rFonts w:eastAsia="Arial Unicode MS" w:cs="Arial Unicode MS"/>
              </w:rPr>
            </w:pPr>
            <w:r>
              <w:rPr>
                <w:rStyle w:val="Aucun"/>
              </w:rPr>
              <w:t xml:space="preserve">Constitution du comité permanent de règlement des différends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Style w:val="Aucun"/>
                <w:rFonts w:eastAsia="Arial Unicode MS" w:cs="Arial Unicode MS"/>
              </w:rPr>
            </w:pPr>
            <w:r>
              <w:rPr>
                <w:rStyle w:val="Aucun"/>
              </w:rPr>
              <w:t xml:space="preserve">Constitution d’un organe permanent de règlement des différends, dénommé «comité permanent», dont la base juridique est déjà prévue par la directive (UE) </w:t>
            </w:r>
            <w:r w:rsidRPr="002F757E">
              <w:rPr>
                <w:rStyle w:val="Aucun"/>
              </w:rPr>
              <w:t>2017</w:t>
            </w:r>
            <w:r>
              <w:rPr>
                <w:rStyle w:val="Aucun"/>
              </w:rPr>
              <w:t>/</w:t>
            </w:r>
            <w:r w:rsidRPr="002F757E">
              <w:rPr>
                <w:rStyle w:val="Aucun"/>
              </w:rPr>
              <w:t>1852</w:t>
            </w:r>
            <w:r>
              <w:rPr>
                <w:rStyle w:val="Aucun"/>
              </w:rPr>
              <w:t xml:space="preserve"> </w:t>
            </w:r>
          </w:p>
          <w:p w:rsidR="00A049E4" w:rsidRPr="00A143B9" w:rsidRDefault="00A049E4">
            <w:pPr>
              <w:pStyle w:val="Corps"/>
              <w:rPr>
                <w:rStyle w:val="Aucun"/>
                <w:rFonts w:eastAsia="Arial Unicode MS" w:cs="Arial Unicode MS"/>
                <w:lang w:val="fr-BE"/>
              </w:rPr>
            </w:pPr>
          </w:p>
          <w:p w:rsidR="00A049E4" w:rsidRPr="00A143B9" w:rsidRDefault="00A049E4">
            <w:pPr>
              <w:pStyle w:val="Corps"/>
              <w:rPr>
                <w:rStyle w:val="Aucun"/>
                <w:rFonts w:eastAsia="Arial Unicode MS" w:cs="Arial Unicode MS"/>
                <w:lang w:val="fr-B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Style w:val="Aucun"/>
                <w:rFonts w:eastAsia="Arial Unicode MS" w:cs="Arial Unicode MS"/>
              </w:rPr>
            </w:pPr>
            <w:r w:rsidRPr="002F757E">
              <w:rPr>
                <w:rStyle w:val="Aucun"/>
              </w:rPr>
              <w:t>2021</w:t>
            </w:r>
            <w:r>
              <w:rPr>
                <w:rStyle w:val="Aucun"/>
              </w:rPr>
              <w:t>, T</w:t>
            </w:r>
            <w:r w:rsidRPr="002F757E">
              <w:rPr>
                <w:rStyle w:val="Aucun"/>
              </w:rPr>
              <w:t>3</w:t>
            </w:r>
          </w:p>
        </w:tc>
      </w:tr>
      <w:tr w:rsidR="00A049E4">
        <w:trPr>
          <w:trHeight w:val="3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049E4" w:rsidRDefault="00A143B9">
            <w:pPr>
              <w:pStyle w:val="Corps"/>
              <w:jc w:val="center"/>
            </w:pPr>
            <w:r>
              <w:rPr>
                <w:rStyle w:val="Aucun"/>
                <w:b/>
                <w:bCs/>
                <w:u w:val="single"/>
              </w:rPr>
              <w:t xml:space="preserve">Actions à mener en </w:t>
            </w:r>
            <w:r w:rsidRPr="002F757E">
              <w:rPr>
                <w:rStyle w:val="Aucun"/>
                <w:b/>
                <w:bCs/>
                <w:u w:val="single"/>
              </w:rPr>
              <w:t>2022</w:t>
            </w:r>
            <w:r>
              <w:rPr>
                <w:rStyle w:val="Aucun"/>
                <w:b/>
                <w:bCs/>
                <w:u w:val="single"/>
              </w:rPr>
              <w:t>-</w:t>
            </w:r>
            <w:r w:rsidRPr="002F757E">
              <w:rPr>
                <w:rStyle w:val="Aucun"/>
                <w:b/>
                <w:bCs/>
                <w:u w:val="single"/>
              </w:rPr>
              <w:t>2023</w:t>
            </w:r>
          </w:p>
        </w:tc>
      </w:tr>
      <w:tr w:rsidR="00A049E4">
        <w:trPr>
          <w:trHeight w:val="1140"/>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Solutions numériques pour la retenue à la source afin de faciliter le paiement et la perception des taxes et impôts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 xml:space="preserve">Analyse d’impact susceptible de déboucher sur une initiative législative sous la forme d’une proposition de directive du Conseil instaurant un système de retenue à la source, présentée par la Commission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2022</w:t>
            </w:r>
          </w:p>
        </w:tc>
      </w:tr>
      <w:tr w:rsidR="00A049E4">
        <w:trPr>
          <w:trHeight w:val="974"/>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Cohérence des règles relatives à la résidence fiscale pour les particuliers afin d’éviter la double imposition (et la double non-imposition)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 xml:space="preserve">Analyse d’impact susceptible de déboucher sur une initiative législative sous la forme d’une proposition de directive du Conseil harmonisant les critères de résidence fiscale, présentée par la Commission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2022</w:t>
            </w:r>
            <w:r>
              <w:rPr>
                <w:rStyle w:val="Aucun"/>
              </w:rPr>
              <w:t xml:space="preserve"> </w:t>
            </w:r>
          </w:p>
        </w:tc>
      </w:tr>
      <w:tr w:rsidR="00A049E4">
        <w:trPr>
          <w:trHeight w:val="864"/>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Amélioration de la qualité et de l’utilisation des données fiscales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Initiative non législative: projet pilote devant être suivi d’un document de travail des services de la Commission qui présente les principales conclusions et recommandations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2022</w:t>
            </w:r>
          </w:p>
        </w:tc>
      </w:tr>
      <w:tr w:rsidR="00A049E4">
        <w:trPr>
          <w:trHeight w:val="964"/>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22</w:t>
            </w:r>
            <w:r>
              <w:rPr>
                <w:rStyle w:val="Aucun"/>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r>
              <w:rPr>
                <w:rStyle w:val="Aucun"/>
                <w:rFonts w:ascii="Times New Roman" w:hAnsi="Times New Roman"/>
                <w:color w:val="000000"/>
                <w:sz w:val="24"/>
                <w:szCs w:val="24"/>
                <w:u w:color="000000"/>
                <w:bdr w:val="nil"/>
                <w14:textOutline w14:w="0" w14:cap="flat" w14:cmpd="sng" w14:algn="ctr">
                  <w14:noFill/>
                  <w14:prstDash w14:val="solid"/>
                  <w14:bevel/>
                </w14:textOutline>
              </w:rPr>
              <w:t>Mise à jour du régime de TVA particulier des agences de voyages en vue de garantir la compétitivité internationale du secteur des voyages de l’UE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Analyse d’impact susceptible de déboucher sur une initiative législative sous la forme d’une proposition de directive du Conseil modifiant la directive relative à la TVA, présentée par la Commission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2022</w:t>
            </w:r>
          </w:p>
        </w:tc>
      </w:tr>
      <w:tr w:rsidR="00A049E4">
        <w:trPr>
          <w:trHeight w:val="1500"/>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Révision des règles en matière de TVA applicables au transport de passagers afin d’assurer leur cohérence avec la politique fiscale élaborée dans le cadre du pacte vert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Analyse d’impact susceptible de déboucher sur une initiative législative sous la forme d’une proposition de directive du Conseil modifiant la directive relative à la TVA, présentée par la Commission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2022</w:t>
            </w:r>
          </w:p>
        </w:tc>
      </w:tr>
      <w:tr w:rsidR="00A049E4">
        <w:trPr>
          <w:trHeight w:val="1067"/>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Prévention et règlement des différends en matière de TVA – mise en place de mécanismes de prévention et de règlement des différends liés à la mise en œuvre de la directive TVA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Analyse d’impact susceptible de déboucher sur une initiative législative sous la forme d’une proposition de directive du Conseil établissant un mécanisme de règlement des différends dans le domaine de la TVA, présentée par la Commission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2022</w:t>
            </w:r>
          </w:p>
        </w:tc>
      </w:tr>
      <w:tr w:rsidR="00A049E4">
        <w:trPr>
          <w:trHeight w:val="2100"/>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1</w:t>
            </w:r>
          </w:p>
          <w:p w:rsidR="00A049E4" w:rsidRDefault="00A143B9">
            <w:pPr>
              <w:pStyle w:val="Corps"/>
              <w:rPr>
                <w:rStyle w:val="Aucun"/>
                <w:rFonts w:eastAsia="Arial Unicode MS" w:cs="Arial Unicode MS"/>
              </w:rPr>
            </w:pPr>
            <w:r>
              <w:rPr>
                <w:rStyle w:val="Aucun"/>
              </w:rPr>
              <w:t>A</w:t>
            </w:r>
            <w:r w:rsidRPr="002F757E">
              <w:rPr>
                <w:rStyle w:val="Aucun"/>
              </w:rPr>
              <w:t>4</w:t>
            </w:r>
          </w:p>
          <w:p w:rsidR="00A049E4" w:rsidRDefault="00A143B9">
            <w:pPr>
              <w:pStyle w:val="Corps"/>
              <w:rPr>
                <w:rStyle w:val="Aucun"/>
                <w:rFonts w:eastAsia="Arial Unicode MS" w:cs="Arial Unicode MS"/>
              </w:rPr>
            </w:pPr>
            <w:r>
              <w:rPr>
                <w:rStyle w:val="Aucun"/>
              </w:rPr>
              <w:t>A</w:t>
            </w:r>
            <w:r w:rsidRPr="002F757E">
              <w:rPr>
                <w:rStyle w:val="Aucun"/>
              </w:rPr>
              <w:t>5</w:t>
            </w:r>
          </w:p>
          <w:p w:rsidR="00A049E4" w:rsidRDefault="00A143B9">
            <w:pPr>
              <w:pStyle w:val="Corps"/>
              <w:rPr>
                <w:rStyle w:val="Aucun"/>
                <w:rFonts w:eastAsia="Arial Unicode MS" w:cs="Arial Unicode MS"/>
              </w:rPr>
            </w:pPr>
            <w:r>
              <w:rPr>
                <w:rStyle w:val="Aucun"/>
              </w:rPr>
              <w:t>A</w:t>
            </w:r>
            <w:r w:rsidRPr="002F757E">
              <w:rPr>
                <w:rStyle w:val="Aucun"/>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Paquet TVA à l’ère du numérique: mise à jour des règles en matière de TVA pour l’économie du partage, passage à un enregistrement à la TVA unique dans l’UE, modernisation des obligations de déclaration en matière de TVA et facilitation de la facturation électronique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 xml:space="preserve">Analyse d’impact susceptible de déboucher sur une initiative législative sous la forme d’une proposition de directive du Conseil modifiant la directive relative à la TVA et/ou de directive du Conseil modifiant le règlement du Conseil relatif à la coopération administrative dans le domaine de la TVA, présentées par la Commission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2022</w:t>
            </w:r>
          </w:p>
        </w:tc>
      </w:tr>
      <w:tr w:rsidR="00A049E4">
        <w:trPr>
          <w:trHeight w:val="1084"/>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Paquet sur le commerce électronique relatif aux produits soumis à accise: facilitation de la vente à distance de produits soumis à accise tout en réduisant au minimum la fraude et la distorsion de la concurrence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Pr>
                <w:rStyle w:val="Aucun"/>
              </w:rPr>
              <w:t xml:space="preserve">Analyse d’impact susceptible de déboucher sur une initiative législative sous la forme d’une proposition de la Commission modifiant la directive du Conseil relative au régime général d’accise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pPr>
            <w:r w:rsidRPr="002F757E">
              <w:rPr>
                <w:rStyle w:val="Aucun"/>
              </w:rPr>
              <w:t>2022</w:t>
            </w:r>
          </w:p>
        </w:tc>
      </w:tr>
      <w:tr w:rsidR="00A049E4">
        <w:trPr>
          <w:trHeight w:val="960"/>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Style w:val="Aucun"/>
                <w:rFonts w:eastAsia="Arial Unicode MS" w:cs="Arial Unicode MS"/>
              </w:rPr>
            </w:pPr>
            <w:r>
              <w:rPr>
                <w:rStyle w:val="Aucun"/>
              </w:rPr>
              <w:t xml:space="preserve">Eurofisc </w:t>
            </w:r>
            <w:r w:rsidRPr="002F757E">
              <w:rPr>
                <w:rStyle w:val="Aucun"/>
              </w:rPr>
              <w:t>2</w:t>
            </w:r>
            <w:r>
              <w:rPr>
                <w:rStyle w:val="Aucun"/>
              </w:rPr>
              <w:t>.</w:t>
            </w:r>
            <w:r w:rsidRPr="002F757E">
              <w:rPr>
                <w:rStyle w:val="Aucun"/>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Style w:val="Aucun"/>
                <w:rFonts w:eastAsia="Arial Unicode MS" w:cs="Arial Unicode MS"/>
              </w:rPr>
            </w:pPr>
            <w:r>
              <w:rPr>
                <w:rStyle w:val="Aucun"/>
              </w:rPr>
              <w:t>Analyse d’impact susceptible de déboucher sur une initiative législative sous la forme d’une proposition de la Commission modifiant le règlement (UE) nº </w:t>
            </w:r>
            <w:r w:rsidRPr="002F757E">
              <w:rPr>
                <w:rStyle w:val="Aucun"/>
              </w:rPr>
              <w:t>904</w:t>
            </w:r>
            <w:r>
              <w:rPr>
                <w:rStyle w:val="Aucun"/>
              </w:rPr>
              <w:t>/</w:t>
            </w:r>
            <w:r w:rsidRPr="002F757E">
              <w:rPr>
                <w:rStyle w:val="Aucun"/>
              </w:rPr>
              <w:t>2010</w:t>
            </w:r>
            <w:r>
              <w:rPr>
                <w:rStyle w:val="Aucun"/>
              </w:rPr>
              <w:t xml:space="preserve"> du Conseil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Style w:val="Aucun"/>
                <w:rFonts w:eastAsia="Arial Unicode MS" w:cs="Arial Unicode MS"/>
              </w:rPr>
            </w:pPr>
            <w:r w:rsidRPr="002F757E">
              <w:rPr>
                <w:rStyle w:val="Aucun"/>
              </w:rPr>
              <w:t>2023</w:t>
            </w:r>
          </w:p>
        </w:tc>
      </w:tr>
      <w:tr w:rsidR="00A049E4">
        <w:trPr>
          <w:trHeight w:val="679"/>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12</w:t>
            </w:r>
            <w:r>
              <w:rPr>
                <w:rStyle w:val="Aucun"/>
              </w:rPr>
              <w:t xml:space="preserve"> A</w:t>
            </w:r>
            <w:r w:rsidRPr="002F757E">
              <w:rPr>
                <w:rStyle w:val="Aucun"/>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Style w:val="Aucun"/>
                <w:rFonts w:eastAsia="Arial Unicode MS" w:cs="Arial Unicode MS"/>
              </w:rPr>
            </w:pPr>
            <w:r>
              <w:rPr>
                <w:rStyle w:val="Aucun"/>
              </w:rPr>
              <w:t xml:space="preserve">Renforcement des contrôles des opérations transfrontières par le passage de l’échange au partage des données fiscales </w:t>
            </w:r>
          </w:p>
          <w:p w:rsidR="00A049E4" w:rsidRDefault="00A143B9">
            <w:pPr>
              <w:pStyle w:val="Corps"/>
              <w:rPr>
                <w:rStyle w:val="Aucun"/>
                <w:rFonts w:eastAsia="Arial Unicode MS" w:cs="Arial Unicode MS"/>
              </w:rPr>
            </w:pPr>
            <w:r>
              <w:rPr>
                <w:rStyle w:val="Aucun"/>
              </w:rPr>
              <w:t>Accélération et amélioration de l’efficacité du processus de contrôle des opérations transfrontières par le recours à de nouveaux outils technologiques, à l’analyse avancée et au partage flexible des données au niveau de l’UE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Style w:val="Aucun"/>
                <w:rFonts w:eastAsia="Arial Unicode MS" w:cs="Arial Unicode MS"/>
              </w:rPr>
            </w:pPr>
            <w:r>
              <w:rPr>
                <w:rStyle w:val="Aucun"/>
              </w:rPr>
              <w:t>Analyse d’impact susceptible de déboucher sur une initiative législative sous la forme d’une proposition de la Commission modifiant le règlement (UE) nº </w:t>
            </w:r>
            <w:r w:rsidRPr="002F757E">
              <w:rPr>
                <w:rStyle w:val="Aucun"/>
              </w:rPr>
              <w:t>904</w:t>
            </w:r>
            <w:r>
              <w:rPr>
                <w:rStyle w:val="Aucun"/>
              </w:rPr>
              <w:t>/</w:t>
            </w:r>
            <w:r w:rsidRPr="002F757E">
              <w:rPr>
                <w:rStyle w:val="Aucun"/>
              </w:rPr>
              <w:t>2010</w:t>
            </w:r>
            <w:r>
              <w:rPr>
                <w:rStyle w:val="Aucun"/>
              </w:rPr>
              <w:t xml:space="preserve"> du Conseil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Style w:val="Aucun"/>
                <w:rFonts w:eastAsia="Arial Unicode MS" w:cs="Arial Unicode MS"/>
              </w:rPr>
            </w:pPr>
            <w:r w:rsidRPr="002F757E">
              <w:rPr>
                <w:rStyle w:val="Aucun"/>
              </w:rPr>
              <w:t>2023</w:t>
            </w:r>
          </w:p>
        </w:tc>
      </w:tr>
      <w:tr w:rsidR="00A049E4">
        <w:trPr>
          <w:trHeight w:val="1339"/>
        </w:trPr>
        <w:tc>
          <w:tcPr>
            <w:tcW w:w="0" w:type="auto"/>
            <w:tcBorders>
              <w:top w:val="single" w:sz="4" w:space="0" w:color="000000"/>
              <w:left w:val="single" w:sz="4" w:space="0" w:color="000000"/>
              <w:bottom w:val="single" w:sz="4" w:space="0" w:color="000000"/>
              <w:right w:val="single" w:sz="4" w:space="0" w:color="000000"/>
            </w:tcBorders>
          </w:tcPr>
          <w:p w:rsidR="00A049E4" w:rsidRDefault="00A143B9">
            <w:pPr>
              <w:pStyle w:val="Corps"/>
              <w:rPr>
                <w:rStyle w:val="Aucun"/>
                <w:rFonts w:eastAsia="Arial Unicode MS" w:cs="Arial Unicode MS"/>
              </w:rPr>
            </w:pPr>
            <w:r>
              <w:rPr>
                <w:rStyle w:val="Aucun"/>
              </w:rPr>
              <w:t>A</w:t>
            </w:r>
            <w:r w:rsidRPr="002F757E">
              <w:rPr>
                <w:rStyle w:val="Aucun"/>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Fonts w:eastAsia="Arial Unicode MS" w:cs="Arial Unicode MS"/>
              </w:rPr>
            </w:pPr>
            <w:r>
              <w:rPr>
                <w:rStyle w:val="Aucun"/>
              </w:rPr>
              <w:t xml:space="preserve">Coopération administrative dans le domaine de la TVA entre l’UE et les pays tiers pertinents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Fonts w:eastAsia="Arial Unicode MS" w:cs="Arial Unicode MS"/>
              </w:rPr>
            </w:pPr>
            <w:r>
              <w:rPr>
                <w:rStyle w:val="Aucun"/>
              </w:rPr>
              <w:t xml:space="preserve">Conclusion d’accords de coopération administrative dans le domaine de la TVA entre l’UE et les pays tiers pertinents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49E4" w:rsidRDefault="00A143B9">
            <w:pPr>
              <w:pStyle w:val="Corps"/>
              <w:rPr>
                <w:rFonts w:eastAsia="Arial Unicode MS" w:cs="Arial Unicode MS"/>
              </w:rPr>
            </w:pPr>
            <w:r w:rsidRPr="002F757E">
              <w:rPr>
                <w:rStyle w:val="Aucun"/>
              </w:rPr>
              <w:t>2023</w:t>
            </w:r>
          </w:p>
        </w:tc>
      </w:tr>
    </w:tbl>
    <w:p w:rsidR="00A049E4" w:rsidRDefault="00A049E4"/>
    <w:sectPr w:rsidR="00A049E4">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9E4" w:rsidRDefault="00A143B9">
      <w:pPr>
        <w:spacing w:after="0" w:line="240" w:lineRule="auto"/>
      </w:pPr>
      <w:r>
        <w:separator/>
      </w:r>
    </w:p>
  </w:endnote>
  <w:endnote w:type="continuationSeparator" w:id="0">
    <w:p w:rsidR="00A049E4" w:rsidRDefault="00A1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0C" w:rsidRPr="00E7470C" w:rsidRDefault="00E7470C" w:rsidP="00E74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0C" w:rsidRPr="00E7470C" w:rsidRDefault="00E7470C" w:rsidP="00E7470C">
    <w:pPr>
      <w:pStyle w:val="FooterCoverPage"/>
      <w:rPr>
        <w:rFonts w:ascii="Arial" w:hAnsi="Arial" w:cs="Arial"/>
        <w:b/>
        <w:sz w:val="48"/>
      </w:rPr>
    </w:pPr>
    <w:r w:rsidRPr="00E7470C">
      <w:rPr>
        <w:rFonts w:ascii="Arial" w:hAnsi="Arial" w:cs="Arial"/>
        <w:b/>
        <w:sz w:val="48"/>
      </w:rPr>
      <w:t>FR</w:t>
    </w:r>
    <w:r w:rsidRPr="00E7470C">
      <w:rPr>
        <w:rFonts w:ascii="Arial" w:hAnsi="Arial" w:cs="Arial"/>
        <w:b/>
        <w:sz w:val="48"/>
      </w:rPr>
      <w:tab/>
    </w:r>
    <w:r w:rsidRPr="00E7470C">
      <w:rPr>
        <w:rFonts w:ascii="Arial" w:hAnsi="Arial" w:cs="Arial"/>
        <w:b/>
        <w:sz w:val="48"/>
      </w:rPr>
      <w:tab/>
    </w:r>
    <w:r w:rsidRPr="00E7470C">
      <w:tab/>
    </w:r>
    <w:r w:rsidRPr="00E7470C">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0C" w:rsidRPr="00E7470C" w:rsidRDefault="00E7470C" w:rsidP="00E7470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E4" w:rsidRDefault="00A049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980516"/>
      <w:docPartObj>
        <w:docPartGallery w:val="Page Numbers (Bottom of Page)"/>
        <w:docPartUnique/>
      </w:docPartObj>
    </w:sdtPr>
    <w:sdtEndPr>
      <w:rPr>
        <w:noProof/>
      </w:rPr>
    </w:sdtEndPr>
    <w:sdtContent>
      <w:p w:rsidR="00A049E4" w:rsidRDefault="00A143B9">
        <w:pPr>
          <w:pStyle w:val="Footer"/>
          <w:jc w:val="center"/>
        </w:pPr>
        <w:r>
          <w:fldChar w:fldCharType="begin"/>
        </w:r>
        <w:r>
          <w:instrText xml:space="preserve"> PAGE   \* MERGEFORMAT </w:instrText>
        </w:r>
        <w:r>
          <w:fldChar w:fldCharType="separate"/>
        </w:r>
        <w:r w:rsidR="00E7470C">
          <w:rPr>
            <w:noProof/>
          </w:rPr>
          <w:t>1</w:t>
        </w:r>
        <w:r>
          <w:fldChar w:fldCharType="end"/>
        </w:r>
      </w:p>
    </w:sdtContent>
  </w:sdt>
  <w:p w:rsidR="00A049E4" w:rsidRDefault="00A049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E4" w:rsidRDefault="00A04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9E4" w:rsidRDefault="00A143B9">
      <w:pPr>
        <w:spacing w:after="0" w:line="240" w:lineRule="auto"/>
      </w:pPr>
      <w:r>
        <w:separator/>
      </w:r>
    </w:p>
  </w:footnote>
  <w:footnote w:type="continuationSeparator" w:id="0">
    <w:p w:rsidR="00A049E4" w:rsidRDefault="00A14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0C" w:rsidRPr="00E7470C" w:rsidRDefault="00E7470C" w:rsidP="00E74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0C" w:rsidRPr="00E7470C" w:rsidRDefault="00E7470C" w:rsidP="00E7470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0C" w:rsidRPr="00E7470C" w:rsidRDefault="00E7470C" w:rsidP="00E7470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E4" w:rsidRDefault="00A049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E4" w:rsidRDefault="00A049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E4" w:rsidRDefault="00A04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
    <w:docVar w:name="LW_ANNEX_NBR_FIRST" w:val="1"/>
    <w:docVar w:name="LW_ANNEX_NBR_LAST" w:val="1"/>
    <w:docVar w:name="LW_ANNEX_UNIQUE" w:val="1"/>
    <w:docVar w:name="LW_CORRIGENDUM" w:val="&lt;UNUSED&gt;"/>
    <w:docVar w:name="LW_COVERPAGE_EXISTS" w:val="True"/>
    <w:docVar w:name="LW_COVERPAGE_GUID" w:val="2D3C3BE1-A32B-4B23-928E-E69CC3CAA633"/>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_x000d__x000d__x000d__x000d__x000d__x000d__x000b__x000d__x000d__x000d__x000d__x000d__x000d__x000b__x000d_UN PLAN D\u8217?ACTION POUR _x000d__x000b_UNE FISCALITÉ ÉQUITABLE ET SIMPLIFIÉE À L\u8217?APPUI DE LA STRATÉGIE DE RELANCE_x000d__x000b__x000d__x000d__x000d_"/>
    <w:docVar w:name="LW_PART_NBR" w:val="1"/>
    <w:docVar w:name="LW_PART_NBR_TOTAL" w:val="1"/>
    <w:docVar w:name="LW_REF.INST.NEW" w:val="COM"/>
    <w:docVar w:name="LW_REF.INST.NEW_ADOPTED" w:val="&lt;EMPTY&gt;"/>
    <w:docVar w:name="LW_REF.INST.NEW_TEXT" w:val="(2020) 312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_x000b_ET AU CONSEIL_x000b_"/>
  </w:docVars>
  <w:rsids>
    <w:rsidRoot w:val="00A049E4"/>
    <w:rsid w:val="00224349"/>
    <w:rsid w:val="002F757E"/>
    <w:rsid w:val="00A049E4"/>
    <w:rsid w:val="00A143B9"/>
    <w:rsid w:val="00E74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7B9B23-4DC4-463F-BD66-DE7D2ECD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Aucun">
    <w:name w:val="Aucun"/>
  </w:style>
  <w:style w:type="paragraph" w:customStyle="1" w:styleId="Corps">
    <w:name w:val="Corps"/>
    <w:link w:val="CorpsChar"/>
    <w:pPr>
      <w:pBdr>
        <w:top w:val="nil"/>
        <w:left w:val="nil"/>
        <w:bottom w:val="nil"/>
        <w:right w:val="nil"/>
        <w:between w:val="nil"/>
        <w:bar w:val="nil"/>
      </w:pBdr>
      <w:spacing w:after="240" w:line="240" w:lineRule="auto"/>
      <w:jc w:val="both"/>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customStyle="1" w:styleId="Titre">
    <w:name w:val="Titre"/>
    <w:next w:val="Corps"/>
    <w:pPr>
      <w:keepNext/>
      <w:keepLines/>
      <w:pBdr>
        <w:top w:val="nil"/>
        <w:left w:val="nil"/>
        <w:bottom w:val="nil"/>
        <w:right w:val="nil"/>
        <w:between w:val="nil"/>
        <w:bar w:val="nil"/>
      </w:pBdr>
      <w:spacing w:before="480" w:after="120" w:line="240" w:lineRule="auto"/>
      <w:jc w:val="both"/>
      <w:outlineLvl w:val="0"/>
    </w:pPr>
    <w:rPr>
      <w:rFonts w:ascii="Times New Roman" w:eastAsia="Arial Unicode MS" w:hAnsi="Times New Roman" w:cs="Arial Unicode MS"/>
      <w:b/>
      <w:bCs/>
      <w:color w:val="000000"/>
      <w:sz w:val="24"/>
      <w:szCs w:val="24"/>
      <w:u w:color="000000"/>
      <w:bdr w:val="nil"/>
      <w:lang w:eastAsia="en-GB"/>
      <w14:textOutline w14:w="0" w14:cap="flat" w14:cmpd="sng" w14:algn="ctr">
        <w14:noFill/>
        <w14:prstDash w14:val="solid"/>
        <w14:bevel/>
      </w14:textOutline>
    </w:rPr>
  </w:style>
  <w:style w:type="character" w:customStyle="1" w:styleId="CorpsChar">
    <w:name w:val="Corps Char"/>
    <w:basedOn w:val="DefaultParagraphFont"/>
    <w:link w:val="Corps"/>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5B7108-3D91-4E97-B535-BBAC59BB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1080</Words>
  <Characters>6063</Characters>
  <Application>Microsoft Office Word</Application>
  <DocSecurity>0</DocSecurity>
  <Lines>202</Lines>
  <Paragraphs>117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Lucian (TAXUD)</dc:creator>
  <cp:keywords/>
  <dc:description/>
  <cp:lastModifiedBy>ROUBI Vasiliki (SG)</cp:lastModifiedBy>
  <cp:revision>3</cp:revision>
  <dcterms:created xsi:type="dcterms:W3CDTF">2020-07-14T10:58:00Z</dcterms:created>
  <dcterms:modified xsi:type="dcterms:W3CDTF">2020-07-14T11:08:00Z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20190916</vt:lpwstr>
  </property>
  <property fmtid="{D5CDD505-2E9C-101B-9397-08002B2CF9AE}" pid="11" name="Created using">
    <vt:lpwstr>LW 7.0, Build 20190717</vt:lpwstr>
  </property>
</Properties>
</file>