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933" w:rsidRDefault="00140688" w:rsidP="00140688">
      <w:pPr>
        <w:pStyle w:val="Pagedecouverture"/>
      </w:pPr>
      <w:bookmarkStart w:id="0" w:name="LW_BM_COVERPAGE"/>
      <w:bookmarkStart w:id="1" w:name="_GoBack"/>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C8ED0975-6360-4E3F-A53D-41F8EBB88B9F" style="width:450.5pt;height:307pt">
            <v:imagedata r:id="rId12" o:title=""/>
          </v:shape>
        </w:pict>
      </w:r>
    </w:p>
    <w:bookmarkEnd w:id="0"/>
    <w:p w:rsidR="007C1933" w:rsidRDefault="007C1933" w:rsidP="00700971">
      <w:pPr>
        <w:pStyle w:val="Heading2"/>
        <w:rPr>
          <w:b w:val="0"/>
          <w:bCs w:val="0"/>
          <w:i w:val="0"/>
          <w:iCs w:val="0"/>
        </w:rPr>
        <w:sectPr w:rsidR="007C1933" w:rsidSect="00140688">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0"/>
          <w:cols w:space="720"/>
          <w:docGrid w:linePitch="360"/>
        </w:sectPr>
      </w:pPr>
    </w:p>
    <w:p w:rsidR="00746D68" w:rsidRDefault="00746D68" w:rsidP="00700971">
      <w:pPr>
        <w:pStyle w:val="Heading2"/>
      </w:pPr>
      <w:r>
        <w:lastRenderedPageBreak/>
        <w:t>1. INTRODUCTION</w:t>
      </w:r>
    </w:p>
    <w:p w:rsidR="00761192" w:rsidRDefault="000013D8" w:rsidP="005A6798">
      <w:pPr>
        <w:spacing w:line="276" w:lineRule="auto"/>
        <w:jc w:val="both"/>
        <w:rPr>
          <w:rFonts w:ascii="Times New Roman" w:hAnsi="Times New Roman" w:cs="Times New Roman"/>
          <w:sz w:val="24"/>
          <w:szCs w:val="24"/>
        </w:rPr>
      </w:pPr>
      <w:r w:rsidRPr="000D416B">
        <w:rPr>
          <w:rFonts w:ascii="Times New Roman" w:hAnsi="Times New Roman" w:cs="Times New Roman"/>
          <w:sz w:val="24"/>
          <w:szCs w:val="24"/>
        </w:rPr>
        <w:t xml:space="preserve">Fair taxation is central to the EU’s social and economic model </w:t>
      </w:r>
      <w:r w:rsidR="00730271">
        <w:rPr>
          <w:rFonts w:ascii="Times New Roman" w:hAnsi="Times New Roman" w:cs="Times New Roman"/>
          <w:sz w:val="24"/>
          <w:szCs w:val="24"/>
        </w:rPr>
        <w:t>and its sustainability</w:t>
      </w:r>
      <w:r w:rsidRPr="000D416B">
        <w:rPr>
          <w:rFonts w:ascii="Times New Roman" w:hAnsi="Times New Roman" w:cs="Times New Roman"/>
          <w:sz w:val="24"/>
          <w:szCs w:val="24"/>
        </w:rPr>
        <w:t xml:space="preserve">. </w:t>
      </w:r>
      <w:r w:rsidR="00AC59C5" w:rsidRPr="000D416B">
        <w:rPr>
          <w:rFonts w:ascii="Times New Roman" w:hAnsi="Times New Roman" w:cs="Times New Roman"/>
          <w:sz w:val="24"/>
          <w:szCs w:val="24"/>
        </w:rPr>
        <w:t xml:space="preserve">It is essential for sustainable revenues, a competitive business environment and overall taxpayer morale. </w:t>
      </w:r>
      <w:r w:rsidRPr="000D416B">
        <w:rPr>
          <w:rFonts w:ascii="Times New Roman" w:hAnsi="Times New Roman" w:cs="Times New Roman"/>
          <w:sz w:val="24"/>
          <w:szCs w:val="24"/>
        </w:rPr>
        <w:t xml:space="preserve">It is crucial to meet some of the EU's </w:t>
      </w:r>
      <w:r w:rsidR="00E558AE" w:rsidRPr="000D416B">
        <w:rPr>
          <w:rFonts w:ascii="Times New Roman" w:hAnsi="Times New Roman" w:cs="Times New Roman"/>
          <w:sz w:val="24"/>
          <w:szCs w:val="24"/>
        </w:rPr>
        <w:t xml:space="preserve">core </w:t>
      </w:r>
      <w:r w:rsidRPr="000D416B">
        <w:rPr>
          <w:rFonts w:ascii="Times New Roman" w:hAnsi="Times New Roman" w:cs="Times New Roman"/>
          <w:sz w:val="24"/>
          <w:szCs w:val="24"/>
        </w:rPr>
        <w:t>objectives, including a just society, a strong Single Market</w:t>
      </w:r>
      <w:r w:rsidR="009B6733" w:rsidRPr="000D416B">
        <w:rPr>
          <w:rFonts w:ascii="Times New Roman" w:hAnsi="Times New Roman" w:cs="Times New Roman"/>
          <w:sz w:val="24"/>
          <w:szCs w:val="24"/>
        </w:rPr>
        <w:t xml:space="preserve"> with sustainable revenues,</w:t>
      </w:r>
      <w:r w:rsidRPr="000D416B">
        <w:rPr>
          <w:rFonts w:ascii="Times New Roman" w:hAnsi="Times New Roman" w:cs="Times New Roman"/>
          <w:sz w:val="24"/>
          <w:szCs w:val="24"/>
        </w:rPr>
        <w:t xml:space="preserve"> a level-playing field for all companies</w:t>
      </w:r>
      <w:r w:rsidR="009B6733" w:rsidRPr="000D416B">
        <w:rPr>
          <w:rFonts w:ascii="Times New Roman" w:hAnsi="Times New Roman" w:cs="Times New Roman"/>
          <w:sz w:val="24"/>
          <w:szCs w:val="24"/>
        </w:rPr>
        <w:t>,</w:t>
      </w:r>
      <w:r w:rsidRPr="000D416B">
        <w:rPr>
          <w:rFonts w:ascii="Times New Roman" w:hAnsi="Times New Roman" w:cs="Times New Roman"/>
          <w:sz w:val="24"/>
          <w:szCs w:val="24"/>
        </w:rPr>
        <w:t xml:space="preserve"> and a stable economy built on growth, jobs and investment</w:t>
      </w:r>
      <w:r w:rsidR="00A360B0">
        <w:rPr>
          <w:rFonts w:ascii="Times New Roman" w:hAnsi="Times New Roman" w:cs="Times New Roman"/>
          <w:sz w:val="24"/>
          <w:szCs w:val="24"/>
        </w:rPr>
        <w:t>.</w:t>
      </w:r>
      <w:r w:rsidRPr="000D416B">
        <w:rPr>
          <w:rFonts w:ascii="Times New Roman" w:hAnsi="Times New Roman" w:cs="Times New Roman"/>
          <w:sz w:val="24"/>
          <w:szCs w:val="24"/>
        </w:rPr>
        <w:t xml:space="preserve"> For those reasons,</w:t>
      </w:r>
      <w:r w:rsidR="00472339" w:rsidRPr="000D416B">
        <w:rPr>
          <w:rFonts w:ascii="Times New Roman" w:hAnsi="Times New Roman" w:cs="Times New Roman"/>
          <w:sz w:val="24"/>
          <w:szCs w:val="24"/>
        </w:rPr>
        <w:t xml:space="preserve"> President von der </w:t>
      </w:r>
      <w:proofErr w:type="spellStart"/>
      <w:r w:rsidR="00472339" w:rsidRPr="000D416B">
        <w:rPr>
          <w:rFonts w:ascii="Times New Roman" w:hAnsi="Times New Roman" w:cs="Times New Roman"/>
          <w:sz w:val="24"/>
          <w:szCs w:val="24"/>
        </w:rPr>
        <w:t>Leyen</w:t>
      </w:r>
      <w:proofErr w:type="spellEnd"/>
      <w:r w:rsidR="00472339" w:rsidRPr="000D416B">
        <w:rPr>
          <w:rFonts w:ascii="Times New Roman" w:hAnsi="Times New Roman" w:cs="Times New Roman"/>
          <w:sz w:val="24"/>
          <w:szCs w:val="24"/>
        </w:rPr>
        <w:t xml:space="preserve"> has stressed that a fair tax system, where everybody pays their fair share, is one of the priorities for the Commission. </w:t>
      </w:r>
      <w:r w:rsidR="004F1FB9" w:rsidRPr="004F1FB9">
        <w:rPr>
          <w:rFonts w:ascii="Times New Roman" w:hAnsi="Times New Roman" w:cs="Times New Roman"/>
          <w:sz w:val="24"/>
          <w:szCs w:val="24"/>
        </w:rPr>
        <w:t>In view of the global recovery, it is equally important for partner countries that the recovery is supported by domestic resource mobilization with a functioning taxation system at the heart of it. This will help in addressing the socio-economic consequences of the COVID-19 crisis.</w:t>
      </w:r>
    </w:p>
    <w:p w:rsidR="006A71F1" w:rsidRDefault="00472339" w:rsidP="005A6798">
      <w:pPr>
        <w:spacing w:line="276" w:lineRule="auto"/>
        <w:jc w:val="both"/>
        <w:rPr>
          <w:rFonts w:ascii="Times New Roman" w:hAnsi="Times New Roman" w:cs="Times New Roman"/>
          <w:sz w:val="24"/>
          <w:szCs w:val="24"/>
        </w:rPr>
      </w:pPr>
      <w:r w:rsidRPr="000D416B">
        <w:rPr>
          <w:rFonts w:ascii="Times New Roman" w:hAnsi="Times New Roman" w:cs="Times New Roman"/>
          <w:sz w:val="24"/>
          <w:szCs w:val="24"/>
        </w:rPr>
        <w:t>The European Parliament</w:t>
      </w:r>
      <w:r w:rsidRPr="000D416B">
        <w:rPr>
          <w:rStyle w:val="FootnoteReference"/>
          <w:rFonts w:ascii="Times New Roman" w:hAnsi="Times New Roman" w:cs="Times New Roman"/>
          <w:sz w:val="24"/>
          <w:szCs w:val="24"/>
        </w:rPr>
        <w:footnoteReference w:id="2"/>
      </w:r>
      <w:r w:rsidRPr="000D416B">
        <w:rPr>
          <w:rFonts w:ascii="Times New Roman" w:hAnsi="Times New Roman" w:cs="Times New Roman"/>
          <w:sz w:val="24"/>
          <w:szCs w:val="24"/>
        </w:rPr>
        <w:t xml:space="preserve"> has also repeatedly called for EU action to </w:t>
      </w:r>
      <w:r w:rsidR="009B6733" w:rsidRPr="000D416B">
        <w:rPr>
          <w:rFonts w:ascii="Times New Roman" w:hAnsi="Times New Roman" w:cs="Times New Roman"/>
          <w:sz w:val="24"/>
          <w:szCs w:val="24"/>
        </w:rPr>
        <w:t>clamp down on harmful tax competition and aggressive tax planning and to tackle tax havens, for</w:t>
      </w:r>
      <w:r w:rsidRPr="000D416B">
        <w:rPr>
          <w:rFonts w:ascii="Times New Roman" w:hAnsi="Times New Roman" w:cs="Times New Roman"/>
          <w:sz w:val="24"/>
          <w:szCs w:val="24"/>
        </w:rPr>
        <w:t xml:space="preserve"> fair</w:t>
      </w:r>
      <w:r w:rsidR="009B6733" w:rsidRPr="000D416B">
        <w:rPr>
          <w:rFonts w:ascii="Times New Roman" w:hAnsi="Times New Roman" w:cs="Times New Roman"/>
          <w:sz w:val="24"/>
          <w:szCs w:val="24"/>
        </w:rPr>
        <w:t>er</w:t>
      </w:r>
      <w:r w:rsidRPr="000D416B">
        <w:rPr>
          <w:rFonts w:ascii="Times New Roman" w:hAnsi="Times New Roman" w:cs="Times New Roman"/>
          <w:sz w:val="24"/>
          <w:szCs w:val="24"/>
        </w:rPr>
        <w:t xml:space="preserve"> and</w:t>
      </w:r>
      <w:r w:rsidR="009B6733" w:rsidRPr="000D416B">
        <w:rPr>
          <w:rFonts w:ascii="Times New Roman" w:hAnsi="Times New Roman" w:cs="Times New Roman"/>
          <w:sz w:val="24"/>
          <w:szCs w:val="24"/>
        </w:rPr>
        <w:t xml:space="preserve"> more</w:t>
      </w:r>
      <w:r w:rsidRPr="000D416B">
        <w:rPr>
          <w:rFonts w:ascii="Times New Roman" w:hAnsi="Times New Roman" w:cs="Times New Roman"/>
          <w:sz w:val="24"/>
          <w:szCs w:val="24"/>
        </w:rPr>
        <w:t xml:space="preserve"> effective taxation</w:t>
      </w:r>
      <w:r w:rsidR="00F4021B" w:rsidRPr="000D416B">
        <w:rPr>
          <w:rFonts w:ascii="Times New Roman" w:hAnsi="Times New Roman" w:cs="Times New Roman"/>
          <w:sz w:val="24"/>
          <w:szCs w:val="24"/>
        </w:rPr>
        <w:t xml:space="preserve"> </w:t>
      </w:r>
      <w:r w:rsidR="00DE1587">
        <w:rPr>
          <w:rFonts w:ascii="Times New Roman" w:hAnsi="Times New Roman" w:cs="Times New Roman"/>
          <w:sz w:val="24"/>
          <w:szCs w:val="24"/>
        </w:rPr>
        <w:t>and to reduce the risk of money laundering</w:t>
      </w:r>
      <w:r w:rsidR="00F4021B" w:rsidRPr="000D416B">
        <w:rPr>
          <w:rFonts w:ascii="Times New Roman" w:hAnsi="Times New Roman" w:cs="Times New Roman"/>
          <w:sz w:val="24"/>
          <w:szCs w:val="24"/>
        </w:rPr>
        <w:t xml:space="preserve">. </w:t>
      </w:r>
      <w:r w:rsidR="008E42EE" w:rsidRPr="000D416B">
        <w:rPr>
          <w:rFonts w:ascii="Times New Roman" w:hAnsi="Times New Roman" w:cs="Times New Roman"/>
          <w:sz w:val="24"/>
          <w:szCs w:val="24"/>
        </w:rPr>
        <w:t xml:space="preserve">The agenda for fair taxation will be all the more important in the months and years ahead, as the EU works to recover from the fallout of the </w:t>
      </w:r>
      <w:r w:rsidR="001615AA">
        <w:rPr>
          <w:rFonts w:ascii="Times New Roman" w:hAnsi="Times New Roman" w:cs="Times New Roman"/>
          <w:sz w:val="24"/>
          <w:szCs w:val="24"/>
        </w:rPr>
        <w:t>COVID</w:t>
      </w:r>
      <w:r w:rsidR="008E42EE" w:rsidRPr="000D416B">
        <w:rPr>
          <w:rFonts w:ascii="Times New Roman" w:hAnsi="Times New Roman" w:cs="Times New Roman"/>
          <w:sz w:val="24"/>
          <w:szCs w:val="24"/>
        </w:rPr>
        <w:t>-19 crisis</w:t>
      </w:r>
      <w:r w:rsidR="004F1FB9">
        <w:rPr>
          <w:rFonts w:ascii="Times New Roman" w:hAnsi="Times New Roman" w:cs="Times New Roman"/>
          <w:sz w:val="24"/>
          <w:szCs w:val="24"/>
        </w:rPr>
        <w:t xml:space="preserve"> </w:t>
      </w:r>
      <w:r w:rsidR="004F1FB9" w:rsidRPr="004F1FB9">
        <w:rPr>
          <w:rFonts w:ascii="Times New Roman" w:hAnsi="Times New Roman" w:cs="Times New Roman"/>
          <w:sz w:val="24"/>
          <w:szCs w:val="24"/>
        </w:rPr>
        <w:t>and to accelerate the green and digital transition</w:t>
      </w:r>
      <w:r w:rsidR="008E42EE" w:rsidRPr="000D416B">
        <w:rPr>
          <w:rFonts w:ascii="Times New Roman" w:hAnsi="Times New Roman" w:cs="Times New Roman"/>
          <w:sz w:val="24"/>
          <w:szCs w:val="24"/>
        </w:rPr>
        <w:t xml:space="preserve">. </w:t>
      </w:r>
      <w:r w:rsidR="00641FAF" w:rsidRPr="000D416B">
        <w:rPr>
          <w:rFonts w:ascii="Times New Roman" w:hAnsi="Times New Roman" w:cs="Times New Roman"/>
          <w:sz w:val="24"/>
          <w:szCs w:val="24"/>
        </w:rPr>
        <w:t xml:space="preserve">It will be crucial for stable public revenues, a healthy business environment and investment in public services, </w:t>
      </w:r>
      <w:r w:rsidR="0031669F">
        <w:rPr>
          <w:rFonts w:ascii="Times New Roman" w:hAnsi="Times New Roman" w:cs="Times New Roman"/>
          <w:sz w:val="24"/>
          <w:szCs w:val="24"/>
        </w:rPr>
        <w:t xml:space="preserve">correcting market failures, </w:t>
      </w:r>
      <w:r w:rsidR="00A00AAC">
        <w:rPr>
          <w:rFonts w:ascii="Times New Roman" w:hAnsi="Times New Roman" w:cs="Times New Roman"/>
          <w:sz w:val="24"/>
          <w:szCs w:val="24"/>
        </w:rPr>
        <w:t xml:space="preserve">and </w:t>
      </w:r>
      <w:r w:rsidR="00F81440">
        <w:rPr>
          <w:rFonts w:ascii="Times New Roman" w:hAnsi="Times New Roman" w:cs="Times New Roman"/>
          <w:sz w:val="24"/>
          <w:szCs w:val="24"/>
        </w:rPr>
        <w:t xml:space="preserve">sending the right price signals for sustainable consumption, </w:t>
      </w:r>
      <w:r w:rsidR="00641FAF" w:rsidRPr="000D416B">
        <w:rPr>
          <w:rFonts w:ascii="Times New Roman" w:hAnsi="Times New Roman" w:cs="Times New Roman"/>
          <w:sz w:val="24"/>
          <w:szCs w:val="24"/>
        </w:rPr>
        <w:t>which will help to pave the way for a swift and sustainable recovery across the EU and beyond</w:t>
      </w:r>
      <w:r w:rsidR="007A6AFA">
        <w:rPr>
          <w:rFonts w:ascii="Times New Roman" w:hAnsi="Times New Roman" w:cs="Times New Roman"/>
          <w:sz w:val="24"/>
          <w:szCs w:val="24"/>
        </w:rPr>
        <w:t>, as stressed in the recent Commission Communication ‘Europe’s moment: Repair and Prepare for the Next Generation’</w:t>
      </w:r>
      <w:r w:rsidR="007A6AFA">
        <w:rPr>
          <w:rStyle w:val="FootnoteReference"/>
          <w:rFonts w:ascii="Times New Roman" w:hAnsi="Times New Roman" w:cs="Times New Roman"/>
          <w:sz w:val="24"/>
          <w:szCs w:val="24"/>
        </w:rPr>
        <w:footnoteReference w:id="3"/>
      </w:r>
      <w:r w:rsidR="001615AA" w:rsidRPr="001615AA">
        <w:rPr>
          <w:rFonts w:ascii="Times New Roman" w:hAnsi="Times New Roman" w:cs="Times New Roman"/>
          <w:sz w:val="24"/>
          <w:szCs w:val="24"/>
        </w:rPr>
        <w:t>.</w:t>
      </w:r>
    </w:p>
    <w:p w:rsidR="005A6798" w:rsidRPr="00E558AE" w:rsidRDefault="000500DF" w:rsidP="005A6798">
      <w:pPr>
        <w:spacing w:line="276" w:lineRule="auto"/>
        <w:jc w:val="both"/>
        <w:rPr>
          <w:rFonts w:ascii="Times New Roman" w:hAnsi="Times New Roman" w:cs="Times New Roman"/>
          <w:sz w:val="24"/>
          <w:szCs w:val="24"/>
        </w:rPr>
      </w:pPr>
      <w:r w:rsidRPr="000D416B">
        <w:rPr>
          <w:rFonts w:ascii="Times New Roman" w:hAnsi="Times New Roman" w:cs="Times New Roman"/>
          <w:sz w:val="24"/>
          <w:szCs w:val="24"/>
        </w:rPr>
        <w:t xml:space="preserve">Tax good governance </w:t>
      </w:r>
      <w:r w:rsidR="00EB65F3" w:rsidRPr="000D416B">
        <w:rPr>
          <w:rFonts w:ascii="Times New Roman" w:hAnsi="Times New Roman" w:cs="Times New Roman"/>
          <w:sz w:val="24"/>
          <w:szCs w:val="24"/>
        </w:rPr>
        <w:t xml:space="preserve">is </w:t>
      </w:r>
      <w:r w:rsidR="00C90377" w:rsidRPr="000D416B">
        <w:rPr>
          <w:rFonts w:ascii="Times New Roman" w:hAnsi="Times New Roman" w:cs="Times New Roman"/>
          <w:sz w:val="24"/>
          <w:szCs w:val="24"/>
        </w:rPr>
        <w:t xml:space="preserve">the </w:t>
      </w:r>
      <w:r w:rsidR="00AC59C5" w:rsidRPr="000D416B">
        <w:rPr>
          <w:rFonts w:ascii="Times New Roman" w:hAnsi="Times New Roman" w:cs="Times New Roman"/>
          <w:sz w:val="24"/>
          <w:szCs w:val="24"/>
        </w:rPr>
        <w:t>foundation on which</w:t>
      </w:r>
      <w:r w:rsidRPr="000D416B">
        <w:rPr>
          <w:rFonts w:ascii="Times New Roman" w:hAnsi="Times New Roman" w:cs="Times New Roman"/>
          <w:sz w:val="24"/>
          <w:szCs w:val="24"/>
        </w:rPr>
        <w:t xml:space="preserve"> fair</w:t>
      </w:r>
      <w:r w:rsidR="00EB65F3" w:rsidRPr="000D416B">
        <w:rPr>
          <w:rFonts w:ascii="Times New Roman" w:hAnsi="Times New Roman" w:cs="Times New Roman"/>
          <w:sz w:val="24"/>
          <w:szCs w:val="24"/>
        </w:rPr>
        <w:t xml:space="preserve"> </w:t>
      </w:r>
      <w:r w:rsidR="005A6798" w:rsidRPr="000D416B">
        <w:rPr>
          <w:rFonts w:ascii="Times New Roman" w:hAnsi="Times New Roman" w:cs="Times New Roman"/>
          <w:sz w:val="24"/>
          <w:szCs w:val="24"/>
        </w:rPr>
        <w:t>taxation</w:t>
      </w:r>
      <w:r w:rsidR="001E25B2">
        <w:rPr>
          <w:rFonts w:ascii="Times New Roman" w:hAnsi="Times New Roman" w:cs="Times New Roman"/>
          <w:sz w:val="24"/>
          <w:szCs w:val="24"/>
        </w:rPr>
        <w:t xml:space="preserve"> </w:t>
      </w:r>
      <w:r w:rsidR="00AC59C5" w:rsidRPr="00E558AE">
        <w:rPr>
          <w:rFonts w:ascii="Times New Roman" w:hAnsi="Times New Roman" w:cs="Times New Roman"/>
          <w:sz w:val="24"/>
          <w:szCs w:val="24"/>
        </w:rPr>
        <w:t>is built</w:t>
      </w:r>
      <w:r w:rsidR="005A6798" w:rsidRPr="00E558AE">
        <w:rPr>
          <w:rFonts w:ascii="Times New Roman" w:hAnsi="Times New Roman" w:cs="Times New Roman"/>
          <w:sz w:val="24"/>
          <w:szCs w:val="24"/>
        </w:rPr>
        <w:t>.</w:t>
      </w:r>
      <w:r w:rsidR="00AC59C5" w:rsidRPr="00E558AE">
        <w:rPr>
          <w:rFonts w:ascii="Times New Roman" w:hAnsi="Times New Roman" w:cs="Times New Roman"/>
          <w:sz w:val="24"/>
          <w:szCs w:val="24"/>
        </w:rPr>
        <w:t xml:space="preserve"> Broadly, tax good governance </w:t>
      </w:r>
      <w:r w:rsidR="00F4021B" w:rsidRPr="00E558AE">
        <w:rPr>
          <w:rFonts w:ascii="Times New Roman" w:hAnsi="Times New Roman" w:cs="Times New Roman"/>
          <w:sz w:val="24"/>
          <w:szCs w:val="24"/>
        </w:rPr>
        <w:t>encompasses</w:t>
      </w:r>
      <w:r w:rsidR="00AC59C5" w:rsidRPr="00E558AE">
        <w:rPr>
          <w:rFonts w:ascii="Times New Roman" w:hAnsi="Times New Roman" w:cs="Times New Roman"/>
          <w:sz w:val="24"/>
          <w:szCs w:val="24"/>
        </w:rPr>
        <w:t xml:space="preserve"> tax transparency, fair tax competition, the absence of harmful tax measures and the application of internationally agreed standards. </w:t>
      </w:r>
      <w:r w:rsidR="00732D94" w:rsidRPr="00E558AE">
        <w:rPr>
          <w:rFonts w:ascii="Times New Roman" w:hAnsi="Times New Roman" w:cs="Times New Roman"/>
          <w:sz w:val="24"/>
          <w:szCs w:val="24"/>
        </w:rPr>
        <w:t xml:space="preserve">In recent years, there has been </w:t>
      </w:r>
      <w:r w:rsidR="00516A15" w:rsidRPr="00E558AE">
        <w:rPr>
          <w:rFonts w:ascii="Times New Roman" w:hAnsi="Times New Roman" w:cs="Times New Roman"/>
          <w:sz w:val="24"/>
          <w:szCs w:val="24"/>
        </w:rPr>
        <w:t>significant</w:t>
      </w:r>
      <w:r w:rsidR="00732D94" w:rsidRPr="00E558AE">
        <w:rPr>
          <w:rFonts w:ascii="Times New Roman" w:hAnsi="Times New Roman" w:cs="Times New Roman"/>
          <w:sz w:val="24"/>
          <w:szCs w:val="24"/>
        </w:rPr>
        <w:t xml:space="preserve"> action – at EU and international level – to</w:t>
      </w:r>
      <w:r w:rsidR="00AC59C5" w:rsidRPr="00E558AE">
        <w:rPr>
          <w:rFonts w:ascii="Times New Roman" w:hAnsi="Times New Roman" w:cs="Times New Roman"/>
          <w:sz w:val="24"/>
          <w:szCs w:val="24"/>
        </w:rPr>
        <w:t xml:space="preserve"> strengthen these</w:t>
      </w:r>
      <w:r w:rsidR="00732D94" w:rsidRPr="00E558AE">
        <w:rPr>
          <w:rFonts w:ascii="Times New Roman" w:hAnsi="Times New Roman" w:cs="Times New Roman"/>
          <w:sz w:val="24"/>
          <w:szCs w:val="24"/>
        </w:rPr>
        <w:t xml:space="preserve"> principles </w:t>
      </w:r>
      <w:r w:rsidR="00AC59C5" w:rsidRPr="00E558AE">
        <w:rPr>
          <w:rFonts w:ascii="Times New Roman" w:hAnsi="Times New Roman" w:cs="Times New Roman"/>
          <w:sz w:val="24"/>
          <w:szCs w:val="24"/>
        </w:rPr>
        <w:t xml:space="preserve">and </w:t>
      </w:r>
      <w:r w:rsidR="00F4021B" w:rsidRPr="00E558AE">
        <w:rPr>
          <w:rFonts w:ascii="Times New Roman" w:hAnsi="Times New Roman" w:cs="Times New Roman"/>
          <w:sz w:val="24"/>
          <w:szCs w:val="24"/>
        </w:rPr>
        <w:t xml:space="preserve">to </w:t>
      </w:r>
      <w:r w:rsidR="00AC59C5" w:rsidRPr="00E558AE">
        <w:rPr>
          <w:rFonts w:ascii="Times New Roman" w:hAnsi="Times New Roman" w:cs="Times New Roman"/>
          <w:sz w:val="24"/>
          <w:szCs w:val="24"/>
        </w:rPr>
        <w:t xml:space="preserve">ensure that they </w:t>
      </w:r>
      <w:r w:rsidR="00732D94" w:rsidRPr="00E558AE">
        <w:rPr>
          <w:rFonts w:ascii="Times New Roman" w:hAnsi="Times New Roman" w:cs="Times New Roman"/>
          <w:sz w:val="24"/>
          <w:szCs w:val="24"/>
        </w:rPr>
        <w:t xml:space="preserve">are upheld. </w:t>
      </w:r>
    </w:p>
    <w:p w:rsidR="000013D8" w:rsidRPr="00E558AE" w:rsidRDefault="00F4021B" w:rsidP="00C32669">
      <w:pPr>
        <w:spacing w:line="276" w:lineRule="auto"/>
        <w:jc w:val="both"/>
        <w:rPr>
          <w:rFonts w:ascii="Times New Roman" w:hAnsi="Times New Roman" w:cs="Times New Roman"/>
          <w:sz w:val="24"/>
          <w:szCs w:val="24"/>
          <w:lang w:val="en-IE"/>
        </w:rPr>
      </w:pPr>
      <w:r w:rsidRPr="00E558AE">
        <w:rPr>
          <w:rFonts w:ascii="Times New Roman" w:hAnsi="Times New Roman" w:cs="Times New Roman"/>
          <w:sz w:val="24"/>
          <w:szCs w:val="24"/>
        </w:rPr>
        <w:t xml:space="preserve">The Commission has pushed an ambitious agenda to improve tax good governance and </w:t>
      </w:r>
      <w:r w:rsidR="000A5BEB" w:rsidRPr="00E558AE">
        <w:rPr>
          <w:rFonts w:ascii="Times New Roman" w:hAnsi="Times New Roman" w:cs="Times New Roman"/>
          <w:sz w:val="24"/>
          <w:szCs w:val="24"/>
        </w:rPr>
        <w:t xml:space="preserve">clamp down hard on tax abuse, </w:t>
      </w:r>
      <w:r w:rsidRPr="00E558AE">
        <w:rPr>
          <w:rFonts w:ascii="Times New Roman" w:hAnsi="Times New Roman" w:cs="Times New Roman"/>
          <w:sz w:val="24"/>
          <w:szCs w:val="24"/>
        </w:rPr>
        <w:t xml:space="preserve">in the EU and beyond. As a result, </w:t>
      </w:r>
      <w:r w:rsidR="000A5BEB" w:rsidRPr="00E558AE">
        <w:rPr>
          <w:rFonts w:ascii="Times New Roman" w:hAnsi="Times New Roman" w:cs="Times New Roman"/>
          <w:sz w:val="24"/>
          <w:szCs w:val="24"/>
        </w:rPr>
        <w:t xml:space="preserve">Member States are now </w:t>
      </w:r>
      <w:r w:rsidR="006B03B3">
        <w:rPr>
          <w:rFonts w:ascii="Times New Roman" w:hAnsi="Times New Roman" w:cs="Times New Roman"/>
          <w:sz w:val="24"/>
          <w:szCs w:val="24"/>
        </w:rPr>
        <w:t>equipped with</w:t>
      </w:r>
      <w:r w:rsidR="000A5BEB" w:rsidRPr="00E558AE">
        <w:rPr>
          <w:rFonts w:ascii="Times New Roman" w:hAnsi="Times New Roman" w:cs="Times New Roman"/>
          <w:sz w:val="24"/>
          <w:szCs w:val="24"/>
        </w:rPr>
        <w:t xml:space="preserve"> a</w:t>
      </w:r>
      <w:r w:rsidR="00C32669" w:rsidRPr="00E558AE">
        <w:rPr>
          <w:rFonts w:ascii="Times New Roman" w:hAnsi="Times New Roman" w:cs="Times New Roman"/>
          <w:sz w:val="24"/>
          <w:szCs w:val="24"/>
        </w:rPr>
        <w:t xml:space="preserve"> robust </w:t>
      </w:r>
      <w:r w:rsidRPr="00E558AE">
        <w:rPr>
          <w:rFonts w:ascii="Times New Roman" w:hAnsi="Times New Roman" w:cs="Times New Roman"/>
          <w:sz w:val="24"/>
          <w:szCs w:val="24"/>
        </w:rPr>
        <w:t>tax transparency framework</w:t>
      </w:r>
      <w:r w:rsidR="00C32669" w:rsidRPr="00E558AE">
        <w:rPr>
          <w:rFonts w:ascii="Times New Roman" w:hAnsi="Times New Roman" w:cs="Times New Roman"/>
          <w:sz w:val="24"/>
          <w:szCs w:val="24"/>
        </w:rPr>
        <w:t xml:space="preserve">, common </w:t>
      </w:r>
      <w:r w:rsidR="000A5BEB" w:rsidRPr="00E558AE">
        <w:rPr>
          <w:rFonts w:ascii="Times New Roman" w:hAnsi="Times New Roman" w:cs="Times New Roman"/>
          <w:sz w:val="24"/>
          <w:szCs w:val="24"/>
        </w:rPr>
        <w:t>anti-tax</w:t>
      </w:r>
      <w:r w:rsidR="00C32669" w:rsidRPr="00E558AE">
        <w:rPr>
          <w:rFonts w:ascii="Times New Roman" w:hAnsi="Times New Roman" w:cs="Times New Roman"/>
          <w:sz w:val="24"/>
          <w:szCs w:val="24"/>
        </w:rPr>
        <w:t xml:space="preserve"> avoidance measures and </w:t>
      </w:r>
      <w:r w:rsidR="000A5BEB" w:rsidRPr="00E558AE">
        <w:rPr>
          <w:rFonts w:ascii="Times New Roman" w:hAnsi="Times New Roman" w:cs="Times New Roman"/>
          <w:sz w:val="24"/>
          <w:szCs w:val="24"/>
        </w:rPr>
        <w:t>a new mechanism for resolving tax disputes</w:t>
      </w:r>
      <w:r w:rsidR="00C32669" w:rsidRPr="00E558AE">
        <w:rPr>
          <w:rFonts w:ascii="Times New Roman" w:hAnsi="Times New Roman" w:cs="Times New Roman"/>
          <w:sz w:val="24"/>
          <w:szCs w:val="24"/>
        </w:rPr>
        <w:t xml:space="preserve">. </w:t>
      </w:r>
      <w:r w:rsidR="008802A7">
        <w:rPr>
          <w:rFonts w:ascii="Times New Roman" w:hAnsi="Times New Roman" w:cs="Times New Roman"/>
          <w:sz w:val="24"/>
          <w:szCs w:val="24"/>
        </w:rPr>
        <w:t xml:space="preserve">Enhanced transparency requirements for legal entities and arrangements have reduced risks of misuse for tax avoidance. Tax crimes have been added to the scope </w:t>
      </w:r>
      <w:r w:rsidR="00A76112">
        <w:rPr>
          <w:rFonts w:ascii="Times New Roman" w:hAnsi="Times New Roman" w:cs="Times New Roman"/>
          <w:sz w:val="24"/>
          <w:szCs w:val="24"/>
        </w:rPr>
        <w:t xml:space="preserve">of predicate offences to money laundering </w:t>
      </w:r>
      <w:r w:rsidR="008802A7">
        <w:rPr>
          <w:rFonts w:ascii="Times New Roman" w:hAnsi="Times New Roman" w:cs="Times New Roman"/>
          <w:sz w:val="24"/>
          <w:szCs w:val="24"/>
        </w:rPr>
        <w:t xml:space="preserve">and </w:t>
      </w:r>
      <w:r w:rsidR="00A76112">
        <w:rPr>
          <w:rFonts w:ascii="Times New Roman" w:hAnsi="Times New Roman" w:cs="Times New Roman"/>
          <w:sz w:val="24"/>
          <w:szCs w:val="24"/>
        </w:rPr>
        <w:t xml:space="preserve">all professionals offering advice or assistance on tax matters are now subject to EU anti-money laundering/countering the financing of terrorism obligation to reduce </w:t>
      </w:r>
      <w:r w:rsidR="008802A7">
        <w:rPr>
          <w:rFonts w:ascii="Times New Roman" w:hAnsi="Times New Roman" w:cs="Times New Roman"/>
          <w:sz w:val="24"/>
          <w:szCs w:val="24"/>
        </w:rPr>
        <w:t xml:space="preserve">criminals’ avenues </w:t>
      </w:r>
      <w:r w:rsidR="00A76112">
        <w:rPr>
          <w:rFonts w:ascii="Times New Roman" w:hAnsi="Times New Roman" w:cs="Times New Roman"/>
          <w:sz w:val="24"/>
          <w:szCs w:val="24"/>
        </w:rPr>
        <w:t xml:space="preserve">to launder </w:t>
      </w:r>
      <w:r w:rsidR="008802A7">
        <w:rPr>
          <w:rFonts w:ascii="Times New Roman" w:hAnsi="Times New Roman" w:cs="Times New Roman"/>
          <w:sz w:val="24"/>
          <w:szCs w:val="24"/>
        </w:rPr>
        <w:t xml:space="preserve">their illicit </w:t>
      </w:r>
      <w:r w:rsidR="00A76112">
        <w:rPr>
          <w:rFonts w:ascii="Times New Roman" w:hAnsi="Times New Roman" w:cs="Times New Roman"/>
          <w:sz w:val="24"/>
          <w:szCs w:val="24"/>
        </w:rPr>
        <w:t>proceed</w:t>
      </w:r>
      <w:r w:rsidR="008802A7">
        <w:rPr>
          <w:rFonts w:ascii="Times New Roman" w:hAnsi="Times New Roman" w:cs="Times New Roman"/>
          <w:sz w:val="24"/>
          <w:szCs w:val="24"/>
        </w:rPr>
        <w:t>s</w:t>
      </w:r>
      <w:r w:rsidR="00A76112">
        <w:rPr>
          <w:rFonts w:ascii="Times New Roman" w:hAnsi="Times New Roman" w:cs="Times New Roman"/>
          <w:sz w:val="24"/>
          <w:szCs w:val="24"/>
        </w:rPr>
        <w:t xml:space="preserve">. </w:t>
      </w:r>
      <w:r w:rsidR="00C32669" w:rsidRPr="00E558AE">
        <w:rPr>
          <w:rFonts w:ascii="Times New Roman" w:hAnsi="Times New Roman" w:cs="Times New Roman"/>
          <w:sz w:val="24"/>
          <w:szCs w:val="24"/>
        </w:rPr>
        <w:t>Through state aid cases and European Semester recommendations, the Commission has challenged harmful competition and called out unfair tax practices</w:t>
      </w:r>
      <w:r w:rsidR="00961EE9">
        <w:rPr>
          <w:rFonts w:ascii="Times New Roman" w:hAnsi="Times New Roman" w:cs="Times New Roman"/>
          <w:sz w:val="24"/>
          <w:szCs w:val="24"/>
        </w:rPr>
        <w:t>.</w:t>
      </w:r>
      <w:r w:rsidR="00C32669" w:rsidRPr="00E558AE">
        <w:rPr>
          <w:rFonts w:ascii="Times New Roman" w:hAnsi="Times New Roman" w:cs="Times New Roman"/>
          <w:sz w:val="24"/>
          <w:szCs w:val="24"/>
        </w:rPr>
        <w:t xml:space="preserve"> In addition, Member States continue to peer review </w:t>
      </w:r>
      <w:proofErr w:type="spellStart"/>
      <w:r w:rsidR="00C32669" w:rsidRPr="00E558AE">
        <w:rPr>
          <w:rFonts w:ascii="Times New Roman" w:hAnsi="Times New Roman" w:cs="Times New Roman"/>
          <w:sz w:val="24"/>
          <w:szCs w:val="24"/>
        </w:rPr>
        <w:t>each others’</w:t>
      </w:r>
      <w:proofErr w:type="spellEnd"/>
      <w:r w:rsidR="00C32669" w:rsidRPr="00E558AE">
        <w:rPr>
          <w:rFonts w:ascii="Times New Roman" w:hAnsi="Times New Roman" w:cs="Times New Roman"/>
          <w:sz w:val="24"/>
          <w:szCs w:val="24"/>
        </w:rPr>
        <w:t xml:space="preserve"> tax regimes, under the Code of Conduct on Business Taxation</w:t>
      </w:r>
      <w:r w:rsidR="00E64F4B">
        <w:rPr>
          <w:rFonts w:ascii="Times New Roman" w:hAnsi="Times New Roman" w:cs="Times New Roman"/>
          <w:sz w:val="24"/>
          <w:szCs w:val="24"/>
        </w:rPr>
        <w:t xml:space="preserve"> (“Code”)</w:t>
      </w:r>
      <w:r w:rsidR="00C32669" w:rsidRPr="00E558AE">
        <w:rPr>
          <w:rFonts w:ascii="Times New Roman" w:hAnsi="Times New Roman" w:cs="Times New Roman"/>
          <w:sz w:val="24"/>
          <w:szCs w:val="24"/>
        </w:rPr>
        <w:t xml:space="preserve">, to ensure that they comply with the principles of fair </w:t>
      </w:r>
      <w:r w:rsidR="001D3AB0" w:rsidRPr="00E558AE">
        <w:rPr>
          <w:rFonts w:ascii="Times New Roman" w:hAnsi="Times New Roman" w:cs="Times New Roman"/>
          <w:sz w:val="24"/>
          <w:szCs w:val="24"/>
        </w:rPr>
        <w:t>tax</w:t>
      </w:r>
      <w:r w:rsidR="001D3AB0">
        <w:rPr>
          <w:rFonts w:ascii="Times New Roman" w:hAnsi="Times New Roman" w:cs="Times New Roman"/>
          <w:sz w:val="24"/>
          <w:szCs w:val="24"/>
        </w:rPr>
        <w:t xml:space="preserve"> competition</w:t>
      </w:r>
      <w:r w:rsidR="00C32669" w:rsidRPr="00E558AE">
        <w:rPr>
          <w:rFonts w:ascii="Times New Roman" w:hAnsi="Times New Roman" w:cs="Times New Roman"/>
          <w:sz w:val="24"/>
          <w:szCs w:val="24"/>
        </w:rPr>
        <w:t xml:space="preserve">. </w:t>
      </w:r>
    </w:p>
    <w:p w:rsidR="00490EE4" w:rsidRPr="00E558AE" w:rsidRDefault="000A5BEB" w:rsidP="007305B0">
      <w:pPr>
        <w:spacing w:line="276" w:lineRule="auto"/>
        <w:jc w:val="both"/>
        <w:rPr>
          <w:rFonts w:ascii="Times New Roman" w:hAnsi="Times New Roman" w:cs="Times New Roman"/>
          <w:sz w:val="24"/>
          <w:szCs w:val="24"/>
          <w:lang w:val="en-IE"/>
        </w:rPr>
      </w:pPr>
      <w:r w:rsidRPr="00E558AE">
        <w:rPr>
          <w:rFonts w:ascii="Times New Roman" w:hAnsi="Times New Roman" w:cs="Times New Roman"/>
          <w:sz w:val="24"/>
          <w:szCs w:val="24"/>
          <w:lang w:val="en-IE"/>
        </w:rPr>
        <w:t>In parallel, the EU has worked to promote higher levels of tax good governance internationally too.</w:t>
      </w:r>
      <w:r w:rsidR="006A2804">
        <w:rPr>
          <w:rFonts w:ascii="Times New Roman" w:hAnsi="Times New Roman" w:cs="Times New Roman"/>
          <w:sz w:val="24"/>
          <w:szCs w:val="24"/>
        </w:rPr>
        <w:t xml:space="preserve"> </w:t>
      </w:r>
      <w:r w:rsidR="00F879D1">
        <w:rPr>
          <w:rFonts w:ascii="Times New Roman" w:hAnsi="Times New Roman" w:cs="Times New Roman"/>
          <w:sz w:val="24"/>
          <w:szCs w:val="24"/>
          <w:lang w:val="en-IE"/>
        </w:rPr>
        <w:t>I</w:t>
      </w:r>
      <w:r w:rsidRPr="00E558AE">
        <w:rPr>
          <w:rFonts w:ascii="Times New Roman" w:hAnsi="Times New Roman" w:cs="Times New Roman"/>
          <w:sz w:val="24"/>
          <w:szCs w:val="24"/>
          <w:lang w:val="en-IE"/>
        </w:rPr>
        <w:t xml:space="preserve">t </w:t>
      </w:r>
      <w:r w:rsidR="007305B0" w:rsidRPr="00E558AE">
        <w:rPr>
          <w:rFonts w:ascii="Times New Roman" w:hAnsi="Times New Roman" w:cs="Times New Roman"/>
          <w:sz w:val="24"/>
          <w:szCs w:val="24"/>
          <w:lang w:val="en-IE"/>
        </w:rPr>
        <w:t xml:space="preserve">has strongly </w:t>
      </w:r>
      <w:r w:rsidRPr="00E558AE">
        <w:rPr>
          <w:rFonts w:ascii="Times New Roman" w:hAnsi="Times New Roman" w:cs="Times New Roman"/>
          <w:sz w:val="24"/>
          <w:szCs w:val="24"/>
          <w:lang w:val="en-IE"/>
        </w:rPr>
        <w:t>support</w:t>
      </w:r>
      <w:r w:rsidR="007305B0" w:rsidRPr="00E558AE">
        <w:rPr>
          <w:rFonts w:ascii="Times New Roman" w:hAnsi="Times New Roman" w:cs="Times New Roman"/>
          <w:sz w:val="24"/>
          <w:szCs w:val="24"/>
          <w:lang w:val="en-IE"/>
        </w:rPr>
        <w:t>ed</w:t>
      </w:r>
      <w:r w:rsidRPr="00E558AE">
        <w:rPr>
          <w:rFonts w:ascii="Times New Roman" w:hAnsi="Times New Roman" w:cs="Times New Roman"/>
          <w:sz w:val="24"/>
          <w:szCs w:val="24"/>
          <w:lang w:val="en-IE"/>
        </w:rPr>
        <w:t xml:space="preserve"> the OECD’s work on tax transparency and Base Erosion and Profit Shifting (BEPS), and </w:t>
      </w:r>
      <w:r w:rsidR="007305B0" w:rsidRPr="00E558AE">
        <w:rPr>
          <w:rFonts w:ascii="Times New Roman" w:hAnsi="Times New Roman" w:cs="Times New Roman"/>
          <w:sz w:val="24"/>
          <w:szCs w:val="24"/>
          <w:lang w:val="en-IE"/>
        </w:rPr>
        <w:t>set an</w:t>
      </w:r>
      <w:r w:rsidRPr="00E558AE">
        <w:rPr>
          <w:rFonts w:ascii="Times New Roman" w:hAnsi="Times New Roman" w:cs="Times New Roman"/>
          <w:sz w:val="24"/>
          <w:szCs w:val="24"/>
          <w:lang w:val="en-IE"/>
        </w:rPr>
        <w:t xml:space="preserve"> example</w:t>
      </w:r>
      <w:r w:rsidR="007305B0" w:rsidRPr="00E558AE">
        <w:rPr>
          <w:rFonts w:ascii="Times New Roman" w:hAnsi="Times New Roman" w:cs="Times New Roman"/>
          <w:sz w:val="24"/>
          <w:szCs w:val="24"/>
          <w:lang w:val="en-IE"/>
        </w:rPr>
        <w:t xml:space="preserve"> globally</w:t>
      </w:r>
      <w:r w:rsidRPr="00E558AE">
        <w:rPr>
          <w:rFonts w:ascii="Times New Roman" w:hAnsi="Times New Roman" w:cs="Times New Roman"/>
          <w:sz w:val="24"/>
          <w:szCs w:val="24"/>
          <w:lang w:val="en-IE"/>
        </w:rPr>
        <w:t xml:space="preserve"> by </w:t>
      </w:r>
      <w:r w:rsidR="00756D86">
        <w:rPr>
          <w:rFonts w:ascii="Times New Roman" w:hAnsi="Times New Roman" w:cs="Times New Roman"/>
          <w:sz w:val="24"/>
          <w:szCs w:val="24"/>
          <w:lang w:val="en-IE"/>
        </w:rPr>
        <w:t>integrating</w:t>
      </w:r>
      <w:r w:rsidR="00756D86" w:rsidRPr="00E558AE">
        <w:rPr>
          <w:rFonts w:ascii="Times New Roman" w:hAnsi="Times New Roman" w:cs="Times New Roman"/>
          <w:sz w:val="24"/>
          <w:szCs w:val="24"/>
          <w:lang w:val="en-IE"/>
        </w:rPr>
        <w:t xml:space="preserve"> </w:t>
      </w:r>
      <w:r w:rsidRPr="00E558AE">
        <w:rPr>
          <w:rFonts w:ascii="Times New Roman" w:hAnsi="Times New Roman" w:cs="Times New Roman"/>
          <w:sz w:val="24"/>
          <w:szCs w:val="24"/>
          <w:lang w:val="en-IE"/>
        </w:rPr>
        <w:t xml:space="preserve">the new global norms into EU law. </w:t>
      </w:r>
      <w:r w:rsidR="007305B0" w:rsidRPr="00E558AE">
        <w:rPr>
          <w:rFonts w:ascii="Times New Roman" w:hAnsi="Times New Roman" w:cs="Times New Roman"/>
          <w:sz w:val="24"/>
          <w:szCs w:val="24"/>
          <w:lang w:val="en-IE"/>
        </w:rPr>
        <w:t xml:space="preserve">Many of the new initiatives implemented at EU level have an external element – including Country-by-Country Reporting, the common hybrid mismatch rules and requirements for tax advisors to report </w:t>
      </w:r>
      <w:r w:rsidR="00A0406E" w:rsidRPr="00E558AE">
        <w:rPr>
          <w:rFonts w:ascii="Times New Roman" w:hAnsi="Times New Roman" w:cs="Times New Roman"/>
          <w:sz w:val="24"/>
          <w:szCs w:val="24"/>
          <w:lang w:val="en-IE"/>
        </w:rPr>
        <w:t>tax-planning</w:t>
      </w:r>
      <w:r w:rsidR="007305B0" w:rsidRPr="00E558AE">
        <w:rPr>
          <w:rFonts w:ascii="Times New Roman" w:hAnsi="Times New Roman" w:cs="Times New Roman"/>
          <w:sz w:val="24"/>
          <w:szCs w:val="24"/>
          <w:lang w:val="en-IE"/>
        </w:rPr>
        <w:t xml:space="preserve"> schemes. In addition, by launching the work on the </w:t>
      </w:r>
      <w:r w:rsidR="007305B0" w:rsidRPr="001D3AB0">
        <w:rPr>
          <w:rFonts w:ascii="Times New Roman" w:hAnsi="Times New Roman" w:cs="Times New Roman"/>
          <w:sz w:val="24"/>
          <w:szCs w:val="24"/>
          <w:lang w:val="en-IE"/>
        </w:rPr>
        <w:t>fair taxation</w:t>
      </w:r>
      <w:r w:rsidR="007305B0" w:rsidRPr="00E558AE">
        <w:rPr>
          <w:rFonts w:ascii="Times New Roman" w:hAnsi="Times New Roman" w:cs="Times New Roman"/>
          <w:sz w:val="24"/>
          <w:szCs w:val="24"/>
          <w:lang w:val="en-IE"/>
        </w:rPr>
        <w:t xml:space="preserve"> of the digital economy, the EU helped to provide new impetus into international discussions on this issue. </w:t>
      </w:r>
    </w:p>
    <w:p w:rsidR="007305B0" w:rsidRPr="00E558AE" w:rsidRDefault="00E558AE" w:rsidP="007305B0">
      <w:pPr>
        <w:spacing w:line="276" w:lineRule="auto"/>
        <w:jc w:val="both"/>
        <w:rPr>
          <w:rFonts w:ascii="Times New Roman" w:hAnsi="Times New Roman" w:cs="Times New Roman"/>
          <w:sz w:val="24"/>
          <w:szCs w:val="24"/>
          <w:lang w:val="en-IE"/>
        </w:rPr>
      </w:pPr>
      <w:r w:rsidRPr="00E558AE">
        <w:rPr>
          <w:rFonts w:ascii="Times New Roman" w:hAnsi="Times New Roman" w:cs="Times New Roman"/>
          <w:sz w:val="24"/>
          <w:szCs w:val="24"/>
          <w:lang w:val="en-IE"/>
        </w:rPr>
        <w:t>T</w:t>
      </w:r>
      <w:r w:rsidR="007305B0" w:rsidRPr="00E558AE">
        <w:rPr>
          <w:rFonts w:ascii="Times New Roman" w:hAnsi="Times New Roman" w:cs="Times New Roman"/>
          <w:sz w:val="24"/>
          <w:szCs w:val="24"/>
          <w:lang w:val="en-IE"/>
        </w:rPr>
        <w:t xml:space="preserve">he </w:t>
      </w:r>
      <w:r w:rsidR="00490EE4" w:rsidRPr="00E558AE">
        <w:rPr>
          <w:rFonts w:ascii="Times New Roman" w:hAnsi="Times New Roman" w:cs="Times New Roman"/>
          <w:sz w:val="24"/>
          <w:szCs w:val="24"/>
          <w:lang w:val="en-IE"/>
        </w:rPr>
        <w:t xml:space="preserve">Commission’s </w:t>
      </w:r>
      <w:r w:rsidR="007305B0" w:rsidRPr="00E558AE">
        <w:rPr>
          <w:rFonts w:ascii="Times New Roman" w:hAnsi="Times New Roman" w:cs="Times New Roman"/>
          <w:sz w:val="24"/>
          <w:szCs w:val="24"/>
          <w:lang w:val="en-IE"/>
        </w:rPr>
        <w:t>2016 External Strategy for Effective Taxation</w:t>
      </w:r>
      <w:r w:rsidR="00472339">
        <w:rPr>
          <w:rStyle w:val="FootnoteReference"/>
          <w:rFonts w:ascii="Times New Roman" w:hAnsi="Times New Roman" w:cs="Times New Roman"/>
          <w:sz w:val="24"/>
          <w:szCs w:val="24"/>
          <w:lang w:val="en-IE"/>
        </w:rPr>
        <w:footnoteReference w:id="4"/>
      </w:r>
      <w:r w:rsidR="00490EE4" w:rsidRPr="00E558AE">
        <w:rPr>
          <w:rFonts w:ascii="Times New Roman" w:hAnsi="Times New Roman" w:cs="Times New Roman"/>
          <w:sz w:val="24"/>
          <w:szCs w:val="24"/>
          <w:lang w:val="en-IE"/>
        </w:rPr>
        <w:t xml:space="preserve"> </w:t>
      </w:r>
      <w:r w:rsidR="007305B0" w:rsidRPr="00E558AE">
        <w:rPr>
          <w:rFonts w:ascii="Times New Roman" w:hAnsi="Times New Roman" w:cs="Times New Roman"/>
          <w:sz w:val="24"/>
          <w:szCs w:val="24"/>
          <w:lang w:val="en-IE"/>
        </w:rPr>
        <w:t>provided a coherent and holistic approach</w:t>
      </w:r>
      <w:r w:rsidR="00490EE4" w:rsidRPr="00E558AE">
        <w:rPr>
          <w:rFonts w:ascii="Times New Roman" w:hAnsi="Times New Roman" w:cs="Times New Roman"/>
          <w:sz w:val="24"/>
          <w:szCs w:val="24"/>
          <w:lang w:val="en-IE"/>
        </w:rPr>
        <w:t xml:space="preserve"> for the EU to promote tax good governance globally and to engage with its international partners on tax matters. </w:t>
      </w:r>
      <w:r w:rsidR="007D2951" w:rsidRPr="00E558AE">
        <w:rPr>
          <w:rFonts w:ascii="Times New Roman" w:hAnsi="Times New Roman" w:cs="Times New Roman"/>
          <w:sz w:val="24"/>
          <w:szCs w:val="24"/>
          <w:lang w:val="en-IE"/>
        </w:rPr>
        <w:t xml:space="preserve">The primary focus of the External Strategy was to strengthen the cooperation with third countries on </w:t>
      </w:r>
      <w:r w:rsidR="001D3AB0">
        <w:rPr>
          <w:rFonts w:ascii="Times New Roman" w:hAnsi="Times New Roman" w:cs="Times New Roman"/>
          <w:sz w:val="24"/>
          <w:szCs w:val="24"/>
          <w:lang w:val="en-IE"/>
        </w:rPr>
        <w:t>tax good governance</w:t>
      </w:r>
      <w:r w:rsidR="007D2951" w:rsidRPr="00E558AE">
        <w:rPr>
          <w:rFonts w:ascii="Times New Roman" w:hAnsi="Times New Roman" w:cs="Times New Roman"/>
          <w:sz w:val="24"/>
          <w:szCs w:val="24"/>
          <w:lang w:val="en-IE"/>
        </w:rPr>
        <w:t xml:space="preserve"> issues, through clauses in bilateral agreements, support to developing countries on tax matters and measures to prevent negative </w:t>
      </w:r>
      <w:proofErr w:type="spellStart"/>
      <w:r w:rsidR="007D2951" w:rsidRPr="00E558AE">
        <w:rPr>
          <w:rFonts w:ascii="Times New Roman" w:hAnsi="Times New Roman" w:cs="Times New Roman"/>
          <w:sz w:val="24"/>
          <w:szCs w:val="24"/>
          <w:lang w:val="en-IE"/>
        </w:rPr>
        <w:t>spillovers</w:t>
      </w:r>
      <w:proofErr w:type="spellEnd"/>
      <w:r w:rsidR="007D2951" w:rsidRPr="00E558AE">
        <w:rPr>
          <w:rFonts w:ascii="Times New Roman" w:hAnsi="Times New Roman" w:cs="Times New Roman"/>
          <w:sz w:val="24"/>
          <w:szCs w:val="24"/>
          <w:lang w:val="en-IE"/>
        </w:rPr>
        <w:t xml:space="preserve"> from tax policies in the EU. However, the Strategy also launched a new tool to </w:t>
      </w:r>
      <w:r w:rsidR="006A2804" w:rsidRPr="00E558AE">
        <w:rPr>
          <w:rFonts w:ascii="Times New Roman" w:hAnsi="Times New Roman" w:cs="Times New Roman"/>
          <w:sz w:val="24"/>
          <w:szCs w:val="24"/>
          <w:lang w:val="en-IE"/>
        </w:rPr>
        <w:t>e</w:t>
      </w:r>
      <w:r w:rsidR="006A2804">
        <w:rPr>
          <w:rFonts w:ascii="Times New Roman" w:hAnsi="Times New Roman" w:cs="Times New Roman"/>
          <w:sz w:val="24"/>
          <w:szCs w:val="24"/>
          <w:lang w:val="en-IE"/>
        </w:rPr>
        <w:t>ncourage</w:t>
      </w:r>
      <w:r w:rsidR="00DC17B8">
        <w:rPr>
          <w:rFonts w:ascii="Times New Roman" w:hAnsi="Times New Roman" w:cs="Times New Roman"/>
          <w:sz w:val="24"/>
          <w:szCs w:val="24"/>
          <w:lang w:val="en-IE"/>
        </w:rPr>
        <w:t xml:space="preserve"> </w:t>
      </w:r>
      <w:r w:rsidR="007D2951" w:rsidRPr="00E558AE">
        <w:rPr>
          <w:rFonts w:ascii="Times New Roman" w:hAnsi="Times New Roman" w:cs="Times New Roman"/>
          <w:sz w:val="24"/>
          <w:szCs w:val="24"/>
          <w:lang w:val="en-IE"/>
        </w:rPr>
        <w:t xml:space="preserve">the EU’s international partners </w:t>
      </w:r>
      <w:r w:rsidR="006A2804">
        <w:rPr>
          <w:rFonts w:ascii="Times New Roman" w:hAnsi="Times New Roman" w:cs="Times New Roman"/>
          <w:sz w:val="24"/>
          <w:szCs w:val="24"/>
          <w:lang w:val="en-IE"/>
        </w:rPr>
        <w:t>to</w:t>
      </w:r>
      <w:r w:rsidR="007D2951" w:rsidRPr="00E558AE">
        <w:rPr>
          <w:rFonts w:ascii="Times New Roman" w:hAnsi="Times New Roman" w:cs="Times New Roman"/>
          <w:sz w:val="24"/>
          <w:szCs w:val="24"/>
          <w:lang w:val="en-IE"/>
        </w:rPr>
        <w:t xml:space="preserve"> adhere to agreed tax good governance standards, through the EU listing process. </w:t>
      </w:r>
    </w:p>
    <w:p w:rsidR="00785C72" w:rsidRPr="00E558AE" w:rsidRDefault="007D2951" w:rsidP="007305B0">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All of these initiatives have contributed to creating a fairer tax environment in the EU and beyond. However, new challenges continue to emerge</w:t>
      </w:r>
      <w:r w:rsidR="00397263" w:rsidRPr="00E558AE">
        <w:rPr>
          <w:rFonts w:ascii="Times New Roman" w:hAnsi="Times New Roman" w:cs="Times New Roman"/>
          <w:sz w:val="24"/>
          <w:szCs w:val="24"/>
        </w:rPr>
        <w:t xml:space="preserve"> and </w:t>
      </w:r>
      <w:r w:rsidRPr="00E558AE">
        <w:rPr>
          <w:rFonts w:ascii="Times New Roman" w:hAnsi="Times New Roman" w:cs="Times New Roman"/>
          <w:sz w:val="24"/>
          <w:szCs w:val="24"/>
        </w:rPr>
        <w:t xml:space="preserve">the EU’s instruments to regulate fair tax competition and </w:t>
      </w:r>
      <w:r w:rsidR="006D4B19">
        <w:rPr>
          <w:rFonts w:ascii="Times New Roman" w:hAnsi="Times New Roman" w:cs="Times New Roman"/>
          <w:sz w:val="24"/>
          <w:szCs w:val="24"/>
        </w:rPr>
        <w:t>deter</w:t>
      </w:r>
      <w:r w:rsidRPr="00E558AE">
        <w:rPr>
          <w:rFonts w:ascii="Times New Roman" w:hAnsi="Times New Roman" w:cs="Times New Roman"/>
          <w:sz w:val="24"/>
          <w:szCs w:val="24"/>
        </w:rPr>
        <w:t xml:space="preserve"> harmful tax practices</w:t>
      </w:r>
      <w:r w:rsidR="00397263" w:rsidRPr="00E558AE">
        <w:rPr>
          <w:rFonts w:ascii="Times New Roman" w:hAnsi="Times New Roman" w:cs="Times New Roman"/>
          <w:sz w:val="24"/>
          <w:szCs w:val="24"/>
        </w:rPr>
        <w:t xml:space="preserve"> </w:t>
      </w:r>
      <w:r w:rsidR="006F56FA">
        <w:rPr>
          <w:rFonts w:ascii="Times New Roman" w:hAnsi="Times New Roman" w:cs="Times New Roman"/>
          <w:sz w:val="24"/>
          <w:szCs w:val="24"/>
        </w:rPr>
        <w:t xml:space="preserve">– inside and outside the EU - </w:t>
      </w:r>
      <w:r w:rsidR="00397263" w:rsidRPr="00E558AE">
        <w:rPr>
          <w:rFonts w:ascii="Times New Roman" w:hAnsi="Times New Roman" w:cs="Times New Roman"/>
          <w:sz w:val="24"/>
          <w:szCs w:val="24"/>
        </w:rPr>
        <w:t>need to keep pace</w:t>
      </w:r>
      <w:r w:rsidRPr="00E558AE">
        <w:rPr>
          <w:rFonts w:ascii="Times New Roman" w:hAnsi="Times New Roman" w:cs="Times New Roman"/>
          <w:sz w:val="24"/>
          <w:szCs w:val="24"/>
        </w:rPr>
        <w:t>. Globalisation, digitali</w:t>
      </w:r>
      <w:r w:rsidR="00337910">
        <w:rPr>
          <w:rFonts w:ascii="Times New Roman" w:hAnsi="Times New Roman" w:cs="Times New Roman"/>
          <w:sz w:val="24"/>
          <w:szCs w:val="24"/>
        </w:rPr>
        <w:t>s</w:t>
      </w:r>
      <w:r w:rsidRPr="00E558AE">
        <w:rPr>
          <w:rFonts w:ascii="Times New Roman" w:hAnsi="Times New Roman" w:cs="Times New Roman"/>
          <w:sz w:val="24"/>
          <w:szCs w:val="24"/>
        </w:rPr>
        <w:t>ation and</w:t>
      </w:r>
      <w:r w:rsidR="00E86161" w:rsidRPr="00E558AE">
        <w:rPr>
          <w:rFonts w:ascii="Times New Roman" w:hAnsi="Times New Roman" w:cs="Times New Roman"/>
          <w:sz w:val="24"/>
          <w:szCs w:val="24"/>
        </w:rPr>
        <w:t xml:space="preserve"> modern business models are creating new limits for tax competition and new opportunities for aggressive tax planning. The EU’s tax good governance agenda </w:t>
      </w:r>
      <w:r w:rsidR="00397263" w:rsidRPr="00E558AE">
        <w:rPr>
          <w:rFonts w:ascii="Times New Roman" w:hAnsi="Times New Roman" w:cs="Times New Roman"/>
          <w:sz w:val="24"/>
          <w:szCs w:val="24"/>
        </w:rPr>
        <w:t>must</w:t>
      </w:r>
      <w:r w:rsidR="00E86161" w:rsidRPr="00E558AE">
        <w:rPr>
          <w:rFonts w:ascii="Times New Roman" w:hAnsi="Times New Roman" w:cs="Times New Roman"/>
          <w:sz w:val="24"/>
          <w:szCs w:val="24"/>
        </w:rPr>
        <w:t xml:space="preserve"> continue to evolve</w:t>
      </w:r>
      <w:r w:rsidR="00C938DA" w:rsidRPr="00E558AE">
        <w:rPr>
          <w:rFonts w:ascii="Times New Roman" w:hAnsi="Times New Roman" w:cs="Times New Roman"/>
          <w:sz w:val="24"/>
          <w:szCs w:val="24"/>
        </w:rPr>
        <w:t>,</w:t>
      </w:r>
      <w:r w:rsidR="00E86161" w:rsidRPr="00E558AE">
        <w:rPr>
          <w:rFonts w:ascii="Times New Roman" w:hAnsi="Times New Roman" w:cs="Times New Roman"/>
          <w:sz w:val="24"/>
          <w:szCs w:val="24"/>
        </w:rPr>
        <w:t xml:space="preserve"> to</w:t>
      </w:r>
      <w:r w:rsidR="009B6733">
        <w:rPr>
          <w:rFonts w:ascii="Times New Roman" w:hAnsi="Times New Roman" w:cs="Times New Roman"/>
          <w:sz w:val="24"/>
          <w:szCs w:val="24"/>
        </w:rPr>
        <w:t xml:space="preserve"> prevent losses to national and EU budgets and to</w:t>
      </w:r>
      <w:r w:rsidR="00E86161" w:rsidRPr="00E558AE">
        <w:rPr>
          <w:rFonts w:ascii="Times New Roman" w:hAnsi="Times New Roman" w:cs="Times New Roman"/>
          <w:sz w:val="24"/>
          <w:szCs w:val="24"/>
        </w:rPr>
        <w:t xml:space="preserve"> ensure that EU citizens and businesses can continue to rely on fair and effective taxation in the future. </w:t>
      </w:r>
    </w:p>
    <w:p w:rsidR="00671D9B" w:rsidRDefault="006A71F1" w:rsidP="00785C7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present Communication is part of a </w:t>
      </w:r>
      <w:r w:rsidRPr="001927DF">
        <w:rPr>
          <w:rFonts w:ascii="Times New Roman" w:hAnsi="Times New Roman" w:cs="Times New Roman"/>
          <w:sz w:val="24"/>
          <w:szCs w:val="24"/>
        </w:rPr>
        <w:t>Tax Package for fair and simple taxation supporting the recovery</w:t>
      </w:r>
      <w:r>
        <w:rPr>
          <w:rFonts w:ascii="Times New Roman" w:hAnsi="Times New Roman" w:cs="Times New Roman"/>
          <w:sz w:val="24"/>
          <w:szCs w:val="24"/>
        </w:rPr>
        <w:t xml:space="preserve"> of the EU, which includes a Communication for an </w:t>
      </w:r>
      <w:r w:rsidRPr="001927DF">
        <w:rPr>
          <w:rFonts w:ascii="Times New Roman" w:hAnsi="Times New Roman" w:cs="Times New Roman"/>
          <w:sz w:val="24"/>
          <w:szCs w:val="24"/>
        </w:rPr>
        <w:t xml:space="preserve">Action Plan </w:t>
      </w:r>
      <w:r w:rsidR="00661772">
        <w:rPr>
          <w:rFonts w:ascii="Times New Roman" w:hAnsi="Times New Roman" w:cs="Times New Roman"/>
          <w:sz w:val="24"/>
          <w:szCs w:val="24"/>
        </w:rPr>
        <w:t xml:space="preserve">that </w:t>
      </w:r>
      <w:r w:rsidRPr="001927DF">
        <w:rPr>
          <w:rFonts w:ascii="Times New Roman" w:hAnsi="Times New Roman" w:cs="Times New Roman"/>
          <w:sz w:val="24"/>
          <w:szCs w:val="24"/>
        </w:rPr>
        <w:t>present</w:t>
      </w:r>
      <w:r w:rsidR="00661772">
        <w:rPr>
          <w:rFonts w:ascii="Times New Roman" w:hAnsi="Times New Roman" w:cs="Times New Roman"/>
          <w:sz w:val="24"/>
          <w:szCs w:val="24"/>
        </w:rPr>
        <w:t>s</w:t>
      </w:r>
      <w:r w:rsidRPr="001927DF">
        <w:rPr>
          <w:rFonts w:ascii="Times New Roman" w:hAnsi="Times New Roman" w:cs="Times New Roman"/>
          <w:sz w:val="24"/>
          <w:szCs w:val="24"/>
        </w:rPr>
        <w:t xml:space="preserve"> a number of upcoming initiatives in the field of direct and indirect taxation concerning the fight against </w:t>
      </w:r>
      <w:r w:rsidR="00661772">
        <w:rPr>
          <w:rFonts w:ascii="Times New Roman" w:hAnsi="Times New Roman" w:cs="Times New Roman"/>
          <w:sz w:val="24"/>
          <w:szCs w:val="24"/>
        </w:rPr>
        <w:t xml:space="preserve">tax </w:t>
      </w:r>
      <w:r w:rsidRPr="001927DF">
        <w:rPr>
          <w:rFonts w:ascii="Times New Roman" w:hAnsi="Times New Roman" w:cs="Times New Roman"/>
          <w:sz w:val="24"/>
          <w:szCs w:val="24"/>
        </w:rPr>
        <w:t>fraud and the simplification of</w:t>
      </w:r>
      <w:r w:rsidR="00661772">
        <w:rPr>
          <w:rFonts w:ascii="Times New Roman" w:hAnsi="Times New Roman" w:cs="Times New Roman"/>
          <w:sz w:val="24"/>
          <w:szCs w:val="24"/>
        </w:rPr>
        <w:t xml:space="preserve"> </w:t>
      </w:r>
      <w:r w:rsidRPr="001927DF">
        <w:rPr>
          <w:rFonts w:ascii="Times New Roman" w:hAnsi="Times New Roman" w:cs="Times New Roman"/>
          <w:sz w:val="24"/>
          <w:szCs w:val="24"/>
        </w:rPr>
        <w:t>tax regime</w:t>
      </w:r>
      <w:r w:rsidR="00661772">
        <w:rPr>
          <w:rFonts w:ascii="Times New Roman" w:hAnsi="Times New Roman" w:cs="Times New Roman"/>
          <w:sz w:val="24"/>
          <w:szCs w:val="24"/>
        </w:rPr>
        <w:t>s</w:t>
      </w:r>
      <w:r w:rsidRPr="001927DF">
        <w:rPr>
          <w:rFonts w:ascii="Times New Roman" w:hAnsi="Times New Roman" w:cs="Times New Roman"/>
          <w:sz w:val="24"/>
          <w:szCs w:val="24"/>
          <w:vertAlign w:val="superscript"/>
        </w:rPr>
        <w:footnoteReference w:id="5"/>
      </w:r>
      <w:r w:rsidRPr="001927DF">
        <w:rPr>
          <w:rFonts w:ascii="Times New Roman" w:hAnsi="Times New Roman" w:cs="Times New Roman"/>
          <w:sz w:val="24"/>
          <w:szCs w:val="24"/>
        </w:rPr>
        <w:t xml:space="preserve">, </w:t>
      </w:r>
      <w:r w:rsidR="00661772">
        <w:rPr>
          <w:rFonts w:ascii="Times New Roman" w:hAnsi="Times New Roman" w:cs="Times New Roman"/>
          <w:sz w:val="24"/>
          <w:szCs w:val="24"/>
        </w:rPr>
        <w:t xml:space="preserve">as well as a </w:t>
      </w:r>
      <w:r w:rsidRPr="001927DF">
        <w:rPr>
          <w:rFonts w:ascii="Times New Roman" w:hAnsi="Times New Roman" w:cs="Times New Roman"/>
          <w:sz w:val="24"/>
          <w:szCs w:val="24"/>
        </w:rPr>
        <w:t>legislative proposal</w:t>
      </w:r>
      <w:r w:rsidRPr="004B34FD">
        <w:rPr>
          <w:rFonts w:ascii="Times New Roman" w:hAnsi="Times New Roman" w:cs="Times New Roman"/>
          <w:sz w:val="24"/>
          <w:szCs w:val="24"/>
          <w:vertAlign w:val="superscript"/>
        </w:rPr>
        <w:footnoteReference w:id="6"/>
      </w:r>
      <w:r w:rsidRPr="001927DF">
        <w:rPr>
          <w:rFonts w:ascii="Times New Roman" w:hAnsi="Times New Roman" w:cs="Times New Roman"/>
          <w:sz w:val="24"/>
          <w:szCs w:val="24"/>
        </w:rPr>
        <w:t xml:space="preserve"> to revise the directive on administrative cooperation</w:t>
      </w:r>
      <w:r w:rsidRPr="001927DF">
        <w:rPr>
          <w:rFonts w:ascii="Times New Roman" w:hAnsi="Times New Roman" w:cs="Times New Roman"/>
          <w:sz w:val="24"/>
          <w:szCs w:val="24"/>
          <w:vertAlign w:val="superscript"/>
        </w:rPr>
        <w:footnoteReference w:id="7"/>
      </w:r>
      <w:r>
        <w:rPr>
          <w:rFonts w:ascii="Times New Roman" w:hAnsi="Times New Roman" w:cs="Times New Roman"/>
          <w:sz w:val="24"/>
          <w:szCs w:val="24"/>
        </w:rPr>
        <w:t xml:space="preserve">. </w:t>
      </w:r>
    </w:p>
    <w:p w:rsidR="00785C72" w:rsidRPr="00E558AE" w:rsidRDefault="006A71F1" w:rsidP="00785C7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Further action will </w:t>
      </w:r>
      <w:r w:rsidR="00397263" w:rsidRPr="00E558AE">
        <w:rPr>
          <w:rFonts w:ascii="Times New Roman" w:hAnsi="Times New Roman" w:cs="Times New Roman"/>
          <w:sz w:val="24"/>
          <w:szCs w:val="24"/>
        </w:rPr>
        <w:t xml:space="preserve">ensure that EU tax law is aligned </w:t>
      </w:r>
      <w:r w:rsidR="001A5E24">
        <w:rPr>
          <w:rFonts w:ascii="Times New Roman" w:hAnsi="Times New Roman" w:cs="Times New Roman"/>
          <w:sz w:val="24"/>
          <w:szCs w:val="24"/>
        </w:rPr>
        <w:t>with</w:t>
      </w:r>
      <w:r w:rsidR="00397263" w:rsidRPr="00E558AE">
        <w:rPr>
          <w:rFonts w:ascii="Times New Roman" w:hAnsi="Times New Roman" w:cs="Times New Roman"/>
          <w:sz w:val="24"/>
          <w:szCs w:val="24"/>
        </w:rPr>
        <w:t xml:space="preserve"> the modern economy and adapted to any international developments on corporate tax reform. </w:t>
      </w:r>
      <w:r w:rsidR="00785C72" w:rsidRPr="00E558AE">
        <w:rPr>
          <w:rFonts w:ascii="Times New Roman" w:hAnsi="Times New Roman" w:cs="Times New Roman"/>
          <w:sz w:val="24"/>
          <w:szCs w:val="24"/>
        </w:rPr>
        <w:t xml:space="preserve">To complement </w:t>
      </w:r>
      <w:r w:rsidR="0091238D">
        <w:rPr>
          <w:rFonts w:ascii="Times New Roman" w:hAnsi="Times New Roman" w:cs="Times New Roman"/>
          <w:sz w:val="24"/>
          <w:szCs w:val="24"/>
        </w:rPr>
        <w:t xml:space="preserve">these </w:t>
      </w:r>
      <w:r>
        <w:rPr>
          <w:rFonts w:ascii="Times New Roman" w:hAnsi="Times New Roman" w:cs="Times New Roman"/>
          <w:sz w:val="24"/>
          <w:szCs w:val="24"/>
        </w:rPr>
        <w:t>measures</w:t>
      </w:r>
      <w:r w:rsidR="00785C72" w:rsidRPr="00E558AE">
        <w:rPr>
          <w:rFonts w:ascii="Times New Roman" w:hAnsi="Times New Roman" w:cs="Times New Roman"/>
          <w:sz w:val="24"/>
          <w:szCs w:val="24"/>
        </w:rPr>
        <w:t>, th</w:t>
      </w:r>
      <w:r w:rsidR="00CC6123" w:rsidRPr="00E558AE">
        <w:rPr>
          <w:rFonts w:ascii="Times New Roman" w:hAnsi="Times New Roman" w:cs="Times New Roman"/>
          <w:sz w:val="24"/>
          <w:szCs w:val="24"/>
        </w:rPr>
        <w:t>e</w:t>
      </w:r>
      <w:r w:rsidR="00785C72" w:rsidRPr="00E558AE">
        <w:rPr>
          <w:rFonts w:ascii="Times New Roman" w:hAnsi="Times New Roman" w:cs="Times New Roman"/>
          <w:sz w:val="24"/>
          <w:szCs w:val="24"/>
        </w:rPr>
        <w:t xml:space="preserve"> Comm</w:t>
      </w:r>
      <w:r w:rsidR="00CC6123" w:rsidRPr="00E558AE">
        <w:rPr>
          <w:rFonts w:ascii="Times New Roman" w:hAnsi="Times New Roman" w:cs="Times New Roman"/>
          <w:sz w:val="24"/>
          <w:szCs w:val="24"/>
        </w:rPr>
        <w:t>unication</w:t>
      </w:r>
      <w:r w:rsidR="004E67E6" w:rsidRPr="00E558AE">
        <w:rPr>
          <w:rFonts w:ascii="Times New Roman" w:hAnsi="Times New Roman" w:cs="Times New Roman"/>
          <w:sz w:val="24"/>
          <w:szCs w:val="24"/>
        </w:rPr>
        <w:t xml:space="preserve"> </w:t>
      </w:r>
      <w:r w:rsidR="00397263" w:rsidRPr="00E558AE">
        <w:rPr>
          <w:rFonts w:ascii="Times New Roman" w:hAnsi="Times New Roman" w:cs="Times New Roman"/>
          <w:sz w:val="24"/>
          <w:szCs w:val="24"/>
        </w:rPr>
        <w:t>focusses primarily on the soft law measures</w:t>
      </w:r>
      <w:r w:rsidR="0073124E">
        <w:rPr>
          <w:rFonts w:ascii="Times New Roman" w:hAnsi="Times New Roman" w:cs="Times New Roman"/>
          <w:sz w:val="24"/>
          <w:szCs w:val="24"/>
        </w:rPr>
        <w:t xml:space="preserve"> and external actions</w:t>
      </w:r>
      <w:r w:rsidR="00C938DA" w:rsidRPr="00E558AE">
        <w:rPr>
          <w:rFonts w:ascii="Times New Roman" w:hAnsi="Times New Roman" w:cs="Times New Roman"/>
          <w:sz w:val="24"/>
          <w:szCs w:val="24"/>
        </w:rPr>
        <w:t xml:space="preserve">, taking stock of the experience so far and </w:t>
      </w:r>
      <w:r w:rsidR="00756D86">
        <w:rPr>
          <w:rFonts w:ascii="Times New Roman" w:hAnsi="Times New Roman" w:cs="Times New Roman"/>
          <w:sz w:val="24"/>
          <w:szCs w:val="24"/>
        </w:rPr>
        <w:t xml:space="preserve">identifying </w:t>
      </w:r>
      <w:r w:rsidR="00C938DA" w:rsidRPr="00E558AE">
        <w:rPr>
          <w:rFonts w:ascii="Times New Roman" w:hAnsi="Times New Roman" w:cs="Times New Roman"/>
          <w:sz w:val="24"/>
          <w:szCs w:val="24"/>
        </w:rPr>
        <w:t xml:space="preserve">changes that are needed in this field. On this basis, it </w:t>
      </w:r>
      <w:r w:rsidR="00785C72" w:rsidRPr="00E558AE">
        <w:rPr>
          <w:rFonts w:ascii="Times New Roman" w:hAnsi="Times New Roman" w:cs="Times New Roman"/>
          <w:sz w:val="24"/>
          <w:szCs w:val="24"/>
        </w:rPr>
        <w:t xml:space="preserve">sets out the priority areas for action over the coming years, </w:t>
      </w:r>
      <w:r w:rsidR="00397263" w:rsidRPr="00E558AE">
        <w:rPr>
          <w:rFonts w:ascii="Times New Roman" w:hAnsi="Times New Roman" w:cs="Times New Roman"/>
          <w:sz w:val="24"/>
          <w:szCs w:val="24"/>
        </w:rPr>
        <w:t>to enhance tax good governance standards</w:t>
      </w:r>
      <w:r w:rsidR="00785C72" w:rsidRPr="00E558AE">
        <w:rPr>
          <w:rFonts w:ascii="Times New Roman" w:hAnsi="Times New Roman" w:cs="Times New Roman"/>
          <w:sz w:val="24"/>
          <w:szCs w:val="24"/>
        </w:rPr>
        <w:t xml:space="preserve"> and ensure fair taxation</w:t>
      </w:r>
      <w:r w:rsidR="00397263" w:rsidRPr="00E558AE">
        <w:rPr>
          <w:rFonts w:ascii="Times New Roman" w:hAnsi="Times New Roman" w:cs="Times New Roman"/>
          <w:sz w:val="24"/>
          <w:szCs w:val="24"/>
        </w:rPr>
        <w:t xml:space="preserve">. </w:t>
      </w:r>
    </w:p>
    <w:p w:rsidR="008D7DF8" w:rsidRPr="00746D68" w:rsidRDefault="00746D68" w:rsidP="00746D68">
      <w:pPr>
        <w:pStyle w:val="Heading2"/>
      </w:pPr>
      <w:r>
        <w:t>2</w:t>
      </w:r>
      <w:r w:rsidR="3C502593" w:rsidRPr="00746D68">
        <w:t>. REFORM OF THE CODE OF CONDUCT ON BUSINESS TAXATION</w:t>
      </w:r>
    </w:p>
    <w:p w:rsidR="007B0A9C" w:rsidRPr="00E558AE" w:rsidRDefault="00E9791C" w:rsidP="007C2B84">
      <w:pPr>
        <w:spacing w:after="0" w:line="276" w:lineRule="auto"/>
        <w:jc w:val="both"/>
        <w:rPr>
          <w:rFonts w:ascii="Times New Roman" w:eastAsia="Calibri" w:hAnsi="Times New Roman" w:cs="Times New Roman"/>
          <w:sz w:val="24"/>
          <w:szCs w:val="24"/>
        </w:rPr>
      </w:pPr>
      <w:r w:rsidRPr="00E558AE">
        <w:rPr>
          <w:rFonts w:ascii="Times New Roman" w:eastAsia="Calibri" w:hAnsi="Times New Roman" w:cs="Times New Roman"/>
          <w:sz w:val="24"/>
          <w:szCs w:val="24"/>
        </w:rPr>
        <w:t>T</w:t>
      </w:r>
      <w:r w:rsidR="00F16187" w:rsidRPr="00E558AE">
        <w:rPr>
          <w:rFonts w:ascii="Times New Roman" w:eastAsia="Calibri" w:hAnsi="Times New Roman" w:cs="Times New Roman"/>
          <w:sz w:val="24"/>
          <w:szCs w:val="24"/>
        </w:rPr>
        <w:t>he</w:t>
      </w:r>
      <w:r w:rsidR="00F915CB" w:rsidRPr="00E558AE">
        <w:rPr>
          <w:rFonts w:ascii="Times New Roman" w:eastAsia="Calibri" w:hAnsi="Times New Roman" w:cs="Times New Roman"/>
          <w:sz w:val="24"/>
          <w:szCs w:val="24"/>
        </w:rPr>
        <w:t xml:space="preserve"> Code of Conduct for Business Taxation (the “Code”)</w:t>
      </w:r>
      <w:r w:rsidR="00DC2274" w:rsidRPr="00E558AE">
        <w:rPr>
          <w:rFonts w:ascii="Times New Roman" w:eastAsia="Calibri" w:hAnsi="Times New Roman" w:cs="Times New Roman"/>
          <w:sz w:val="24"/>
          <w:szCs w:val="24"/>
        </w:rPr>
        <w:t xml:space="preserve"> has </w:t>
      </w:r>
      <w:r w:rsidR="009118ED" w:rsidRPr="00E558AE">
        <w:rPr>
          <w:rFonts w:ascii="Times New Roman" w:eastAsia="Calibri" w:hAnsi="Times New Roman" w:cs="Times New Roman"/>
          <w:sz w:val="24"/>
          <w:szCs w:val="24"/>
        </w:rPr>
        <w:t xml:space="preserve">been the EU’s primary instrument to prevent </w:t>
      </w:r>
      <w:r w:rsidR="00F16187" w:rsidRPr="00E558AE">
        <w:rPr>
          <w:rFonts w:ascii="Times New Roman" w:eastAsia="Calibri" w:hAnsi="Times New Roman" w:cs="Times New Roman"/>
          <w:sz w:val="24"/>
          <w:szCs w:val="24"/>
        </w:rPr>
        <w:t>harmful tax competition</w:t>
      </w:r>
      <w:r w:rsidR="007132C8" w:rsidRPr="00E558AE">
        <w:rPr>
          <w:rFonts w:ascii="Times New Roman" w:eastAsia="Calibri" w:hAnsi="Times New Roman" w:cs="Times New Roman"/>
          <w:sz w:val="24"/>
          <w:szCs w:val="24"/>
        </w:rPr>
        <w:t>, since its creation in 1997</w:t>
      </w:r>
      <w:r w:rsidR="00F16187" w:rsidRPr="00E558AE">
        <w:rPr>
          <w:rFonts w:ascii="Times New Roman" w:eastAsia="Calibri" w:hAnsi="Times New Roman" w:cs="Times New Roman"/>
          <w:sz w:val="24"/>
          <w:szCs w:val="24"/>
        </w:rPr>
        <w:t xml:space="preserve">. </w:t>
      </w:r>
      <w:r w:rsidR="007132C8" w:rsidRPr="00E558AE">
        <w:rPr>
          <w:rFonts w:ascii="Times New Roman" w:eastAsia="Calibri" w:hAnsi="Times New Roman" w:cs="Times New Roman"/>
          <w:sz w:val="24"/>
          <w:szCs w:val="24"/>
        </w:rPr>
        <w:t xml:space="preserve">It works on the premise that, whilst tax competition among countries is not problematic </w:t>
      </w:r>
      <w:r w:rsidR="007132C8" w:rsidRPr="00E558AE">
        <w:rPr>
          <w:rFonts w:ascii="Times New Roman" w:eastAsia="Calibri" w:hAnsi="Times New Roman" w:cs="Times New Roman"/>
          <w:i/>
          <w:sz w:val="24"/>
          <w:szCs w:val="24"/>
        </w:rPr>
        <w:t>per se</w:t>
      </w:r>
      <w:r w:rsidR="007132C8" w:rsidRPr="00E558AE">
        <w:rPr>
          <w:rFonts w:ascii="Times New Roman" w:eastAsia="Calibri" w:hAnsi="Times New Roman" w:cs="Times New Roman"/>
          <w:sz w:val="24"/>
          <w:szCs w:val="24"/>
        </w:rPr>
        <w:t>, there need to be common principles on the extent to which they can</w:t>
      </w:r>
      <w:r w:rsidR="00AB5A43" w:rsidRPr="00E558AE">
        <w:rPr>
          <w:rFonts w:ascii="Times New Roman" w:eastAsia="Calibri" w:hAnsi="Times New Roman" w:cs="Times New Roman"/>
          <w:sz w:val="24"/>
          <w:szCs w:val="24"/>
        </w:rPr>
        <w:t xml:space="preserve"> use their tax regimes and policies to attract businesses and profits. </w:t>
      </w:r>
      <w:r w:rsidR="007132C8" w:rsidRPr="00E558AE">
        <w:rPr>
          <w:rFonts w:ascii="Times New Roman" w:eastAsia="Calibri" w:hAnsi="Times New Roman" w:cs="Times New Roman"/>
          <w:sz w:val="24"/>
          <w:szCs w:val="24"/>
        </w:rPr>
        <w:t xml:space="preserve">This is particularly important in a Single Market, where the </w:t>
      </w:r>
      <w:r w:rsidR="00C938DA" w:rsidRPr="00E558AE">
        <w:rPr>
          <w:rFonts w:ascii="Times New Roman" w:eastAsia="Calibri" w:hAnsi="Times New Roman" w:cs="Times New Roman"/>
          <w:sz w:val="24"/>
          <w:szCs w:val="24"/>
        </w:rPr>
        <w:t xml:space="preserve">Treaty </w:t>
      </w:r>
      <w:r w:rsidR="007132C8" w:rsidRPr="00E558AE">
        <w:rPr>
          <w:rFonts w:ascii="Times New Roman" w:eastAsia="Calibri" w:hAnsi="Times New Roman" w:cs="Times New Roman"/>
          <w:sz w:val="24"/>
          <w:szCs w:val="24"/>
        </w:rPr>
        <w:t xml:space="preserve">freedoms </w:t>
      </w:r>
      <w:r w:rsidR="00545A75" w:rsidRPr="00E558AE">
        <w:rPr>
          <w:rFonts w:ascii="Times New Roman" w:eastAsia="Calibri" w:hAnsi="Times New Roman" w:cs="Times New Roman"/>
          <w:sz w:val="24"/>
          <w:szCs w:val="24"/>
        </w:rPr>
        <w:t>increase the mobility of profits and investment</w:t>
      </w:r>
      <w:r w:rsidR="007132C8" w:rsidRPr="00E558AE">
        <w:rPr>
          <w:rFonts w:ascii="Times New Roman" w:eastAsia="Calibri" w:hAnsi="Times New Roman" w:cs="Times New Roman"/>
          <w:sz w:val="24"/>
          <w:szCs w:val="24"/>
        </w:rPr>
        <w:t>.</w:t>
      </w:r>
    </w:p>
    <w:p w:rsidR="00545A75" w:rsidRPr="00E558AE" w:rsidRDefault="00545A75" w:rsidP="007C2B84">
      <w:pPr>
        <w:spacing w:after="0" w:line="276" w:lineRule="auto"/>
        <w:jc w:val="both"/>
        <w:rPr>
          <w:rFonts w:ascii="Times New Roman" w:eastAsia="Calibri" w:hAnsi="Times New Roman" w:cs="Times New Roman"/>
          <w:sz w:val="24"/>
          <w:szCs w:val="24"/>
        </w:rPr>
      </w:pPr>
    </w:p>
    <w:p w:rsidR="00D864CD" w:rsidRPr="00E558AE" w:rsidRDefault="007B0A9C" w:rsidP="007C2B84">
      <w:pPr>
        <w:spacing w:after="0" w:line="276" w:lineRule="auto"/>
        <w:jc w:val="both"/>
        <w:rPr>
          <w:rFonts w:ascii="Times New Roman" w:eastAsia="Calibri" w:hAnsi="Times New Roman" w:cs="Times New Roman"/>
          <w:sz w:val="24"/>
          <w:szCs w:val="24"/>
        </w:rPr>
      </w:pPr>
      <w:r w:rsidRPr="00E558AE">
        <w:rPr>
          <w:rFonts w:ascii="Times New Roman" w:eastAsia="Calibri" w:hAnsi="Times New Roman" w:cs="Times New Roman"/>
          <w:sz w:val="24"/>
          <w:szCs w:val="24"/>
        </w:rPr>
        <w:t xml:space="preserve">The Code is a soft law instrument, that operates on the basis of peer review and peer pressure between Member States. </w:t>
      </w:r>
      <w:r w:rsidR="00C938DA" w:rsidRPr="00E558AE">
        <w:rPr>
          <w:rFonts w:ascii="Times New Roman" w:eastAsia="Calibri" w:hAnsi="Times New Roman" w:cs="Times New Roman"/>
          <w:sz w:val="24"/>
          <w:szCs w:val="24"/>
        </w:rPr>
        <w:t>It sets out principles for fair tax</w:t>
      </w:r>
      <w:r w:rsidR="001D3AB0">
        <w:rPr>
          <w:rFonts w:ascii="Times New Roman" w:eastAsia="Calibri" w:hAnsi="Times New Roman" w:cs="Times New Roman"/>
          <w:sz w:val="24"/>
          <w:szCs w:val="24"/>
        </w:rPr>
        <w:t xml:space="preserve"> competition</w:t>
      </w:r>
      <w:r w:rsidR="00C938DA" w:rsidRPr="00E558AE">
        <w:rPr>
          <w:rFonts w:ascii="Times New Roman" w:eastAsia="Calibri" w:hAnsi="Times New Roman" w:cs="Times New Roman"/>
          <w:sz w:val="24"/>
          <w:szCs w:val="24"/>
        </w:rPr>
        <w:t xml:space="preserve"> and is used to determine whether a tax regime is harmful or not. The</w:t>
      </w:r>
      <w:r w:rsidRPr="00E558AE">
        <w:rPr>
          <w:rFonts w:ascii="Times New Roman" w:eastAsia="Calibri" w:hAnsi="Times New Roman" w:cs="Times New Roman"/>
          <w:sz w:val="24"/>
          <w:szCs w:val="24"/>
        </w:rPr>
        <w:t xml:space="preserve"> Code of Conduct Group, composed of </w:t>
      </w:r>
      <w:r w:rsidR="00A0406E" w:rsidRPr="00E558AE">
        <w:rPr>
          <w:rFonts w:ascii="Times New Roman" w:eastAsia="Calibri" w:hAnsi="Times New Roman" w:cs="Times New Roman"/>
          <w:sz w:val="24"/>
          <w:szCs w:val="24"/>
        </w:rPr>
        <w:t>high-level</w:t>
      </w:r>
      <w:r w:rsidRPr="00E558AE">
        <w:rPr>
          <w:rFonts w:ascii="Times New Roman" w:eastAsia="Calibri" w:hAnsi="Times New Roman" w:cs="Times New Roman"/>
          <w:sz w:val="24"/>
          <w:szCs w:val="24"/>
        </w:rPr>
        <w:t xml:space="preserve"> national representatives, oversees Member States’ compliance with the Code. </w:t>
      </w:r>
      <w:r w:rsidR="00C938DA" w:rsidRPr="00E558AE">
        <w:rPr>
          <w:rFonts w:ascii="Times New Roman" w:eastAsia="Calibri" w:hAnsi="Times New Roman" w:cs="Times New Roman"/>
          <w:sz w:val="24"/>
          <w:szCs w:val="24"/>
        </w:rPr>
        <w:t>It</w:t>
      </w:r>
      <w:r w:rsidRPr="00E558AE">
        <w:rPr>
          <w:rFonts w:ascii="Times New Roman" w:eastAsia="Calibri" w:hAnsi="Times New Roman" w:cs="Times New Roman"/>
          <w:sz w:val="24"/>
          <w:szCs w:val="24"/>
        </w:rPr>
        <w:t xml:space="preserve"> assesses Member States’ tax measures and determine</w:t>
      </w:r>
      <w:r w:rsidR="00C938DA" w:rsidRPr="00E558AE">
        <w:rPr>
          <w:rFonts w:ascii="Times New Roman" w:eastAsia="Calibri" w:hAnsi="Times New Roman" w:cs="Times New Roman"/>
          <w:sz w:val="24"/>
          <w:szCs w:val="24"/>
        </w:rPr>
        <w:t>s</w:t>
      </w:r>
      <w:r w:rsidRPr="00E558AE">
        <w:rPr>
          <w:rFonts w:ascii="Times New Roman" w:eastAsia="Calibri" w:hAnsi="Times New Roman" w:cs="Times New Roman"/>
          <w:sz w:val="24"/>
          <w:szCs w:val="24"/>
        </w:rPr>
        <w:t xml:space="preserve"> whether they are harmful, based on a technical analysis from the Commission. If the tax measure is found to be harmful, the Member State in question must amend or abolish it. Since the Code was established, o</w:t>
      </w:r>
      <w:r w:rsidR="007132C8" w:rsidRPr="00E558AE">
        <w:rPr>
          <w:rFonts w:ascii="Times New Roman" w:eastAsia="Calibri" w:hAnsi="Times New Roman" w:cs="Times New Roman"/>
          <w:sz w:val="24"/>
          <w:szCs w:val="24"/>
        </w:rPr>
        <w:t>ver</w:t>
      </w:r>
      <w:r w:rsidR="00336143" w:rsidRPr="00E558AE">
        <w:rPr>
          <w:rFonts w:ascii="Times New Roman" w:eastAsia="Calibri" w:hAnsi="Times New Roman" w:cs="Times New Roman"/>
          <w:sz w:val="24"/>
          <w:szCs w:val="24"/>
        </w:rPr>
        <w:t xml:space="preserve"> 400 tax regimes</w:t>
      </w:r>
      <w:r w:rsidR="007132C8" w:rsidRPr="00E558AE">
        <w:rPr>
          <w:rFonts w:ascii="Times New Roman" w:eastAsia="Calibri" w:hAnsi="Times New Roman" w:cs="Times New Roman"/>
          <w:sz w:val="24"/>
          <w:szCs w:val="24"/>
        </w:rPr>
        <w:t xml:space="preserve"> have been assessed</w:t>
      </w:r>
      <w:r w:rsidR="00336143" w:rsidRPr="00E558AE">
        <w:rPr>
          <w:rFonts w:ascii="Times New Roman" w:eastAsia="Calibri" w:hAnsi="Times New Roman" w:cs="Times New Roman"/>
          <w:sz w:val="24"/>
          <w:szCs w:val="24"/>
        </w:rPr>
        <w:t xml:space="preserve"> in the EU and </w:t>
      </w:r>
      <w:r w:rsidRPr="00E558AE">
        <w:rPr>
          <w:rFonts w:ascii="Times New Roman" w:eastAsia="Calibri" w:hAnsi="Times New Roman" w:cs="Times New Roman"/>
          <w:sz w:val="24"/>
          <w:szCs w:val="24"/>
        </w:rPr>
        <w:t>around</w:t>
      </w:r>
      <w:r w:rsidR="00336143" w:rsidRPr="00E558AE">
        <w:rPr>
          <w:rFonts w:ascii="Times New Roman" w:eastAsia="Calibri" w:hAnsi="Times New Roman" w:cs="Times New Roman"/>
          <w:sz w:val="24"/>
          <w:szCs w:val="24"/>
        </w:rPr>
        <w:t xml:space="preserve"> 100 of these</w:t>
      </w:r>
      <w:r w:rsidRPr="00E558AE">
        <w:rPr>
          <w:rFonts w:ascii="Times New Roman" w:eastAsia="Calibri" w:hAnsi="Times New Roman" w:cs="Times New Roman"/>
          <w:sz w:val="24"/>
          <w:szCs w:val="24"/>
        </w:rPr>
        <w:t xml:space="preserve"> were found</w:t>
      </w:r>
      <w:r w:rsidR="00336143" w:rsidRPr="00E558AE">
        <w:rPr>
          <w:rFonts w:ascii="Times New Roman" w:eastAsia="Calibri" w:hAnsi="Times New Roman" w:cs="Times New Roman"/>
          <w:sz w:val="24"/>
          <w:szCs w:val="24"/>
        </w:rPr>
        <w:t xml:space="preserve"> to be harmful. </w:t>
      </w:r>
    </w:p>
    <w:p w:rsidR="00777D27" w:rsidRPr="00E558AE" w:rsidRDefault="00777D27" w:rsidP="007C2B84">
      <w:pPr>
        <w:spacing w:after="0" w:line="276" w:lineRule="auto"/>
        <w:jc w:val="both"/>
        <w:rPr>
          <w:rFonts w:ascii="Times New Roman" w:eastAsia="Calibri" w:hAnsi="Times New Roman" w:cs="Times New Roman"/>
          <w:sz w:val="24"/>
          <w:szCs w:val="24"/>
        </w:rPr>
      </w:pPr>
    </w:p>
    <w:p w:rsidR="00777D27" w:rsidRPr="00E558AE" w:rsidRDefault="00777D27" w:rsidP="007C2B84">
      <w:pPr>
        <w:spacing w:after="0" w:line="276" w:lineRule="auto"/>
        <w:jc w:val="both"/>
        <w:rPr>
          <w:rFonts w:ascii="Times New Roman" w:eastAsia="Calibri" w:hAnsi="Times New Roman" w:cs="Times New Roman"/>
          <w:sz w:val="24"/>
          <w:szCs w:val="24"/>
        </w:rPr>
      </w:pPr>
      <w:r w:rsidRPr="00E558AE">
        <w:rPr>
          <w:rFonts w:ascii="Times New Roman" w:eastAsia="Calibri" w:hAnsi="Times New Roman" w:cs="Times New Roman"/>
          <w:sz w:val="24"/>
          <w:szCs w:val="24"/>
        </w:rPr>
        <w:t xml:space="preserve">In addition to the Code’s achievements within the EU, it has also had a remarkable impact on the global tax environment in recent years. This is because it has been the basis for assessing third countries in the context of the EU list of non-cooperative tax jurisdictions (see point 2 below). The central role of the Code for the EU listing process underlines its importance </w:t>
      </w:r>
      <w:r w:rsidR="00C938DA" w:rsidRPr="00E558AE">
        <w:rPr>
          <w:rFonts w:ascii="Times New Roman" w:eastAsia="Calibri" w:hAnsi="Times New Roman" w:cs="Times New Roman"/>
          <w:sz w:val="24"/>
          <w:szCs w:val="24"/>
        </w:rPr>
        <w:t>as a tool</w:t>
      </w:r>
      <w:r w:rsidRPr="00E558AE">
        <w:rPr>
          <w:rFonts w:ascii="Times New Roman" w:eastAsia="Calibri" w:hAnsi="Times New Roman" w:cs="Times New Roman"/>
          <w:sz w:val="24"/>
          <w:szCs w:val="24"/>
        </w:rPr>
        <w:t xml:space="preserve"> to combat harmful tax competition</w:t>
      </w:r>
      <w:r w:rsidR="00574963">
        <w:rPr>
          <w:rFonts w:ascii="Times New Roman" w:eastAsia="Calibri" w:hAnsi="Times New Roman" w:cs="Times New Roman"/>
          <w:sz w:val="24"/>
          <w:szCs w:val="24"/>
        </w:rPr>
        <w:t xml:space="preserve"> </w:t>
      </w:r>
      <w:r w:rsidRPr="00E558AE">
        <w:rPr>
          <w:rFonts w:ascii="Times New Roman" w:eastAsia="Calibri" w:hAnsi="Times New Roman" w:cs="Times New Roman"/>
          <w:sz w:val="24"/>
          <w:szCs w:val="24"/>
        </w:rPr>
        <w:t xml:space="preserve">and promote tax good governance principles widely. </w:t>
      </w:r>
    </w:p>
    <w:p w:rsidR="007132C8" w:rsidRPr="00E558AE" w:rsidRDefault="007132C8" w:rsidP="007C2B84">
      <w:pPr>
        <w:spacing w:after="0" w:line="276" w:lineRule="auto"/>
        <w:jc w:val="both"/>
        <w:rPr>
          <w:rFonts w:ascii="Times New Roman" w:eastAsia="Calibri" w:hAnsi="Times New Roman" w:cs="Times New Roman"/>
          <w:sz w:val="24"/>
          <w:szCs w:val="24"/>
        </w:rPr>
      </w:pPr>
    </w:p>
    <w:p w:rsidR="007132C8" w:rsidRPr="00E558AE" w:rsidRDefault="00336143" w:rsidP="007C2B84">
      <w:pPr>
        <w:spacing w:after="0" w:line="276" w:lineRule="auto"/>
        <w:jc w:val="both"/>
        <w:rPr>
          <w:rFonts w:ascii="Times New Roman" w:hAnsi="Times New Roman" w:cs="Times New Roman"/>
          <w:sz w:val="24"/>
          <w:szCs w:val="24"/>
        </w:rPr>
      </w:pPr>
      <w:r w:rsidRPr="00E558AE">
        <w:rPr>
          <w:rFonts w:ascii="Times New Roman" w:eastAsia="Times New Roman" w:hAnsi="Times New Roman" w:cs="Times New Roman"/>
          <w:sz w:val="24"/>
          <w:szCs w:val="24"/>
        </w:rPr>
        <w:t xml:space="preserve">However, in spite of the Code’s </w:t>
      </w:r>
      <w:r w:rsidR="007132C8" w:rsidRPr="00E558AE">
        <w:rPr>
          <w:rFonts w:ascii="Times New Roman" w:eastAsia="Times New Roman" w:hAnsi="Times New Roman" w:cs="Times New Roman"/>
          <w:sz w:val="24"/>
          <w:szCs w:val="24"/>
        </w:rPr>
        <w:t>achievements</w:t>
      </w:r>
      <w:r w:rsidRPr="00E558AE">
        <w:rPr>
          <w:rFonts w:ascii="Times New Roman" w:eastAsia="Times New Roman" w:hAnsi="Times New Roman" w:cs="Times New Roman"/>
          <w:sz w:val="24"/>
          <w:szCs w:val="24"/>
        </w:rPr>
        <w:t xml:space="preserve">, it is clear that </w:t>
      </w:r>
      <w:r w:rsidR="007132C8" w:rsidRPr="00E558AE">
        <w:rPr>
          <w:rFonts w:ascii="Times New Roman" w:eastAsia="Times New Roman" w:hAnsi="Times New Roman" w:cs="Times New Roman"/>
          <w:sz w:val="24"/>
          <w:szCs w:val="24"/>
        </w:rPr>
        <w:t xml:space="preserve">it is </w:t>
      </w:r>
      <w:r w:rsidR="00CC6123" w:rsidRPr="00E558AE">
        <w:rPr>
          <w:rFonts w:ascii="Times New Roman" w:eastAsia="Times New Roman" w:hAnsi="Times New Roman" w:cs="Times New Roman"/>
          <w:sz w:val="24"/>
          <w:szCs w:val="24"/>
        </w:rPr>
        <w:t xml:space="preserve">in </w:t>
      </w:r>
      <w:r w:rsidR="007132C8" w:rsidRPr="00E558AE">
        <w:rPr>
          <w:rFonts w:ascii="Times New Roman" w:eastAsia="Times New Roman" w:hAnsi="Times New Roman" w:cs="Times New Roman"/>
          <w:sz w:val="24"/>
          <w:szCs w:val="24"/>
        </w:rPr>
        <w:t>need of reform and moderni</w:t>
      </w:r>
      <w:r w:rsidR="00E64F4B">
        <w:rPr>
          <w:rFonts w:ascii="Times New Roman" w:eastAsia="Times New Roman" w:hAnsi="Times New Roman" w:cs="Times New Roman"/>
          <w:sz w:val="24"/>
          <w:szCs w:val="24"/>
        </w:rPr>
        <w:t>s</w:t>
      </w:r>
      <w:r w:rsidR="007132C8" w:rsidRPr="00E558AE">
        <w:rPr>
          <w:rFonts w:ascii="Times New Roman" w:eastAsia="Times New Roman" w:hAnsi="Times New Roman" w:cs="Times New Roman"/>
          <w:sz w:val="24"/>
          <w:szCs w:val="24"/>
        </w:rPr>
        <w:t>ation. The nature and form of tax competition ha</w:t>
      </w:r>
      <w:r w:rsidR="007B0A9C" w:rsidRPr="00E558AE">
        <w:rPr>
          <w:rFonts w:ascii="Times New Roman" w:eastAsia="Times New Roman" w:hAnsi="Times New Roman" w:cs="Times New Roman"/>
          <w:sz w:val="24"/>
          <w:szCs w:val="24"/>
        </w:rPr>
        <w:t>ve</w:t>
      </w:r>
      <w:r w:rsidR="007132C8" w:rsidRPr="00E558AE">
        <w:rPr>
          <w:rFonts w:ascii="Times New Roman" w:eastAsia="Times New Roman" w:hAnsi="Times New Roman" w:cs="Times New Roman"/>
          <w:sz w:val="24"/>
          <w:szCs w:val="24"/>
        </w:rPr>
        <w:t xml:space="preserve"> changed substantially over the past two decades</w:t>
      </w:r>
      <w:r w:rsidR="007B0A9C" w:rsidRPr="00E558AE">
        <w:rPr>
          <w:rFonts w:ascii="Times New Roman" w:eastAsia="Times New Roman" w:hAnsi="Times New Roman" w:cs="Times New Roman"/>
          <w:sz w:val="24"/>
          <w:szCs w:val="24"/>
        </w:rPr>
        <w:t xml:space="preserve"> and the Code has not evolved to meet the new challenges</w:t>
      </w:r>
      <w:r w:rsidR="007132C8" w:rsidRPr="00E558AE">
        <w:rPr>
          <w:rFonts w:ascii="Times New Roman" w:eastAsia="Times New Roman" w:hAnsi="Times New Roman" w:cs="Times New Roman"/>
          <w:sz w:val="24"/>
          <w:szCs w:val="24"/>
        </w:rPr>
        <w:t xml:space="preserve">. </w:t>
      </w:r>
      <w:r w:rsidR="3C502593" w:rsidRPr="00E558AE">
        <w:rPr>
          <w:rFonts w:ascii="Times New Roman" w:hAnsi="Times New Roman" w:cs="Times New Roman"/>
          <w:sz w:val="24"/>
          <w:szCs w:val="24"/>
        </w:rPr>
        <w:t>Globali</w:t>
      </w:r>
      <w:r w:rsidRPr="00E558AE">
        <w:rPr>
          <w:rFonts w:ascii="Times New Roman" w:hAnsi="Times New Roman" w:cs="Times New Roman"/>
          <w:sz w:val="24"/>
          <w:szCs w:val="24"/>
        </w:rPr>
        <w:t>s</w:t>
      </w:r>
      <w:r w:rsidR="3C502593" w:rsidRPr="00E558AE">
        <w:rPr>
          <w:rFonts w:ascii="Times New Roman" w:hAnsi="Times New Roman" w:cs="Times New Roman"/>
          <w:sz w:val="24"/>
          <w:szCs w:val="24"/>
        </w:rPr>
        <w:t>ation</w:t>
      </w:r>
      <w:r w:rsidR="00545A75" w:rsidRPr="00E558AE">
        <w:rPr>
          <w:rFonts w:ascii="Times New Roman" w:hAnsi="Times New Roman" w:cs="Times New Roman"/>
          <w:sz w:val="24"/>
          <w:szCs w:val="24"/>
        </w:rPr>
        <w:t>,</w:t>
      </w:r>
      <w:r w:rsidR="3C502593" w:rsidRPr="00E558AE">
        <w:rPr>
          <w:rFonts w:ascii="Times New Roman" w:hAnsi="Times New Roman" w:cs="Times New Roman"/>
          <w:sz w:val="24"/>
          <w:szCs w:val="24"/>
        </w:rPr>
        <w:t xml:space="preserve"> </w:t>
      </w:r>
      <w:r w:rsidR="3C502593" w:rsidRPr="00A361E0">
        <w:rPr>
          <w:rFonts w:ascii="Times New Roman" w:hAnsi="Times New Roman" w:cs="Times New Roman"/>
          <w:sz w:val="24"/>
          <w:szCs w:val="24"/>
        </w:rPr>
        <w:t>digitali</w:t>
      </w:r>
      <w:r w:rsidRPr="00A361E0">
        <w:rPr>
          <w:rFonts w:ascii="Times New Roman" w:hAnsi="Times New Roman" w:cs="Times New Roman"/>
          <w:sz w:val="24"/>
          <w:szCs w:val="24"/>
        </w:rPr>
        <w:t>s</w:t>
      </w:r>
      <w:r w:rsidR="3C502593" w:rsidRPr="00A361E0">
        <w:rPr>
          <w:rFonts w:ascii="Times New Roman" w:hAnsi="Times New Roman" w:cs="Times New Roman"/>
          <w:sz w:val="24"/>
          <w:szCs w:val="24"/>
        </w:rPr>
        <w:t>ation</w:t>
      </w:r>
      <w:r w:rsidR="3C502593" w:rsidRPr="00E558AE">
        <w:rPr>
          <w:rFonts w:ascii="Times New Roman" w:hAnsi="Times New Roman" w:cs="Times New Roman"/>
          <w:sz w:val="24"/>
          <w:szCs w:val="24"/>
        </w:rPr>
        <w:t xml:space="preserve">, </w:t>
      </w:r>
      <w:r w:rsidR="3C502593" w:rsidRPr="00A361E0">
        <w:rPr>
          <w:rFonts w:ascii="Times New Roman" w:hAnsi="Times New Roman" w:cs="Times New Roman"/>
          <w:sz w:val="24"/>
          <w:szCs w:val="24"/>
        </w:rPr>
        <w:t>the growing role of multinationals in the world economy</w:t>
      </w:r>
      <w:r w:rsidR="007132C8" w:rsidRPr="00E558AE">
        <w:rPr>
          <w:rFonts w:ascii="Times New Roman" w:hAnsi="Times New Roman" w:cs="Times New Roman"/>
          <w:sz w:val="24"/>
          <w:szCs w:val="24"/>
        </w:rPr>
        <w:t>,</w:t>
      </w:r>
      <w:r w:rsidRPr="00E558AE">
        <w:rPr>
          <w:rFonts w:ascii="Times New Roman" w:hAnsi="Times New Roman" w:cs="Times New Roman"/>
          <w:sz w:val="24"/>
          <w:szCs w:val="24"/>
        </w:rPr>
        <w:t xml:space="preserve"> the increased importance of intangible assets</w:t>
      </w:r>
      <w:r w:rsidR="3C502593" w:rsidRPr="00E558AE">
        <w:rPr>
          <w:rFonts w:ascii="Times New Roman" w:hAnsi="Times New Roman" w:cs="Times New Roman"/>
          <w:sz w:val="24"/>
          <w:szCs w:val="24"/>
        </w:rPr>
        <w:t xml:space="preserve">, </w:t>
      </w:r>
      <w:r w:rsidR="007132C8" w:rsidRPr="00E558AE">
        <w:rPr>
          <w:rFonts w:ascii="Times New Roman" w:hAnsi="Times New Roman" w:cs="Times New Roman"/>
          <w:sz w:val="24"/>
          <w:szCs w:val="24"/>
        </w:rPr>
        <w:t>and the reduction of</w:t>
      </w:r>
      <w:r w:rsidR="3C502593" w:rsidRPr="00E558AE">
        <w:rPr>
          <w:rFonts w:ascii="Times New Roman" w:hAnsi="Times New Roman" w:cs="Times New Roman"/>
          <w:sz w:val="24"/>
          <w:szCs w:val="24"/>
        </w:rPr>
        <w:t xml:space="preserve"> barriers</w:t>
      </w:r>
      <w:r w:rsidR="00A361E0">
        <w:rPr>
          <w:rFonts w:ascii="Times New Roman" w:hAnsi="Times New Roman" w:cs="Times New Roman"/>
          <w:sz w:val="24"/>
          <w:szCs w:val="24"/>
        </w:rPr>
        <w:t xml:space="preserve"> for business</w:t>
      </w:r>
      <w:r w:rsidR="3C502593" w:rsidRPr="00E558AE">
        <w:rPr>
          <w:rFonts w:ascii="Times New Roman" w:hAnsi="Times New Roman" w:cs="Times New Roman"/>
          <w:sz w:val="24"/>
          <w:szCs w:val="24"/>
        </w:rPr>
        <w:t xml:space="preserve"> have </w:t>
      </w:r>
      <w:r w:rsidR="007132C8" w:rsidRPr="00E558AE">
        <w:rPr>
          <w:rFonts w:ascii="Times New Roman" w:hAnsi="Times New Roman" w:cs="Times New Roman"/>
          <w:sz w:val="24"/>
          <w:szCs w:val="24"/>
        </w:rPr>
        <w:t xml:space="preserve">all </w:t>
      </w:r>
      <w:r w:rsidR="3C502593" w:rsidRPr="00FA1DD2">
        <w:rPr>
          <w:rFonts w:ascii="Times New Roman" w:hAnsi="Times New Roman" w:cs="Times New Roman"/>
          <w:sz w:val="24"/>
          <w:szCs w:val="24"/>
        </w:rPr>
        <w:t>intensified the pressure on states to</w:t>
      </w:r>
      <w:r w:rsidR="007B0A9C" w:rsidRPr="00E558AE">
        <w:rPr>
          <w:rFonts w:ascii="Times New Roman" w:hAnsi="Times New Roman" w:cs="Times New Roman"/>
          <w:sz w:val="24"/>
          <w:szCs w:val="24"/>
        </w:rPr>
        <w:t xml:space="preserve"> use taxation to</w:t>
      </w:r>
      <w:r w:rsidR="3C502593" w:rsidRPr="00E558AE">
        <w:rPr>
          <w:rFonts w:ascii="Times New Roman" w:hAnsi="Times New Roman" w:cs="Times New Roman"/>
          <w:sz w:val="24"/>
          <w:szCs w:val="24"/>
        </w:rPr>
        <w:t xml:space="preserve"> </w:t>
      </w:r>
      <w:r w:rsidR="00D864CD" w:rsidRPr="00E558AE">
        <w:rPr>
          <w:rFonts w:ascii="Times New Roman" w:hAnsi="Times New Roman" w:cs="Times New Roman"/>
          <w:sz w:val="24"/>
          <w:szCs w:val="24"/>
        </w:rPr>
        <w:t xml:space="preserve">compete for </w:t>
      </w:r>
      <w:r w:rsidR="3C502593" w:rsidRPr="00E558AE">
        <w:rPr>
          <w:rFonts w:ascii="Times New Roman" w:hAnsi="Times New Roman" w:cs="Times New Roman"/>
          <w:sz w:val="24"/>
          <w:szCs w:val="24"/>
        </w:rPr>
        <w:t>foreign investment</w:t>
      </w:r>
      <w:r w:rsidR="007B0A9C" w:rsidRPr="00E558AE">
        <w:rPr>
          <w:rFonts w:ascii="Times New Roman" w:hAnsi="Times New Roman" w:cs="Times New Roman"/>
          <w:sz w:val="24"/>
          <w:szCs w:val="24"/>
        </w:rPr>
        <w:t>.</w:t>
      </w:r>
      <w:r w:rsidR="3C502593" w:rsidRPr="00E558AE">
        <w:rPr>
          <w:rFonts w:ascii="Times New Roman" w:hAnsi="Times New Roman" w:cs="Times New Roman"/>
          <w:sz w:val="24"/>
          <w:szCs w:val="24"/>
        </w:rPr>
        <w:t xml:space="preserve"> </w:t>
      </w:r>
      <w:r w:rsidR="007132C8" w:rsidRPr="00E558AE">
        <w:rPr>
          <w:rFonts w:ascii="Times New Roman" w:hAnsi="Times New Roman" w:cs="Times New Roman"/>
          <w:sz w:val="24"/>
          <w:szCs w:val="24"/>
        </w:rPr>
        <w:t xml:space="preserve">This has prompted tax competition to escalate and evolve, </w:t>
      </w:r>
      <w:r w:rsidR="3C502593" w:rsidRPr="00E558AE">
        <w:rPr>
          <w:rFonts w:ascii="Times New Roman" w:hAnsi="Times New Roman" w:cs="Times New Roman"/>
          <w:sz w:val="24"/>
          <w:szCs w:val="24"/>
        </w:rPr>
        <w:t xml:space="preserve">testing the </w:t>
      </w:r>
      <w:r w:rsidR="0063494B" w:rsidRPr="00E558AE">
        <w:rPr>
          <w:rFonts w:ascii="Times New Roman" w:hAnsi="Times New Roman" w:cs="Times New Roman"/>
          <w:sz w:val="24"/>
          <w:szCs w:val="24"/>
        </w:rPr>
        <w:t xml:space="preserve">very </w:t>
      </w:r>
      <w:r w:rsidR="3C502593" w:rsidRPr="00E558AE">
        <w:rPr>
          <w:rFonts w:ascii="Times New Roman" w:hAnsi="Times New Roman" w:cs="Times New Roman"/>
          <w:sz w:val="24"/>
          <w:szCs w:val="24"/>
        </w:rPr>
        <w:t>parameters of fair</w:t>
      </w:r>
      <w:r w:rsidR="007132C8" w:rsidRPr="00E558AE">
        <w:rPr>
          <w:rFonts w:ascii="Times New Roman" w:hAnsi="Times New Roman" w:cs="Times New Roman"/>
          <w:sz w:val="24"/>
          <w:szCs w:val="24"/>
        </w:rPr>
        <w:t xml:space="preserve">ness. In this context, both </w:t>
      </w:r>
      <w:r w:rsidR="3C502593" w:rsidRPr="00E558AE">
        <w:rPr>
          <w:rFonts w:ascii="Times New Roman" w:hAnsi="Times New Roman" w:cs="Times New Roman"/>
          <w:sz w:val="24"/>
          <w:szCs w:val="24"/>
        </w:rPr>
        <w:t xml:space="preserve">Member States and the </w:t>
      </w:r>
      <w:r w:rsidR="007132C8" w:rsidRPr="00E558AE">
        <w:rPr>
          <w:rFonts w:ascii="Times New Roman" w:hAnsi="Times New Roman" w:cs="Times New Roman"/>
          <w:sz w:val="24"/>
          <w:szCs w:val="24"/>
        </w:rPr>
        <w:t xml:space="preserve">European </w:t>
      </w:r>
      <w:r w:rsidR="3C502593" w:rsidRPr="00E558AE">
        <w:rPr>
          <w:rFonts w:ascii="Times New Roman" w:hAnsi="Times New Roman" w:cs="Times New Roman"/>
          <w:sz w:val="24"/>
          <w:szCs w:val="24"/>
        </w:rPr>
        <w:t>Parliament</w:t>
      </w:r>
      <w:r w:rsidR="007132C8" w:rsidRPr="00E558AE">
        <w:rPr>
          <w:rFonts w:ascii="Times New Roman" w:hAnsi="Times New Roman" w:cs="Times New Roman"/>
          <w:sz w:val="24"/>
          <w:szCs w:val="24"/>
        </w:rPr>
        <w:t xml:space="preserve"> have questioned</w:t>
      </w:r>
      <w:r w:rsidR="3C502593" w:rsidRPr="00E558AE">
        <w:rPr>
          <w:rFonts w:ascii="Times New Roman" w:hAnsi="Times New Roman" w:cs="Times New Roman"/>
          <w:sz w:val="24"/>
          <w:szCs w:val="24"/>
        </w:rPr>
        <w:t xml:space="preserve"> the ability of the Code to tackle </w:t>
      </w:r>
      <w:r w:rsidR="007132C8" w:rsidRPr="00E558AE">
        <w:rPr>
          <w:rFonts w:ascii="Times New Roman" w:hAnsi="Times New Roman" w:cs="Times New Roman"/>
          <w:sz w:val="24"/>
          <w:szCs w:val="24"/>
        </w:rPr>
        <w:t>contemporary forms of h</w:t>
      </w:r>
      <w:r w:rsidR="3C502593" w:rsidRPr="00E558AE">
        <w:rPr>
          <w:rFonts w:ascii="Times New Roman" w:hAnsi="Times New Roman" w:cs="Times New Roman"/>
          <w:sz w:val="24"/>
          <w:szCs w:val="24"/>
        </w:rPr>
        <w:t xml:space="preserve">armful tax competition. </w:t>
      </w:r>
      <w:r w:rsidR="00954A9D">
        <w:rPr>
          <w:rFonts w:ascii="Times New Roman" w:hAnsi="Times New Roman" w:cs="Times New Roman"/>
          <w:sz w:val="24"/>
          <w:szCs w:val="24"/>
        </w:rPr>
        <w:t>T</w:t>
      </w:r>
      <w:r w:rsidR="0024670D" w:rsidRPr="00E558AE">
        <w:rPr>
          <w:rFonts w:ascii="Times New Roman" w:hAnsi="Times New Roman" w:cs="Times New Roman"/>
          <w:sz w:val="24"/>
          <w:szCs w:val="24"/>
        </w:rPr>
        <w:t xml:space="preserve">he effectiveness of the Code </w:t>
      </w:r>
      <w:r w:rsidR="00E64F4B">
        <w:rPr>
          <w:rFonts w:ascii="Times New Roman" w:hAnsi="Times New Roman" w:cs="Times New Roman"/>
          <w:sz w:val="24"/>
          <w:szCs w:val="24"/>
        </w:rPr>
        <w:t>should</w:t>
      </w:r>
      <w:r w:rsidR="007132C8" w:rsidRPr="00E558AE">
        <w:rPr>
          <w:rFonts w:ascii="Times New Roman" w:hAnsi="Times New Roman" w:cs="Times New Roman"/>
          <w:sz w:val="24"/>
          <w:szCs w:val="24"/>
        </w:rPr>
        <w:t xml:space="preserve"> be </w:t>
      </w:r>
      <w:r w:rsidR="00472339">
        <w:rPr>
          <w:rFonts w:ascii="Times New Roman" w:hAnsi="Times New Roman" w:cs="Times New Roman"/>
          <w:sz w:val="24"/>
          <w:szCs w:val="24"/>
        </w:rPr>
        <w:t>substantially improved</w:t>
      </w:r>
      <w:r w:rsidR="007132C8" w:rsidRPr="00E558AE">
        <w:rPr>
          <w:rFonts w:ascii="Times New Roman" w:hAnsi="Times New Roman" w:cs="Times New Roman"/>
          <w:sz w:val="24"/>
          <w:szCs w:val="24"/>
        </w:rPr>
        <w:t>,</w:t>
      </w:r>
      <w:r w:rsidR="0024670D" w:rsidRPr="00E558AE">
        <w:rPr>
          <w:rFonts w:ascii="Times New Roman" w:hAnsi="Times New Roman" w:cs="Times New Roman"/>
          <w:sz w:val="24"/>
          <w:szCs w:val="24"/>
        </w:rPr>
        <w:t xml:space="preserve"> in light of today's realities</w:t>
      </w:r>
      <w:r w:rsidR="006A63F2">
        <w:rPr>
          <w:rFonts w:ascii="Times New Roman" w:hAnsi="Times New Roman" w:cs="Times New Roman"/>
          <w:sz w:val="24"/>
          <w:szCs w:val="24"/>
        </w:rPr>
        <w:t xml:space="preserve"> outlined above</w:t>
      </w:r>
      <w:r w:rsidR="0024670D" w:rsidRPr="00E558AE">
        <w:rPr>
          <w:rFonts w:ascii="Times New Roman" w:hAnsi="Times New Roman" w:cs="Times New Roman"/>
          <w:sz w:val="24"/>
          <w:szCs w:val="24"/>
        </w:rPr>
        <w:t>.</w:t>
      </w:r>
    </w:p>
    <w:p w:rsidR="007132C8" w:rsidRPr="00E558AE" w:rsidRDefault="007132C8" w:rsidP="007C2B84">
      <w:pPr>
        <w:spacing w:after="0" w:line="276" w:lineRule="auto"/>
        <w:jc w:val="both"/>
        <w:rPr>
          <w:rFonts w:ascii="Times New Roman" w:hAnsi="Times New Roman" w:cs="Times New Roman"/>
          <w:sz w:val="24"/>
          <w:szCs w:val="24"/>
        </w:rPr>
      </w:pPr>
    </w:p>
    <w:p w:rsidR="00867717" w:rsidRPr="00E558AE" w:rsidRDefault="0067390A" w:rsidP="007C2B84">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2</w:t>
      </w:r>
      <w:r w:rsidR="00867717" w:rsidRPr="00E558AE">
        <w:rPr>
          <w:rFonts w:ascii="Times New Roman" w:hAnsi="Times New Roman" w:cs="Times New Roman"/>
          <w:i/>
          <w:sz w:val="24"/>
          <w:szCs w:val="24"/>
        </w:rPr>
        <w:t xml:space="preserve"> (a) Timing the reform for maximum effect</w:t>
      </w:r>
    </w:p>
    <w:p w:rsidR="00867717" w:rsidRPr="00E558AE" w:rsidRDefault="00867717" w:rsidP="007C2B84">
      <w:pPr>
        <w:spacing w:after="0" w:line="276" w:lineRule="auto"/>
        <w:jc w:val="both"/>
        <w:rPr>
          <w:rFonts w:ascii="Times New Roman" w:hAnsi="Times New Roman" w:cs="Times New Roman"/>
          <w:sz w:val="24"/>
          <w:szCs w:val="24"/>
        </w:rPr>
      </w:pPr>
    </w:p>
    <w:p w:rsidR="007132C8" w:rsidRPr="00E558AE" w:rsidRDefault="007B0A9C" w:rsidP="007C2B84">
      <w:pPr>
        <w:spacing w:after="0" w:line="276" w:lineRule="auto"/>
        <w:jc w:val="both"/>
        <w:rPr>
          <w:rFonts w:ascii="Times New Roman" w:hAnsi="Times New Roman" w:cs="Times New Roman"/>
          <w:sz w:val="24"/>
          <w:szCs w:val="24"/>
        </w:rPr>
      </w:pPr>
      <w:r w:rsidRPr="00E558AE">
        <w:rPr>
          <w:rFonts w:ascii="Times New Roman" w:hAnsi="Times New Roman" w:cs="Times New Roman"/>
          <w:sz w:val="24"/>
          <w:szCs w:val="24"/>
        </w:rPr>
        <w:t>T</w:t>
      </w:r>
      <w:r w:rsidR="007132C8" w:rsidRPr="00E558AE">
        <w:rPr>
          <w:rFonts w:ascii="Times New Roman" w:hAnsi="Times New Roman" w:cs="Times New Roman"/>
          <w:sz w:val="24"/>
          <w:szCs w:val="24"/>
        </w:rPr>
        <w:t>he timing of the Code reform must be carefully considered</w:t>
      </w:r>
      <w:r w:rsidRPr="00E558AE">
        <w:rPr>
          <w:rFonts w:ascii="Times New Roman" w:hAnsi="Times New Roman" w:cs="Times New Roman"/>
          <w:sz w:val="24"/>
          <w:szCs w:val="24"/>
        </w:rPr>
        <w:t>, to ensure that the result is as ambitious and effective as possible</w:t>
      </w:r>
      <w:r w:rsidR="007132C8" w:rsidRPr="00E558AE">
        <w:rPr>
          <w:rFonts w:ascii="Times New Roman" w:hAnsi="Times New Roman" w:cs="Times New Roman"/>
          <w:sz w:val="24"/>
          <w:szCs w:val="24"/>
        </w:rPr>
        <w:t>. The ongoing international discussions on the reform of corporate taxation</w:t>
      </w:r>
      <w:r w:rsidR="006A63F2">
        <w:rPr>
          <w:rFonts w:ascii="Times New Roman" w:hAnsi="Times New Roman" w:cs="Times New Roman"/>
          <w:sz w:val="24"/>
          <w:szCs w:val="24"/>
        </w:rPr>
        <w:t>, steered by the OECD,</w:t>
      </w:r>
      <w:r w:rsidR="007132C8" w:rsidRPr="00E558AE">
        <w:rPr>
          <w:rFonts w:ascii="Times New Roman" w:hAnsi="Times New Roman" w:cs="Times New Roman"/>
          <w:sz w:val="24"/>
          <w:szCs w:val="24"/>
        </w:rPr>
        <w:t xml:space="preserve"> could have a major impact on the accepted limits of tax competition in the future. In particular, if minimum effective taxation becomes a global standard, there will be a new floor on how low countries can go in using their tax rates to attract foreign businesses and investment. This will clearly </w:t>
      </w:r>
      <w:r w:rsidR="00756D86">
        <w:rPr>
          <w:rFonts w:ascii="Times New Roman" w:hAnsi="Times New Roman" w:cs="Times New Roman"/>
          <w:sz w:val="24"/>
          <w:szCs w:val="24"/>
        </w:rPr>
        <w:t>have</w:t>
      </w:r>
      <w:r w:rsidR="00756D86" w:rsidRPr="00E558AE">
        <w:rPr>
          <w:rFonts w:ascii="Times New Roman" w:hAnsi="Times New Roman" w:cs="Times New Roman"/>
          <w:sz w:val="24"/>
          <w:szCs w:val="24"/>
        </w:rPr>
        <w:t xml:space="preserve"> </w:t>
      </w:r>
      <w:r w:rsidR="007132C8" w:rsidRPr="00E558AE">
        <w:rPr>
          <w:rFonts w:ascii="Times New Roman" w:hAnsi="Times New Roman" w:cs="Times New Roman"/>
          <w:sz w:val="24"/>
          <w:szCs w:val="24"/>
        </w:rPr>
        <w:t xml:space="preserve">to be integrated into the EU’s </w:t>
      </w:r>
      <w:r w:rsidR="00A361E0">
        <w:rPr>
          <w:rFonts w:ascii="Times New Roman" w:hAnsi="Times New Roman" w:cs="Times New Roman"/>
          <w:sz w:val="24"/>
          <w:szCs w:val="24"/>
        </w:rPr>
        <w:t>actions</w:t>
      </w:r>
      <w:r w:rsidR="00A361E0" w:rsidRPr="00E558AE">
        <w:rPr>
          <w:rFonts w:ascii="Times New Roman" w:hAnsi="Times New Roman" w:cs="Times New Roman"/>
          <w:sz w:val="24"/>
          <w:szCs w:val="24"/>
        </w:rPr>
        <w:t xml:space="preserve"> </w:t>
      </w:r>
      <w:r w:rsidR="007132C8" w:rsidRPr="00E558AE">
        <w:rPr>
          <w:rFonts w:ascii="Times New Roman" w:hAnsi="Times New Roman" w:cs="Times New Roman"/>
          <w:sz w:val="24"/>
          <w:szCs w:val="24"/>
        </w:rPr>
        <w:t xml:space="preserve">on fair </w:t>
      </w:r>
      <w:r w:rsidR="000D74A9">
        <w:rPr>
          <w:rFonts w:ascii="Times New Roman" w:hAnsi="Times New Roman" w:cs="Times New Roman"/>
          <w:sz w:val="24"/>
          <w:szCs w:val="24"/>
        </w:rPr>
        <w:t xml:space="preserve">tax </w:t>
      </w:r>
      <w:r w:rsidR="007132C8" w:rsidRPr="00E558AE">
        <w:rPr>
          <w:rFonts w:ascii="Times New Roman" w:hAnsi="Times New Roman" w:cs="Times New Roman"/>
          <w:sz w:val="24"/>
          <w:szCs w:val="24"/>
        </w:rPr>
        <w:t xml:space="preserve">competition, within a reformed Code of Conduct. </w:t>
      </w:r>
      <w:r w:rsidRPr="00E558AE">
        <w:rPr>
          <w:rFonts w:ascii="Times New Roman" w:hAnsi="Times New Roman" w:cs="Times New Roman"/>
          <w:sz w:val="24"/>
          <w:szCs w:val="24"/>
        </w:rPr>
        <w:t>At the same time</w:t>
      </w:r>
      <w:r w:rsidR="007132C8" w:rsidRPr="00E558AE">
        <w:rPr>
          <w:rFonts w:ascii="Times New Roman" w:hAnsi="Times New Roman" w:cs="Times New Roman"/>
          <w:sz w:val="24"/>
          <w:szCs w:val="24"/>
        </w:rPr>
        <w:t xml:space="preserve">, if there is no consensus on minimum taxation at global level, </w:t>
      </w:r>
      <w:r w:rsidR="00740AF1">
        <w:rPr>
          <w:rFonts w:ascii="Times New Roman" w:hAnsi="Times New Roman" w:cs="Times New Roman"/>
          <w:sz w:val="24"/>
          <w:szCs w:val="24"/>
        </w:rPr>
        <w:t xml:space="preserve">this concept </w:t>
      </w:r>
      <w:r w:rsidR="00831766" w:rsidRPr="00671D9B">
        <w:rPr>
          <w:rFonts w:ascii="Times New Roman" w:hAnsi="Times New Roman" w:cs="Times New Roman"/>
          <w:sz w:val="24"/>
          <w:szCs w:val="24"/>
        </w:rPr>
        <w:t>needs to</w:t>
      </w:r>
      <w:r w:rsidR="00740AF1">
        <w:rPr>
          <w:rFonts w:ascii="Times New Roman" w:hAnsi="Times New Roman" w:cs="Times New Roman"/>
          <w:sz w:val="24"/>
          <w:szCs w:val="24"/>
        </w:rPr>
        <w:t xml:space="preserve"> be introduced in the Code </w:t>
      </w:r>
      <w:r w:rsidR="007132C8" w:rsidRPr="00A361E0">
        <w:rPr>
          <w:rFonts w:ascii="Times New Roman" w:hAnsi="Times New Roman" w:cs="Times New Roman"/>
          <w:sz w:val="24"/>
          <w:szCs w:val="24"/>
        </w:rPr>
        <w:t xml:space="preserve"> as an EU standard</w:t>
      </w:r>
      <w:r w:rsidRPr="00A361E0">
        <w:rPr>
          <w:rFonts w:ascii="Times New Roman" w:hAnsi="Times New Roman" w:cs="Times New Roman"/>
          <w:sz w:val="24"/>
          <w:szCs w:val="24"/>
        </w:rPr>
        <w:t xml:space="preserve">, </w:t>
      </w:r>
      <w:r w:rsidR="00740AF1">
        <w:rPr>
          <w:rFonts w:ascii="Times New Roman" w:hAnsi="Times New Roman" w:cs="Times New Roman"/>
          <w:sz w:val="24"/>
          <w:szCs w:val="24"/>
        </w:rPr>
        <w:t>to modernize and clarify the concept of harmful tax competition and</w:t>
      </w:r>
      <w:r w:rsidRPr="00A361E0">
        <w:rPr>
          <w:rFonts w:ascii="Times New Roman" w:hAnsi="Times New Roman" w:cs="Times New Roman"/>
          <w:sz w:val="24"/>
          <w:szCs w:val="24"/>
        </w:rPr>
        <w:t xml:space="preserve"> to e</w:t>
      </w:r>
      <w:r w:rsidR="00C938DA" w:rsidRPr="00A361E0">
        <w:rPr>
          <w:rFonts w:ascii="Times New Roman" w:hAnsi="Times New Roman" w:cs="Times New Roman"/>
          <w:sz w:val="24"/>
          <w:szCs w:val="24"/>
        </w:rPr>
        <w:t xml:space="preserve">nsure that all </w:t>
      </w:r>
      <w:r w:rsidR="00756D86">
        <w:rPr>
          <w:rFonts w:ascii="Times New Roman" w:hAnsi="Times New Roman" w:cs="Times New Roman"/>
          <w:sz w:val="24"/>
          <w:szCs w:val="24"/>
        </w:rPr>
        <w:t>businesses</w:t>
      </w:r>
      <w:r w:rsidR="00756D86" w:rsidRPr="00A361E0">
        <w:rPr>
          <w:rFonts w:ascii="Times New Roman" w:hAnsi="Times New Roman" w:cs="Times New Roman"/>
          <w:sz w:val="24"/>
          <w:szCs w:val="24"/>
        </w:rPr>
        <w:t xml:space="preserve"> </w:t>
      </w:r>
      <w:r w:rsidR="00C938DA" w:rsidRPr="00A361E0">
        <w:rPr>
          <w:rFonts w:ascii="Times New Roman" w:hAnsi="Times New Roman" w:cs="Times New Roman"/>
          <w:sz w:val="24"/>
          <w:szCs w:val="24"/>
        </w:rPr>
        <w:t xml:space="preserve">pay </w:t>
      </w:r>
      <w:r w:rsidR="00756D86">
        <w:rPr>
          <w:rFonts w:ascii="Times New Roman" w:hAnsi="Times New Roman" w:cs="Times New Roman"/>
          <w:sz w:val="24"/>
          <w:szCs w:val="24"/>
        </w:rPr>
        <w:t>their</w:t>
      </w:r>
      <w:r w:rsidR="00756D86" w:rsidRPr="00A361E0">
        <w:rPr>
          <w:rFonts w:ascii="Times New Roman" w:hAnsi="Times New Roman" w:cs="Times New Roman"/>
          <w:sz w:val="24"/>
          <w:szCs w:val="24"/>
        </w:rPr>
        <w:t xml:space="preserve"> </w:t>
      </w:r>
      <w:r w:rsidR="00C938DA" w:rsidRPr="00A361E0">
        <w:rPr>
          <w:rFonts w:ascii="Times New Roman" w:hAnsi="Times New Roman" w:cs="Times New Roman"/>
          <w:sz w:val="24"/>
          <w:szCs w:val="24"/>
        </w:rPr>
        <w:t xml:space="preserve">fair </w:t>
      </w:r>
      <w:r w:rsidRPr="00A361E0">
        <w:rPr>
          <w:rFonts w:ascii="Times New Roman" w:hAnsi="Times New Roman" w:cs="Times New Roman"/>
          <w:sz w:val="24"/>
          <w:szCs w:val="24"/>
        </w:rPr>
        <w:t>amount of tax when they generate profits in the Single Market.</w:t>
      </w:r>
    </w:p>
    <w:p w:rsidR="007132C8" w:rsidRPr="00E558AE" w:rsidRDefault="007132C8" w:rsidP="007C2B84">
      <w:pPr>
        <w:spacing w:after="0" w:line="276" w:lineRule="auto"/>
        <w:jc w:val="both"/>
        <w:rPr>
          <w:rFonts w:ascii="Times New Roman" w:hAnsi="Times New Roman" w:cs="Times New Roman"/>
          <w:sz w:val="24"/>
          <w:szCs w:val="24"/>
        </w:rPr>
      </w:pPr>
    </w:p>
    <w:p w:rsidR="00867717" w:rsidRPr="00E558AE" w:rsidRDefault="0067390A" w:rsidP="007C2B84">
      <w:pPr>
        <w:spacing w:line="276" w:lineRule="auto"/>
        <w:jc w:val="both"/>
        <w:rPr>
          <w:rFonts w:ascii="Times New Roman" w:hAnsi="Times New Roman" w:cs="Times New Roman"/>
          <w:i/>
          <w:sz w:val="24"/>
          <w:szCs w:val="24"/>
        </w:rPr>
      </w:pPr>
      <w:r>
        <w:rPr>
          <w:rFonts w:ascii="Times New Roman" w:hAnsi="Times New Roman" w:cs="Times New Roman"/>
          <w:i/>
          <w:sz w:val="24"/>
          <w:szCs w:val="24"/>
        </w:rPr>
        <w:t>2</w:t>
      </w:r>
      <w:r w:rsidR="00867717" w:rsidRPr="00E558AE">
        <w:rPr>
          <w:rFonts w:ascii="Times New Roman" w:hAnsi="Times New Roman" w:cs="Times New Roman"/>
          <w:i/>
          <w:sz w:val="24"/>
          <w:szCs w:val="24"/>
        </w:rPr>
        <w:t xml:space="preserve"> (b) Reviewing the scope and criteria of the Code </w:t>
      </w:r>
    </w:p>
    <w:p w:rsidR="00CC6123" w:rsidRPr="00E558AE" w:rsidRDefault="007132C8" w:rsidP="007C2B84">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 xml:space="preserve">In the meantime, however, there are a number </w:t>
      </w:r>
      <w:r w:rsidR="006A63F2">
        <w:rPr>
          <w:rFonts w:ascii="Times New Roman" w:hAnsi="Times New Roman" w:cs="Times New Roman"/>
          <w:sz w:val="24"/>
          <w:szCs w:val="24"/>
        </w:rPr>
        <w:t xml:space="preserve">of </w:t>
      </w:r>
      <w:r w:rsidRPr="00E558AE">
        <w:rPr>
          <w:rFonts w:ascii="Times New Roman" w:hAnsi="Times New Roman" w:cs="Times New Roman"/>
          <w:sz w:val="24"/>
          <w:szCs w:val="24"/>
        </w:rPr>
        <w:t xml:space="preserve">issues that can already be considered in the context of a future reform of the Code. </w:t>
      </w:r>
    </w:p>
    <w:p w:rsidR="007B0A9C" w:rsidRPr="00E558AE" w:rsidRDefault="007B0A9C" w:rsidP="007C2B84">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 xml:space="preserve">For a start, the scope of the Code should be widened, to cover </w:t>
      </w:r>
      <w:r w:rsidR="00F2350D" w:rsidRPr="00E558AE">
        <w:rPr>
          <w:rFonts w:ascii="Times New Roman" w:hAnsi="Times New Roman" w:cs="Times New Roman"/>
          <w:sz w:val="24"/>
          <w:szCs w:val="24"/>
        </w:rPr>
        <w:t>all</w:t>
      </w:r>
      <w:r w:rsidRPr="00E558AE">
        <w:rPr>
          <w:rFonts w:ascii="Times New Roman" w:hAnsi="Times New Roman" w:cs="Times New Roman"/>
          <w:sz w:val="24"/>
          <w:szCs w:val="24"/>
        </w:rPr>
        <w:t xml:space="preserve"> measures which pose a </w:t>
      </w:r>
      <w:r w:rsidR="00C938DA" w:rsidRPr="00E558AE">
        <w:rPr>
          <w:rFonts w:ascii="Times New Roman" w:hAnsi="Times New Roman" w:cs="Times New Roman"/>
          <w:sz w:val="24"/>
          <w:szCs w:val="24"/>
        </w:rPr>
        <w:t>r</w:t>
      </w:r>
      <w:r w:rsidRPr="00E558AE">
        <w:rPr>
          <w:rFonts w:ascii="Times New Roman" w:hAnsi="Times New Roman" w:cs="Times New Roman"/>
          <w:sz w:val="24"/>
          <w:szCs w:val="24"/>
        </w:rPr>
        <w:t xml:space="preserve">isk to fair tax competition. </w:t>
      </w:r>
      <w:r w:rsidR="00AB5855">
        <w:rPr>
          <w:rFonts w:ascii="Times New Roman" w:hAnsi="Times New Roman" w:cs="Times New Roman"/>
          <w:sz w:val="24"/>
          <w:szCs w:val="24"/>
        </w:rPr>
        <w:t xml:space="preserve">The definition of the scope should be amended to cover further types of regimes and general aspects of the national corporate tax systems as well as relevant taxes </w:t>
      </w:r>
      <w:r w:rsidR="003511F9">
        <w:rPr>
          <w:rFonts w:ascii="Times New Roman" w:hAnsi="Times New Roman" w:cs="Times New Roman"/>
          <w:sz w:val="24"/>
          <w:szCs w:val="24"/>
        </w:rPr>
        <w:t xml:space="preserve">other </w:t>
      </w:r>
      <w:r w:rsidR="00AB5855">
        <w:rPr>
          <w:rFonts w:ascii="Times New Roman" w:hAnsi="Times New Roman" w:cs="Times New Roman"/>
          <w:sz w:val="24"/>
          <w:szCs w:val="24"/>
        </w:rPr>
        <w:t xml:space="preserve">than corporate tax. </w:t>
      </w:r>
      <w:r w:rsidRPr="00E558AE">
        <w:rPr>
          <w:rFonts w:ascii="Times New Roman" w:hAnsi="Times New Roman" w:cs="Times New Roman"/>
          <w:sz w:val="24"/>
          <w:szCs w:val="24"/>
        </w:rPr>
        <w:t>Under the current scope of the Code, there are too many types of harmful regimes that can escape assessment. For example, the Code only looks at specific tax measures and regimes. However, increasingly</w:t>
      </w:r>
      <w:r w:rsidR="00C938DA" w:rsidRPr="00E558AE">
        <w:rPr>
          <w:rFonts w:ascii="Times New Roman" w:hAnsi="Times New Roman" w:cs="Times New Roman"/>
          <w:sz w:val="24"/>
          <w:szCs w:val="24"/>
        </w:rPr>
        <w:t>,</w:t>
      </w:r>
      <w:r w:rsidRPr="00E558AE">
        <w:rPr>
          <w:rFonts w:ascii="Times New Roman" w:hAnsi="Times New Roman" w:cs="Times New Roman"/>
          <w:sz w:val="24"/>
          <w:szCs w:val="24"/>
        </w:rPr>
        <w:t xml:space="preserve"> countries are using the general structures of their tax systems to engage in tax competition</w:t>
      </w:r>
      <w:r w:rsidR="00545A75" w:rsidRPr="00E558AE">
        <w:rPr>
          <w:rFonts w:ascii="Times New Roman" w:hAnsi="Times New Roman" w:cs="Times New Roman"/>
          <w:sz w:val="24"/>
          <w:szCs w:val="24"/>
        </w:rPr>
        <w:t xml:space="preserve">, </w:t>
      </w:r>
      <w:r w:rsidR="00B845D8">
        <w:rPr>
          <w:rFonts w:ascii="Times New Roman" w:hAnsi="Times New Roman" w:cs="Times New Roman"/>
          <w:sz w:val="24"/>
          <w:szCs w:val="24"/>
        </w:rPr>
        <w:t>for instance</w:t>
      </w:r>
      <w:r w:rsidR="00545A75" w:rsidRPr="00661B87">
        <w:rPr>
          <w:rFonts w:ascii="Times New Roman" w:hAnsi="Times New Roman" w:cs="Times New Roman"/>
          <w:sz w:val="24"/>
          <w:szCs w:val="24"/>
        </w:rPr>
        <w:t xml:space="preserve"> </w:t>
      </w:r>
      <w:r w:rsidR="001E22B2" w:rsidRPr="00661B87">
        <w:rPr>
          <w:rFonts w:ascii="Times New Roman" w:hAnsi="Times New Roman" w:cs="Times New Roman"/>
          <w:sz w:val="24"/>
          <w:szCs w:val="24"/>
        </w:rPr>
        <w:t>by</w:t>
      </w:r>
      <w:r w:rsidR="00661B87">
        <w:rPr>
          <w:rFonts w:ascii="Times New Roman" w:hAnsi="Times New Roman" w:cs="Times New Roman"/>
          <w:sz w:val="24"/>
          <w:szCs w:val="24"/>
        </w:rPr>
        <w:t xml:space="preserve"> </w:t>
      </w:r>
      <w:r w:rsidR="001E22B2" w:rsidRPr="00661B87">
        <w:rPr>
          <w:rFonts w:ascii="Times New Roman" w:hAnsi="Times New Roman" w:cs="Times New Roman"/>
          <w:sz w:val="24"/>
          <w:szCs w:val="24"/>
        </w:rPr>
        <w:t xml:space="preserve">providing </w:t>
      </w:r>
      <w:r w:rsidR="00FE1A92">
        <w:rPr>
          <w:rFonts w:ascii="Times New Roman" w:hAnsi="Times New Roman" w:cs="Times New Roman"/>
          <w:sz w:val="24"/>
          <w:szCs w:val="24"/>
        </w:rPr>
        <w:t>particular</w:t>
      </w:r>
      <w:r w:rsidR="00DA06D9">
        <w:rPr>
          <w:rFonts w:ascii="Times New Roman" w:hAnsi="Times New Roman" w:cs="Times New Roman"/>
          <w:sz w:val="24"/>
          <w:szCs w:val="24"/>
        </w:rPr>
        <w:t xml:space="preserve"> </w:t>
      </w:r>
      <w:r w:rsidR="00DA06D9" w:rsidRPr="00DA06D9">
        <w:rPr>
          <w:rFonts w:ascii="Times New Roman" w:hAnsi="Times New Roman" w:cs="Times New Roman"/>
          <w:sz w:val="24"/>
          <w:szCs w:val="24"/>
        </w:rPr>
        <w:t xml:space="preserve">tax residency rules </w:t>
      </w:r>
      <w:r w:rsidR="00DA06D9">
        <w:rPr>
          <w:rFonts w:ascii="Times New Roman" w:hAnsi="Times New Roman" w:cs="Times New Roman"/>
          <w:sz w:val="24"/>
          <w:szCs w:val="24"/>
        </w:rPr>
        <w:t>which can lead to</w:t>
      </w:r>
      <w:r w:rsidR="00DA06D9" w:rsidRPr="00DA06D9">
        <w:rPr>
          <w:rFonts w:ascii="Times New Roman" w:hAnsi="Times New Roman" w:cs="Times New Roman"/>
          <w:sz w:val="24"/>
          <w:szCs w:val="24"/>
        </w:rPr>
        <w:t xml:space="preserve"> double non-taxation or </w:t>
      </w:r>
      <w:r w:rsidR="008639EB" w:rsidRPr="00661B87">
        <w:rPr>
          <w:rFonts w:ascii="Times New Roman" w:hAnsi="Times New Roman" w:cs="Times New Roman"/>
          <w:sz w:val="24"/>
          <w:szCs w:val="24"/>
        </w:rPr>
        <w:t xml:space="preserve">tax </w:t>
      </w:r>
      <w:r w:rsidR="001E22B2" w:rsidRPr="00661B87">
        <w:rPr>
          <w:rFonts w:ascii="Times New Roman" w:hAnsi="Times New Roman" w:cs="Times New Roman"/>
          <w:sz w:val="24"/>
          <w:szCs w:val="24"/>
        </w:rPr>
        <w:t>exemptions for</w:t>
      </w:r>
      <w:r w:rsidR="00545A75" w:rsidRPr="00661B87">
        <w:rPr>
          <w:rFonts w:ascii="Times New Roman" w:hAnsi="Times New Roman" w:cs="Times New Roman"/>
          <w:sz w:val="24"/>
          <w:szCs w:val="24"/>
        </w:rPr>
        <w:t xml:space="preserve"> </w:t>
      </w:r>
      <w:r w:rsidR="001E22B2" w:rsidRPr="00661B87">
        <w:rPr>
          <w:rFonts w:ascii="Times New Roman" w:hAnsi="Times New Roman" w:cs="Times New Roman"/>
          <w:sz w:val="24"/>
          <w:szCs w:val="24"/>
        </w:rPr>
        <w:t>foreign</w:t>
      </w:r>
      <w:r w:rsidR="00545A75" w:rsidRPr="00661B87">
        <w:rPr>
          <w:rFonts w:ascii="Times New Roman" w:hAnsi="Times New Roman" w:cs="Times New Roman"/>
          <w:sz w:val="24"/>
          <w:szCs w:val="24"/>
        </w:rPr>
        <w:t xml:space="preserve"> income</w:t>
      </w:r>
      <w:r w:rsidR="001E22B2" w:rsidRPr="00661B87">
        <w:rPr>
          <w:rFonts w:ascii="Times New Roman" w:hAnsi="Times New Roman" w:cs="Times New Roman"/>
          <w:sz w:val="24"/>
          <w:szCs w:val="24"/>
        </w:rPr>
        <w:t>,</w:t>
      </w:r>
      <w:r w:rsidR="006709D1" w:rsidRPr="00661B87">
        <w:rPr>
          <w:rFonts w:ascii="Times New Roman" w:hAnsi="Times New Roman" w:cs="Times New Roman"/>
          <w:sz w:val="24"/>
          <w:szCs w:val="24"/>
        </w:rPr>
        <w:t xml:space="preserve"> which</w:t>
      </w:r>
      <w:r w:rsidR="001E22B2" w:rsidRPr="00661B87">
        <w:rPr>
          <w:rFonts w:ascii="Times New Roman" w:hAnsi="Times New Roman" w:cs="Times New Roman"/>
          <w:sz w:val="24"/>
          <w:szCs w:val="24"/>
        </w:rPr>
        <w:t xml:space="preserve"> </w:t>
      </w:r>
      <w:r w:rsidR="00435CD5" w:rsidRPr="00661B87">
        <w:rPr>
          <w:rFonts w:ascii="Times New Roman" w:hAnsi="Times New Roman" w:cs="Times New Roman"/>
          <w:sz w:val="24"/>
          <w:szCs w:val="24"/>
        </w:rPr>
        <w:t xml:space="preserve">may </w:t>
      </w:r>
      <w:r w:rsidR="00662FEC" w:rsidRPr="00661B87">
        <w:rPr>
          <w:rFonts w:ascii="Times New Roman" w:hAnsi="Times New Roman" w:cs="Times New Roman"/>
          <w:sz w:val="24"/>
          <w:szCs w:val="24"/>
        </w:rPr>
        <w:t>favour</w:t>
      </w:r>
      <w:r w:rsidR="00435CD5" w:rsidRPr="00661B87">
        <w:rPr>
          <w:rFonts w:ascii="Times New Roman" w:hAnsi="Times New Roman" w:cs="Times New Roman"/>
          <w:sz w:val="24"/>
          <w:szCs w:val="24"/>
        </w:rPr>
        <w:t xml:space="preserve"> harmful tax practices </w:t>
      </w:r>
      <w:r w:rsidR="001E22B2" w:rsidRPr="00661B87">
        <w:rPr>
          <w:rFonts w:ascii="Times New Roman" w:hAnsi="Times New Roman" w:cs="Times New Roman"/>
          <w:sz w:val="24"/>
          <w:szCs w:val="24"/>
        </w:rPr>
        <w:t>without appropriate safeguards</w:t>
      </w:r>
      <w:r w:rsidR="00545A75" w:rsidRPr="00E558AE">
        <w:rPr>
          <w:rFonts w:ascii="Times New Roman" w:hAnsi="Times New Roman" w:cs="Times New Roman"/>
          <w:sz w:val="24"/>
          <w:szCs w:val="24"/>
        </w:rPr>
        <w:t>.</w:t>
      </w:r>
      <w:r w:rsidRPr="00E558AE">
        <w:rPr>
          <w:rFonts w:ascii="Times New Roman" w:hAnsi="Times New Roman" w:cs="Times New Roman"/>
          <w:sz w:val="24"/>
          <w:szCs w:val="24"/>
        </w:rPr>
        <w:t xml:space="preserve"> In addition, the Code does not cover special citizenship schemes or measures to attract</w:t>
      </w:r>
      <w:r w:rsidR="004A4D06" w:rsidRPr="00671D9B">
        <w:rPr>
          <w:rFonts w:ascii="Times New Roman" w:hAnsi="Times New Roman"/>
          <w:sz w:val="24"/>
        </w:rPr>
        <w:t xml:space="preserve"> </w:t>
      </w:r>
      <w:r w:rsidR="00F27524">
        <w:rPr>
          <w:rFonts w:ascii="Times New Roman" w:hAnsi="Times New Roman" w:cs="Times New Roman"/>
          <w:sz w:val="24"/>
          <w:szCs w:val="24"/>
        </w:rPr>
        <w:t>expatriates or</w:t>
      </w:r>
      <w:r w:rsidR="004A4D06">
        <w:rPr>
          <w:rFonts w:ascii="Times New Roman" w:hAnsi="Times New Roman" w:cs="Times New Roman"/>
          <w:color w:val="FF0000"/>
          <w:sz w:val="24"/>
          <w:szCs w:val="24"/>
        </w:rPr>
        <w:t xml:space="preserve"> </w:t>
      </w:r>
      <w:r w:rsidR="00A361E0">
        <w:rPr>
          <w:rFonts w:ascii="Times New Roman" w:hAnsi="Times New Roman" w:cs="Times New Roman"/>
          <w:sz w:val="24"/>
          <w:szCs w:val="24"/>
        </w:rPr>
        <w:t>wealthy individuals</w:t>
      </w:r>
      <w:r w:rsidRPr="00E558AE">
        <w:rPr>
          <w:rFonts w:ascii="Times New Roman" w:hAnsi="Times New Roman" w:cs="Times New Roman"/>
          <w:sz w:val="24"/>
          <w:szCs w:val="24"/>
        </w:rPr>
        <w:t>, eve</w:t>
      </w:r>
      <w:r w:rsidR="00A0406E">
        <w:rPr>
          <w:rFonts w:ascii="Times New Roman" w:hAnsi="Times New Roman" w:cs="Times New Roman"/>
          <w:sz w:val="24"/>
          <w:szCs w:val="24"/>
        </w:rPr>
        <w:t xml:space="preserve">n though these are often a back </w:t>
      </w:r>
      <w:r w:rsidRPr="00E558AE">
        <w:rPr>
          <w:rFonts w:ascii="Times New Roman" w:hAnsi="Times New Roman" w:cs="Times New Roman"/>
          <w:sz w:val="24"/>
          <w:szCs w:val="24"/>
        </w:rPr>
        <w:t>door to unfairly attracting business and investment from other countries. Recent studies by the OECD</w:t>
      </w:r>
      <w:r w:rsidR="006A63F2">
        <w:rPr>
          <w:rStyle w:val="FootnoteReference"/>
          <w:rFonts w:ascii="Times New Roman" w:hAnsi="Times New Roman" w:cs="Times New Roman"/>
          <w:sz w:val="24"/>
          <w:szCs w:val="24"/>
        </w:rPr>
        <w:footnoteReference w:id="8"/>
      </w:r>
      <w:r w:rsidRPr="00E558AE">
        <w:rPr>
          <w:rFonts w:ascii="Times New Roman" w:hAnsi="Times New Roman" w:cs="Times New Roman"/>
          <w:sz w:val="24"/>
          <w:szCs w:val="24"/>
        </w:rPr>
        <w:t xml:space="preserve"> also suggest that citizenship schemes may be used to avoid tax transparency rules. It </w:t>
      </w:r>
      <w:r w:rsidR="00954A9D">
        <w:rPr>
          <w:rFonts w:ascii="Times New Roman" w:hAnsi="Times New Roman" w:cs="Times New Roman"/>
          <w:sz w:val="24"/>
          <w:szCs w:val="24"/>
        </w:rPr>
        <w:t>is</w:t>
      </w:r>
      <w:r w:rsidR="00954A9D" w:rsidRPr="00E558AE">
        <w:rPr>
          <w:rFonts w:ascii="Times New Roman" w:hAnsi="Times New Roman" w:cs="Times New Roman"/>
          <w:sz w:val="24"/>
          <w:szCs w:val="24"/>
        </w:rPr>
        <w:t xml:space="preserve"> </w:t>
      </w:r>
      <w:r w:rsidRPr="00E558AE">
        <w:rPr>
          <w:rFonts w:ascii="Times New Roman" w:hAnsi="Times New Roman" w:cs="Times New Roman"/>
          <w:sz w:val="24"/>
          <w:szCs w:val="24"/>
        </w:rPr>
        <w:t xml:space="preserve">therefore </w:t>
      </w:r>
      <w:r w:rsidR="00954A9D">
        <w:rPr>
          <w:rFonts w:ascii="Times New Roman" w:hAnsi="Times New Roman" w:cs="Times New Roman"/>
          <w:sz w:val="24"/>
          <w:szCs w:val="24"/>
        </w:rPr>
        <w:t>important</w:t>
      </w:r>
      <w:r w:rsidRPr="00E558AE">
        <w:rPr>
          <w:rFonts w:ascii="Times New Roman" w:hAnsi="Times New Roman" w:cs="Times New Roman"/>
          <w:sz w:val="24"/>
          <w:szCs w:val="24"/>
        </w:rPr>
        <w:t xml:space="preserve"> to examine the use of citizenship schemes such as Golden Visas when reforming the Code. </w:t>
      </w:r>
    </w:p>
    <w:p w:rsidR="007B0A9C" w:rsidRPr="00E558AE" w:rsidRDefault="007B0A9C" w:rsidP="007C2B84">
      <w:pPr>
        <w:spacing w:line="276" w:lineRule="auto"/>
        <w:jc w:val="both"/>
        <w:rPr>
          <w:rFonts w:ascii="Times New Roman" w:hAnsi="Times New Roman" w:cs="Times New Roman"/>
          <w:sz w:val="24"/>
          <w:szCs w:val="24"/>
        </w:rPr>
      </w:pPr>
      <w:r w:rsidRPr="00A361E0">
        <w:rPr>
          <w:rFonts w:ascii="Times New Roman" w:hAnsi="Times New Roman" w:cs="Times New Roman"/>
          <w:sz w:val="24"/>
          <w:szCs w:val="24"/>
        </w:rPr>
        <w:t xml:space="preserve">The Code should also be updated to ensure that all cases of </w:t>
      </w:r>
      <w:r w:rsidR="00F2350D" w:rsidRPr="00A361E0">
        <w:rPr>
          <w:rFonts w:ascii="Times New Roman" w:hAnsi="Times New Roman" w:cs="Times New Roman"/>
          <w:sz w:val="24"/>
          <w:szCs w:val="24"/>
        </w:rPr>
        <w:t>very low</w:t>
      </w:r>
      <w:r w:rsidRPr="00A361E0">
        <w:rPr>
          <w:rFonts w:ascii="Times New Roman" w:hAnsi="Times New Roman" w:cs="Times New Roman"/>
          <w:sz w:val="24"/>
          <w:szCs w:val="24"/>
        </w:rPr>
        <w:t xml:space="preserve"> taxation are examined – inside and outside the EU.  The EU already requires third countries with zero or no taxation to implement strict economic substance and transparency standards, to avoid being put on the EU list. These requirements should be formally integrated into the Code, so that there is full coherence between the criteria applied within the EU and in relation to third countries.</w:t>
      </w:r>
      <w:r w:rsidRPr="00E558AE">
        <w:rPr>
          <w:rFonts w:ascii="Times New Roman" w:hAnsi="Times New Roman" w:cs="Times New Roman"/>
          <w:sz w:val="24"/>
          <w:szCs w:val="24"/>
        </w:rPr>
        <w:t xml:space="preserve"> </w:t>
      </w:r>
    </w:p>
    <w:p w:rsidR="00867717" w:rsidRPr="00E558AE" w:rsidRDefault="0067390A" w:rsidP="007C2B84">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2</w:t>
      </w:r>
      <w:r w:rsidR="00867717" w:rsidRPr="00E558AE">
        <w:rPr>
          <w:rFonts w:ascii="Times New Roman" w:hAnsi="Times New Roman" w:cs="Times New Roman"/>
          <w:i/>
          <w:sz w:val="24"/>
          <w:szCs w:val="24"/>
        </w:rPr>
        <w:t xml:space="preserve"> (c) Improving the governance of the Code</w:t>
      </w:r>
    </w:p>
    <w:p w:rsidR="00867717" w:rsidRPr="00E558AE" w:rsidRDefault="00867717" w:rsidP="007C2B84">
      <w:pPr>
        <w:spacing w:after="0" w:line="276" w:lineRule="auto"/>
        <w:jc w:val="both"/>
        <w:rPr>
          <w:rFonts w:ascii="Times New Roman" w:hAnsi="Times New Roman" w:cs="Times New Roman"/>
          <w:i/>
          <w:sz w:val="24"/>
          <w:szCs w:val="24"/>
        </w:rPr>
      </w:pPr>
    </w:p>
    <w:p w:rsidR="007B0A9C" w:rsidRPr="00E558AE" w:rsidRDefault="002241EB" w:rsidP="007C2B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w:t>
      </w:r>
      <w:r w:rsidR="007B0A9C" w:rsidRPr="00E558AE">
        <w:rPr>
          <w:rFonts w:ascii="Times New Roman" w:hAnsi="Times New Roman" w:cs="Times New Roman"/>
          <w:sz w:val="24"/>
          <w:szCs w:val="24"/>
        </w:rPr>
        <w:t xml:space="preserve">he reform of the Code should also consider how it can be </w:t>
      </w:r>
      <w:r w:rsidR="007B0A9C" w:rsidRPr="00A361E0">
        <w:rPr>
          <w:rFonts w:ascii="Times New Roman" w:hAnsi="Times New Roman" w:cs="Times New Roman"/>
          <w:sz w:val="24"/>
          <w:szCs w:val="24"/>
        </w:rPr>
        <w:t>applied more transparently and effectively</w:t>
      </w:r>
      <w:r w:rsidR="007B0A9C" w:rsidRPr="00E558AE">
        <w:rPr>
          <w:rFonts w:ascii="Times New Roman" w:hAnsi="Times New Roman" w:cs="Times New Roman"/>
          <w:sz w:val="24"/>
          <w:szCs w:val="24"/>
        </w:rPr>
        <w:t xml:space="preserve">. While there have been some improvements to the governance of the Code of Conduct Group in recent years, there is scope to do more. The Code of Conduct Group could make more information publicly available on its dedicated website and inform the public and stakeholders of milestones in its work. The Group could also introduce qualified majority voting, to speed up decision-making, and consider effective consequences for Member States that do not comply with the Group’s decisions on time. </w:t>
      </w:r>
    </w:p>
    <w:p w:rsidR="007132C8" w:rsidRPr="00E558AE" w:rsidRDefault="007132C8" w:rsidP="007C2B84">
      <w:pPr>
        <w:spacing w:after="0" w:line="276" w:lineRule="auto"/>
        <w:jc w:val="both"/>
        <w:rPr>
          <w:rFonts w:ascii="Times New Roman" w:hAnsi="Times New Roman" w:cs="Times New Roman"/>
          <w:sz w:val="24"/>
          <w:szCs w:val="24"/>
        </w:rPr>
      </w:pPr>
    </w:p>
    <w:p w:rsidR="002536F1" w:rsidRPr="005403C8" w:rsidRDefault="007B0A9C" w:rsidP="007C2B84">
      <w:pPr>
        <w:spacing w:after="0" w:line="276" w:lineRule="auto"/>
        <w:jc w:val="both"/>
        <w:rPr>
          <w:rStyle w:val="CommentReference"/>
          <w:sz w:val="24"/>
        </w:rPr>
      </w:pPr>
      <w:r w:rsidRPr="00E558AE">
        <w:rPr>
          <w:rFonts w:ascii="Times New Roman" w:hAnsi="Times New Roman" w:cs="Times New Roman"/>
          <w:sz w:val="24"/>
          <w:szCs w:val="24"/>
        </w:rPr>
        <w:t xml:space="preserve">The Commission invites Member States to </w:t>
      </w:r>
      <w:r w:rsidR="00006652">
        <w:rPr>
          <w:rFonts w:ascii="Times New Roman" w:hAnsi="Times New Roman" w:cs="Times New Roman"/>
          <w:sz w:val="24"/>
          <w:szCs w:val="24"/>
        </w:rPr>
        <w:t xml:space="preserve">start </w:t>
      </w:r>
      <w:r w:rsidRPr="00E558AE">
        <w:rPr>
          <w:rFonts w:ascii="Times New Roman" w:hAnsi="Times New Roman" w:cs="Times New Roman"/>
          <w:sz w:val="24"/>
          <w:szCs w:val="24"/>
        </w:rPr>
        <w:t>discuss</w:t>
      </w:r>
      <w:r w:rsidR="00006652">
        <w:rPr>
          <w:rFonts w:ascii="Times New Roman" w:hAnsi="Times New Roman" w:cs="Times New Roman"/>
          <w:sz w:val="24"/>
          <w:szCs w:val="24"/>
        </w:rPr>
        <w:t>ing</w:t>
      </w:r>
      <w:r w:rsidRPr="00E558AE">
        <w:rPr>
          <w:rFonts w:ascii="Times New Roman" w:hAnsi="Times New Roman" w:cs="Times New Roman"/>
          <w:sz w:val="24"/>
          <w:szCs w:val="24"/>
        </w:rPr>
        <w:t xml:space="preserve"> the </w:t>
      </w:r>
      <w:r w:rsidR="00954A9D">
        <w:rPr>
          <w:rFonts w:ascii="Times New Roman" w:hAnsi="Times New Roman" w:cs="Times New Roman"/>
          <w:sz w:val="24"/>
          <w:szCs w:val="24"/>
        </w:rPr>
        <w:t>proposals</w:t>
      </w:r>
      <w:r w:rsidR="00954A9D" w:rsidRPr="00E558AE">
        <w:rPr>
          <w:rFonts w:ascii="Times New Roman" w:hAnsi="Times New Roman" w:cs="Times New Roman"/>
          <w:sz w:val="24"/>
          <w:szCs w:val="24"/>
        </w:rPr>
        <w:t xml:space="preserve"> </w:t>
      </w:r>
      <w:r w:rsidR="00FF0A36">
        <w:rPr>
          <w:rFonts w:ascii="Times New Roman" w:hAnsi="Times New Roman" w:cs="Times New Roman"/>
          <w:sz w:val="24"/>
          <w:szCs w:val="24"/>
        </w:rPr>
        <w:t xml:space="preserve">under 1 (a) –(c) </w:t>
      </w:r>
      <w:r w:rsidRPr="00E558AE">
        <w:rPr>
          <w:rFonts w:ascii="Times New Roman" w:hAnsi="Times New Roman" w:cs="Times New Roman"/>
          <w:sz w:val="24"/>
          <w:szCs w:val="24"/>
        </w:rPr>
        <w:t>for an ambitious reform of the Code, while awaiting the outcome of the international tax discussions</w:t>
      </w:r>
      <w:r w:rsidR="00006652">
        <w:rPr>
          <w:rFonts w:ascii="Times New Roman" w:hAnsi="Times New Roman" w:cs="Times New Roman"/>
          <w:sz w:val="24"/>
          <w:szCs w:val="24"/>
        </w:rPr>
        <w:t xml:space="preserve"> (a</w:t>
      </w:r>
      <w:r w:rsidR="00A361E0">
        <w:rPr>
          <w:rFonts w:ascii="Times New Roman" w:hAnsi="Times New Roman" w:cs="Times New Roman"/>
          <w:sz w:val="24"/>
          <w:szCs w:val="24"/>
        </w:rPr>
        <w:t>ccording to the OECD’s work plan</w:t>
      </w:r>
      <w:r w:rsidR="00316FBC">
        <w:rPr>
          <w:rFonts w:ascii="Times New Roman" w:hAnsi="Times New Roman" w:cs="Times New Roman"/>
          <w:sz w:val="24"/>
          <w:szCs w:val="24"/>
        </w:rPr>
        <w:t xml:space="preserve"> </w:t>
      </w:r>
      <w:r w:rsidRPr="00E558AE">
        <w:rPr>
          <w:rFonts w:ascii="Times New Roman" w:hAnsi="Times New Roman" w:cs="Times New Roman"/>
          <w:sz w:val="24"/>
          <w:szCs w:val="24"/>
        </w:rPr>
        <w:t>there should be sufficient clarity on the outcome of the international work on tax reform</w:t>
      </w:r>
      <w:r w:rsidR="00006652">
        <w:rPr>
          <w:rFonts w:ascii="Times New Roman" w:hAnsi="Times New Roman" w:cs="Times New Roman"/>
          <w:sz w:val="24"/>
          <w:szCs w:val="24"/>
        </w:rPr>
        <w:t xml:space="preserve"> by the end of the year)</w:t>
      </w:r>
      <w:r w:rsidRPr="00E558AE">
        <w:rPr>
          <w:rFonts w:ascii="Times New Roman" w:hAnsi="Times New Roman" w:cs="Times New Roman"/>
          <w:sz w:val="24"/>
          <w:szCs w:val="24"/>
        </w:rPr>
        <w:t xml:space="preserve">. </w:t>
      </w:r>
      <w:r w:rsidR="00006652">
        <w:rPr>
          <w:rFonts w:ascii="Times New Roman" w:hAnsi="Times New Roman" w:cs="Times New Roman"/>
          <w:sz w:val="24"/>
          <w:szCs w:val="24"/>
        </w:rPr>
        <w:t>T</w:t>
      </w:r>
      <w:r w:rsidRPr="00E558AE">
        <w:rPr>
          <w:rFonts w:ascii="Times New Roman" w:hAnsi="Times New Roman" w:cs="Times New Roman"/>
          <w:sz w:val="24"/>
          <w:szCs w:val="24"/>
        </w:rPr>
        <w:t xml:space="preserve">he Commission will work with Member States to elaborate a concrete plan to reform the Code, so that it is better fit to tackle the modern challenges of tax </w:t>
      </w:r>
      <w:r w:rsidR="00C938DA" w:rsidRPr="00E558AE">
        <w:rPr>
          <w:rFonts w:ascii="Times New Roman" w:hAnsi="Times New Roman" w:cs="Times New Roman"/>
          <w:sz w:val="24"/>
          <w:szCs w:val="24"/>
        </w:rPr>
        <w:t>competition</w:t>
      </w:r>
      <w:r w:rsidRPr="00E558AE">
        <w:rPr>
          <w:rFonts w:ascii="Times New Roman" w:hAnsi="Times New Roman" w:cs="Times New Roman"/>
          <w:sz w:val="24"/>
          <w:szCs w:val="24"/>
        </w:rPr>
        <w:t xml:space="preserve"> – within the EU and externally.</w:t>
      </w:r>
      <w:r w:rsidR="00954A9D" w:rsidDel="00954A9D">
        <w:rPr>
          <w:rStyle w:val="CommentReference"/>
        </w:rPr>
        <w:t xml:space="preserve"> </w:t>
      </w:r>
    </w:p>
    <w:p w:rsidR="005E383C" w:rsidRPr="00E558AE" w:rsidRDefault="005E383C" w:rsidP="007C2B84">
      <w:pPr>
        <w:spacing w:after="0" w:line="276" w:lineRule="auto"/>
        <w:jc w:val="both"/>
        <w:rPr>
          <w:rFonts w:ascii="Times New Roman" w:hAnsi="Times New Roman" w:cs="Times New Roman"/>
          <w:b/>
          <w:bCs/>
          <w:i/>
          <w:iCs/>
          <w:sz w:val="24"/>
          <w:szCs w:val="24"/>
        </w:rPr>
      </w:pPr>
    </w:p>
    <w:p w:rsidR="004510A7" w:rsidRDefault="00746D68" w:rsidP="00700971">
      <w:pPr>
        <w:pStyle w:val="Heading2"/>
      </w:pPr>
      <w:r>
        <w:t>3</w:t>
      </w:r>
      <w:r w:rsidR="3C502593" w:rsidRPr="00E558AE">
        <w:t xml:space="preserve">. </w:t>
      </w:r>
      <w:r w:rsidR="005E383C" w:rsidRPr="00E558AE">
        <w:t xml:space="preserve">REVIEW OF THE </w:t>
      </w:r>
      <w:r w:rsidR="3C502593" w:rsidRPr="00E558AE">
        <w:t>E</w:t>
      </w:r>
      <w:r w:rsidR="007B0A9C" w:rsidRPr="00E558AE">
        <w:t xml:space="preserve">U LIST OF </w:t>
      </w:r>
      <w:r w:rsidR="00BB2EC1" w:rsidRPr="00E558AE">
        <w:t>NON-COOPERATIVE</w:t>
      </w:r>
      <w:r w:rsidR="007B0A9C" w:rsidRPr="00E558AE">
        <w:t xml:space="preserve"> JURISDICTIONS</w:t>
      </w:r>
    </w:p>
    <w:p w:rsidR="00C938DA" w:rsidRPr="00E558AE" w:rsidRDefault="00C938DA" w:rsidP="00700971">
      <w:pPr>
        <w:spacing w:after="0" w:line="276" w:lineRule="auto"/>
        <w:jc w:val="both"/>
        <w:rPr>
          <w:rFonts w:ascii="Times New Roman" w:hAnsi="Times New Roman" w:cs="Times New Roman"/>
          <w:sz w:val="24"/>
          <w:szCs w:val="24"/>
        </w:rPr>
      </w:pPr>
      <w:r w:rsidRPr="00E558AE">
        <w:rPr>
          <w:rFonts w:ascii="Times New Roman" w:hAnsi="Times New Roman" w:cs="Times New Roman"/>
          <w:sz w:val="24"/>
          <w:szCs w:val="24"/>
        </w:rPr>
        <w:t xml:space="preserve">While the Code was </w:t>
      </w:r>
      <w:r w:rsidR="00D70226">
        <w:rPr>
          <w:rFonts w:ascii="Times New Roman" w:hAnsi="Times New Roman" w:cs="Times New Roman"/>
          <w:sz w:val="24"/>
          <w:szCs w:val="24"/>
        </w:rPr>
        <w:t xml:space="preserve">initially </w:t>
      </w:r>
      <w:r w:rsidR="00E64F4B">
        <w:rPr>
          <w:rFonts w:ascii="Times New Roman" w:hAnsi="Times New Roman" w:cs="Times New Roman"/>
          <w:sz w:val="24"/>
          <w:szCs w:val="24"/>
        </w:rPr>
        <w:t>developed as</w:t>
      </w:r>
      <w:r w:rsidR="00E64F4B" w:rsidRPr="00E558AE">
        <w:rPr>
          <w:rFonts w:ascii="Times New Roman" w:hAnsi="Times New Roman" w:cs="Times New Roman"/>
          <w:sz w:val="24"/>
          <w:szCs w:val="24"/>
        </w:rPr>
        <w:t xml:space="preserve"> </w:t>
      </w:r>
      <w:r w:rsidRPr="00E558AE">
        <w:rPr>
          <w:rFonts w:ascii="Times New Roman" w:hAnsi="Times New Roman" w:cs="Times New Roman"/>
          <w:sz w:val="24"/>
          <w:szCs w:val="24"/>
        </w:rPr>
        <w:t xml:space="preserve">an instrument to regulate internal tax competition in the EU, its </w:t>
      </w:r>
      <w:r w:rsidR="00D70226">
        <w:rPr>
          <w:rFonts w:ascii="Times New Roman" w:hAnsi="Times New Roman" w:cs="Times New Roman"/>
          <w:sz w:val="24"/>
          <w:szCs w:val="24"/>
        </w:rPr>
        <w:t>focus</w:t>
      </w:r>
      <w:r w:rsidR="003A50C3">
        <w:rPr>
          <w:rFonts w:ascii="Times New Roman" w:hAnsi="Times New Roman" w:cs="Times New Roman"/>
          <w:sz w:val="24"/>
          <w:szCs w:val="24"/>
        </w:rPr>
        <w:t xml:space="preserve"> has</w:t>
      </w:r>
      <w:r w:rsidR="007F4CD6">
        <w:rPr>
          <w:rFonts w:ascii="Times New Roman" w:hAnsi="Times New Roman" w:cs="Times New Roman"/>
          <w:sz w:val="24"/>
          <w:szCs w:val="24"/>
        </w:rPr>
        <w:t xml:space="preserve"> more</w:t>
      </w:r>
      <w:r w:rsidR="003A50C3">
        <w:rPr>
          <w:rFonts w:ascii="Times New Roman" w:hAnsi="Times New Roman" w:cs="Times New Roman"/>
          <w:sz w:val="24"/>
          <w:szCs w:val="24"/>
        </w:rPr>
        <w:t xml:space="preserve"> recently </w:t>
      </w:r>
      <w:r w:rsidR="00D70226">
        <w:rPr>
          <w:rFonts w:ascii="Times New Roman" w:hAnsi="Times New Roman" w:cs="Times New Roman"/>
          <w:sz w:val="24"/>
          <w:szCs w:val="24"/>
        </w:rPr>
        <w:t>broadened</w:t>
      </w:r>
      <w:r w:rsidR="003A50C3">
        <w:rPr>
          <w:rFonts w:ascii="Times New Roman" w:hAnsi="Times New Roman" w:cs="Times New Roman"/>
          <w:sz w:val="24"/>
          <w:szCs w:val="24"/>
        </w:rPr>
        <w:t xml:space="preserve"> to address the external dimension of this policy area, as well</w:t>
      </w:r>
      <w:r w:rsidRPr="00E558AE">
        <w:rPr>
          <w:rFonts w:ascii="Times New Roman" w:hAnsi="Times New Roman" w:cs="Times New Roman"/>
          <w:sz w:val="24"/>
          <w:szCs w:val="24"/>
        </w:rPr>
        <w:t xml:space="preserve">. </w:t>
      </w:r>
      <w:r w:rsidR="003A50C3">
        <w:rPr>
          <w:rFonts w:ascii="Times New Roman" w:hAnsi="Times New Roman" w:cs="Times New Roman"/>
          <w:sz w:val="24"/>
          <w:szCs w:val="24"/>
        </w:rPr>
        <w:t>P</w:t>
      </w:r>
      <w:r w:rsidRPr="00E558AE">
        <w:rPr>
          <w:rFonts w:ascii="Times New Roman" w:hAnsi="Times New Roman" w:cs="Times New Roman"/>
          <w:sz w:val="24"/>
          <w:szCs w:val="24"/>
        </w:rPr>
        <w:t>rinciples of fair tax</w:t>
      </w:r>
      <w:r w:rsidR="001D3AB0">
        <w:rPr>
          <w:rFonts w:ascii="Times New Roman" w:hAnsi="Times New Roman" w:cs="Times New Roman"/>
          <w:sz w:val="24"/>
          <w:szCs w:val="24"/>
        </w:rPr>
        <w:t xml:space="preserve"> competition</w:t>
      </w:r>
      <w:r w:rsidRPr="00E558AE">
        <w:rPr>
          <w:rFonts w:ascii="Times New Roman" w:hAnsi="Times New Roman" w:cs="Times New Roman"/>
          <w:sz w:val="24"/>
          <w:szCs w:val="24"/>
        </w:rPr>
        <w:t>, set out in the Code, are among the criteria used to assess third countries under the EU listing process</w:t>
      </w:r>
      <w:r w:rsidR="00956A34">
        <w:rPr>
          <w:rFonts w:ascii="Times New Roman" w:hAnsi="Times New Roman" w:cs="Times New Roman"/>
          <w:sz w:val="24"/>
          <w:szCs w:val="24"/>
        </w:rPr>
        <w:t xml:space="preserve">. The aim is </w:t>
      </w:r>
      <w:r w:rsidR="003A50C3">
        <w:rPr>
          <w:rFonts w:ascii="Times New Roman" w:hAnsi="Times New Roman" w:cs="Times New Roman"/>
          <w:sz w:val="24"/>
          <w:szCs w:val="24"/>
        </w:rPr>
        <w:t xml:space="preserve">to improve the global tax governance context, ensure a level playing field </w:t>
      </w:r>
      <w:r w:rsidR="007F4CD6">
        <w:rPr>
          <w:rFonts w:ascii="Times New Roman" w:hAnsi="Times New Roman" w:cs="Times New Roman"/>
          <w:sz w:val="24"/>
          <w:szCs w:val="24"/>
        </w:rPr>
        <w:t xml:space="preserve">at international level </w:t>
      </w:r>
      <w:r w:rsidR="003A50C3">
        <w:rPr>
          <w:rFonts w:ascii="Times New Roman" w:hAnsi="Times New Roman" w:cs="Times New Roman"/>
          <w:sz w:val="24"/>
          <w:szCs w:val="24"/>
        </w:rPr>
        <w:t>and support third countries</w:t>
      </w:r>
      <w:r w:rsidR="00D37F6A">
        <w:rPr>
          <w:rFonts w:ascii="Times New Roman" w:hAnsi="Times New Roman" w:cs="Times New Roman"/>
          <w:sz w:val="24"/>
          <w:szCs w:val="24"/>
        </w:rPr>
        <w:t xml:space="preserve"> governments</w:t>
      </w:r>
      <w:r w:rsidR="003A50C3">
        <w:rPr>
          <w:rFonts w:ascii="Times New Roman" w:hAnsi="Times New Roman" w:cs="Times New Roman"/>
          <w:sz w:val="24"/>
          <w:szCs w:val="24"/>
        </w:rPr>
        <w:t xml:space="preserve"> in their effort to </w:t>
      </w:r>
      <w:r w:rsidR="0024751F">
        <w:rPr>
          <w:rFonts w:ascii="Times New Roman" w:hAnsi="Times New Roman" w:cs="Times New Roman"/>
          <w:sz w:val="24"/>
          <w:szCs w:val="24"/>
        </w:rPr>
        <w:t xml:space="preserve">implement commitments and actions taken at global level </w:t>
      </w:r>
      <w:r w:rsidR="00956A34">
        <w:rPr>
          <w:rFonts w:ascii="Times New Roman" w:hAnsi="Times New Roman" w:cs="Times New Roman"/>
          <w:sz w:val="24"/>
          <w:szCs w:val="24"/>
        </w:rPr>
        <w:t>(</w:t>
      </w:r>
      <w:r w:rsidR="0024751F">
        <w:rPr>
          <w:rFonts w:ascii="Times New Roman" w:hAnsi="Times New Roman" w:cs="Times New Roman"/>
          <w:sz w:val="24"/>
          <w:szCs w:val="24"/>
        </w:rPr>
        <w:t xml:space="preserve">for instance in the framework of </w:t>
      </w:r>
      <w:r w:rsidR="007F4CD6">
        <w:rPr>
          <w:rFonts w:ascii="Times New Roman" w:hAnsi="Times New Roman" w:cs="Times New Roman"/>
          <w:sz w:val="24"/>
          <w:szCs w:val="24"/>
        </w:rPr>
        <w:t xml:space="preserve"> the G20 anti-Base Erosion and Profit Shifting initiatives or </w:t>
      </w:r>
      <w:r w:rsidR="007F4CD6" w:rsidRPr="007F4CD6">
        <w:rPr>
          <w:rFonts w:ascii="Times New Roman" w:hAnsi="Times New Roman" w:cs="Times New Roman"/>
          <w:sz w:val="24"/>
          <w:szCs w:val="24"/>
        </w:rPr>
        <w:t>the Addis Ababa Action Agenda</w:t>
      </w:r>
      <w:r w:rsidR="00956A34">
        <w:rPr>
          <w:rFonts w:ascii="Times New Roman" w:hAnsi="Times New Roman" w:cs="Times New Roman"/>
          <w:sz w:val="24"/>
          <w:szCs w:val="24"/>
        </w:rPr>
        <w:t>)</w:t>
      </w:r>
      <w:r w:rsidR="007F4CD6">
        <w:rPr>
          <w:rFonts w:ascii="Times New Roman" w:hAnsi="Times New Roman" w:cs="Times New Roman"/>
          <w:sz w:val="24"/>
          <w:szCs w:val="24"/>
        </w:rPr>
        <w:t>.</w:t>
      </w:r>
    </w:p>
    <w:p w:rsidR="005E383C" w:rsidRPr="00E558AE" w:rsidRDefault="00E9791C" w:rsidP="007C2B84">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 xml:space="preserve">The EU list of non-cooperative tax jurisdictions was first proposed in the Commission’s </w:t>
      </w:r>
      <w:r w:rsidR="005E383C" w:rsidRPr="00E558AE">
        <w:rPr>
          <w:rFonts w:ascii="Times New Roman" w:hAnsi="Times New Roman" w:cs="Times New Roman"/>
          <w:sz w:val="24"/>
          <w:szCs w:val="24"/>
        </w:rPr>
        <w:t xml:space="preserve">2016 External Strategy, as a tool </w:t>
      </w:r>
      <w:r w:rsidR="00777D27" w:rsidRPr="00E558AE">
        <w:rPr>
          <w:rFonts w:ascii="Times New Roman" w:hAnsi="Times New Roman" w:cs="Times New Roman"/>
          <w:sz w:val="24"/>
          <w:szCs w:val="24"/>
        </w:rPr>
        <w:t xml:space="preserve">to deal with external risks </w:t>
      </w:r>
      <w:r w:rsidR="005E383C" w:rsidRPr="00E558AE">
        <w:rPr>
          <w:rFonts w:ascii="Times New Roman" w:hAnsi="Times New Roman" w:cs="Times New Roman"/>
          <w:sz w:val="24"/>
          <w:szCs w:val="24"/>
        </w:rPr>
        <w:t>of tax abuse and unfair tax competition. Since then, it has become a powerful t</w:t>
      </w:r>
      <w:r w:rsidR="00DE2DF5" w:rsidRPr="00E558AE">
        <w:rPr>
          <w:rFonts w:ascii="Times New Roman" w:hAnsi="Times New Roman" w:cs="Times New Roman"/>
          <w:sz w:val="24"/>
          <w:szCs w:val="24"/>
        </w:rPr>
        <w:t xml:space="preserve">ool to promote tax good governance </w:t>
      </w:r>
      <w:r w:rsidR="005E383C" w:rsidRPr="00E558AE">
        <w:rPr>
          <w:rFonts w:ascii="Times New Roman" w:hAnsi="Times New Roman" w:cs="Times New Roman"/>
          <w:sz w:val="24"/>
          <w:szCs w:val="24"/>
        </w:rPr>
        <w:t>internationally</w:t>
      </w:r>
      <w:r w:rsidR="00DE2DF5" w:rsidRPr="00E558AE">
        <w:rPr>
          <w:rFonts w:ascii="Times New Roman" w:hAnsi="Times New Roman" w:cs="Times New Roman"/>
          <w:sz w:val="24"/>
          <w:szCs w:val="24"/>
        </w:rPr>
        <w:t xml:space="preserve"> and has </w:t>
      </w:r>
      <w:r w:rsidR="00C938DA" w:rsidRPr="00E558AE">
        <w:rPr>
          <w:rFonts w:ascii="Times New Roman" w:hAnsi="Times New Roman" w:cs="Times New Roman"/>
          <w:sz w:val="24"/>
          <w:szCs w:val="24"/>
        </w:rPr>
        <w:t>contributed to</w:t>
      </w:r>
      <w:r w:rsidR="00DE2DF5" w:rsidRPr="00E558AE">
        <w:rPr>
          <w:rFonts w:ascii="Times New Roman" w:hAnsi="Times New Roman" w:cs="Times New Roman"/>
          <w:sz w:val="24"/>
          <w:szCs w:val="24"/>
        </w:rPr>
        <w:t xml:space="preserve"> fighting tax avoidance and tax evasion worldwide. </w:t>
      </w:r>
      <w:r w:rsidR="005E383C" w:rsidRPr="00E558AE">
        <w:rPr>
          <w:rFonts w:ascii="Times New Roman" w:hAnsi="Times New Roman" w:cs="Times New Roman"/>
          <w:sz w:val="24"/>
          <w:szCs w:val="24"/>
          <w:lang w:val="en-IE"/>
        </w:rPr>
        <w:t>In the four years since th</w:t>
      </w:r>
      <w:r w:rsidRPr="00E558AE">
        <w:rPr>
          <w:rFonts w:ascii="Times New Roman" w:hAnsi="Times New Roman" w:cs="Times New Roman"/>
          <w:sz w:val="24"/>
          <w:szCs w:val="24"/>
          <w:lang w:val="en-IE"/>
        </w:rPr>
        <w:t>e</w:t>
      </w:r>
      <w:r w:rsidR="005E383C" w:rsidRPr="00E558AE">
        <w:rPr>
          <w:rFonts w:ascii="Times New Roman" w:hAnsi="Times New Roman" w:cs="Times New Roman"/>
          <w:sz w:val="24"/>
          <w:szCs w:val="24"/>
          <w:lang w:val="en-IE"/>
        </w:rPr>
        <w:t xml:space="preserve"> listing process started</w:t>
      </w:r>
      <w:r w:rsidR="005E383C" w:rsidRPr="00E558AE">
        <w:rPr>
          <w:rFonts w:ascii="Times New Roman" w:hAnsi="Times New Roman" w:cs="Times New Roman"/>
          <w:sz w:val="24"/>
          <w:szCs w:val="24"/>
        </w:rPr>
        <w:t>, 95 jurisdictions have been assessed against three key criteria: tax transparency, fair taxation and the implementation of the OECD Base Erosion and Profit Shifting (BEPS) minimum standards. If a jurisdiction is found to be deficient in one or more of these criteria, it is asked to commit to address the problems within a set deadline.</w:t>
      </w:r>
    </w:p>
    <w:p w:rsidR="005E383C" w:rsidRPr="00E558AE" w:rsidRDefault="005E383C" w:rsidP="007C2B84">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By the start of 2020, over 120 harmful tax regimes had been eliminated globally</w:t>
      </w:r>
      <w:r w:rsidR="00AC71BE">
        <w:rPr>
          <w:rStyle w:val="FootnoteReference"/>
          <w:rFonts w:ascii="Times New Roman" w:hAnsi="Times New Roman" w:cs="Times New Roman"/>
          <w:sz w:val="24"/>
          <w:szCs w:val="24"/>
        </w:rPr>
        <w:footnoteReference w:id="9"/>
      </w:r>
      <w:r w:rsidRPr="00E558AE">
        <w:rPr>
          <w:rFonts w:ascii="Times New Roman" w:hAnsi="Times New Roman" w:cs="Times New Roman"/>
          <w:sz w:val="24"/>
          <w:szCs w:val="24"/>
        </w:rPr>
        <w:t xml:space="preserve">, in direct response to the EU listing process. Dozens of third countries had also taken concrete measures to improve their tax transparency standards, in line with EU requirements. This </w:t>
      </w:r>
      <w:r w:rsidR="00E9791C" w:rsidRPr="00E558AE">
        <w:rPr>
          <w:rFonts w:ascii="Times New Roman" w:hAnsi="Times New Roman" w:cs="Times New Roman"/>
          <w:sz w:val="24"/>
          <w:szCs w:val="24"/>
        </w:rPr>
        <w:t xml:space="preserve">raises the level of tax good governance globally, </w:t>
      </w:r>
      <w:r w:rsidRPr="00E558AE">
        <w:rPr>
          <w:rFonts w:ascii="Times New Roman" w:hAnsi="Times New Roman" w:cs="Times New Roman"/>
          <w:sz w:val="24"/>
          <w:szCs w:val="24"/>
        </w:rPr>
        <w:t xml:space="preserve">creates a level playing field amongst international players and </w:t>
      </w:r>
      <w:r w:rsidR="00E9791C" w:rsidRPr="00E558AE">
        <w:rPr>
          <w:rFonts w:ascii="Times New Roman" w:hAnsi="Times New Roman" w:cs="Times New Roman"/>
          <w:sz w:val="24"/>
          <w:szCs w:val="24"/>
        </w:rPr>
        <w:t>reduces the opportunities for tax abuse.</w:t>
      </w:r>
      <w:r w:rsidRPr="00E558AE">
        <w:rPr>
          <w:rFonts w:ascii="Times New Roman" w:hAnsi="Times New Roman" w:cs="Times New Roman"/>
          <w:sz w:val="24"/>
          <w:szCs w:val="24"/>
        </w:rPr>
        <w:t xml:space="preserve"> </w:t>
      </w:r>
      <w:r w:rsidRPr="00472339">
        <w:rPr>
          <w:rFonts w:ascii="Times New Roman" w:hAnsi="Times New Roman" w:cs="Times New Roman"/>
          <w:sz w:val="24"/>
          <w:szCs w:val="24"/>
        </w:rPr>
        <w:t>As such, the EU list has benefits beyond the EU's borders, particularly for developing countries, who are disproportionately impacted by illicit financial flows.</w:t>
      </w:r>
      <w:r w:rsidRPr="00E558AE">
        <w:rPr>
          <w:rFonts w:ascii="Times New Roman" w:hAnsi="Times New Roman" w:cs="Times New Roman"/>
          <w:sz w:val="24"/>
          <w:szCs w:val="24"/>
        </w:rPr>
        <w:t xml:space="preserve"> </w:t>
      </w:r>
    </w:p>
    <w:p w:rsidR="005E383C" w:rsidRPr="00E558AE" w:rsidRDefault="005E383C" w:rsidP="007C2B84">
      <w:pPr>
        <w:spacing w:line="276" w:lineRule="auto"/>
        <w:jc w:val="both"/>
        <w:rPr>
          <w:rFonts w:ascii="Times New Roman" w:hAnsi="Times New Roman" w:cs="Times New Roman"/>
          <w:sz w:val="24"/>
          <w:szCs w:val="24"/>
          <w:lang w:val="en-IE"/>
        </w:rPr>
      </w:pPr>
      <w:r w:rsidRPr="00E558AE">
        <w:rPr>
          <w:rFonts w:ascii="Times New Roman" w:hAnsi="Times New Roman" w:cs="Times New Roman"/>
          <w:sz w:val="24"/>
          <w:szCs w:val="24"/>
          <w:lang w:val="en-IE"/>
        </w:rPr>
        <w:t>The EU list</w:t>
      </w:r>
      <w:r w:rsidR="00293212">
        <w:rPr>
          <w:rFonts w:ascii="Times New Roman" w:hAnsi="Times New Roman" w:cs="Times New Roman"/>
          <w:sz w:val="24"/>
          <w:szCs w:val="24"/>
          <w:lang w:val="en-IE"/>
        </w:rPr>
        <w:t>ing process</w:t>
      </w:r>
      <w:r w:rsidR="00837C30">
        <w:rPr>
          <w:rFonts w:ascii="Times New Roman" w:hAnsi="Times New Roman" w:cs="Times New Roman"/>
          <w:sz w:val="24"/>
          <w:szCs w:val="24"/>
          <w:lang w:val="en-IE"/>
        </w:rPr>
        <w:t xml:space="preserve"> </w:t>
      </w:r>
      <w:r w:rsidRPr="00E558AE">
        <w:rPr>
          <w:rFonts w:ascii="Times New Roman" w:hAnsi="Times New Roman" w:cs="Times New Roman"/>
          <w:sz w:val="24"/>
          <w:szCs w:val="24"/>
          <w:lang w:val="en-IE"/>
        </w:rPr>
        <w:t>has created a new basis for the EU to engage with partners</w:t>
      </w:r>
      <w:r w:rsidR="003C5591">
        <w:rPr>
          <w:rFonts w:ascii="Times New Roman" w:hAnsi="Times New Roman" w:cs="Times New Roman"/>
          <w:sz w:val="24"/>
          <w:szCs w:val="24"/>
          <w:lang w:val="en-IE"/>
        </w:rPr>
        <w:t xml:space="preserve"> countries</w:t>
      </w:r>
      <w:r w:rsidRPr="00E558AE">
        <w:rPr>
          <w:rFonts w:ascii="Times New Roman" w:hAnsi="Times New Roman" w:cs="Times New Roman"/>
          <w:sz w:val="24"/>
          <w:szCs w:val="24"/>
          <w:lang w:val="en-IE"/>
        </w:rPr>
        <w:t>, on tax issues of mutual interest</w:t>
      </w:r>
      <w:r w:rsidR="00C61981">
        <w:rPr>
          <w:rFonts w:ascii="Times New Roman" w:hAnsi="Times New Roman" w:cs="Times New Roman"/>
          <w:sz w:val="24"/>
          <w:szCs w:val="24"/>
          <w:lang w:val="en-IE"/>
        </w:rPr>
        <w:t xml:space="preserve">, in line with its efforts to foster good global </w:t>
      </w:r>
      <w:r w:rsidR="003C5591">
        <w:rPr>
          <w:rFonts w:ascii="Times New Roman" w:hAnsi="Times New Roman" w:cs="Times New Roman"/>
          <w:sz w:val="24"/>
          <w:szCs w:val="24"/>
          <w:lang w:val="en-IE"/>
        </w:rPr>
        <w:t xml:space="preserve">tax </w:t>
      </w:r>
      <w:r w:rsidR="00C61981">
        <w:rPr>
          <w:rFonts w:ascii="Times New Roman" w:hAnsi="Times New Roman" w:cs="Times New Roman"/>
          <w:sz w:val="24"/>
          <w:szCs w:val="24"/>
          <w:lang w:val="en-IE"/>
        </w:rPr>
        <w:t>governance</w:t>
      </w:r>
      <w:r w:rsidR="007529CD">
        <w:rPr>
          <w:rFonts w:ascii="Times New Roman" w:hAnsi="Times New Roman" w:cs="Times New Roman"/>
          <w:sz w:val="24"/>
          <w:szCs w:val="24"/>
          <w:lang w:val="en-IE"/>
        </w:rPr>
        <w:t>.</w:t>
      </w:r>
      <w:r w:rsidRPr="00E558AE">
        <w:rPr>
          <w:rFonts w:ascii="Times New Roman" w:hAnsi="Times New Roman" w:cs="Times New Roman"/>
          <w:sz w:val="24"/>
          <w:szCs w:val="24"/>
          <w:lang w:val="en-IE"/>
        </w:rPr>
        <w:t xml:space="preserve"> </w:t>
      </w:r>
      <w:r w:rsidRPr="00472339">
        <w:rPr>
          <w:rFonts w:ascii="Times New Roman" w:hAnsi="Times New Roman" w:cs="Times New Roman"/>
          <w:sz w:val="24"/>
          <w:szCs w:val="24"/>
          <w:lang w:val="en-IE"/>
        </w:rPr>
        <w:t>Dialogue and outreach</w:t>
      </w:r>
      <w:r w:rsidRPr="00E558AE">
        <w:rPr>
          <w:rFonts w:ascii="Times New Roman" w:hAnsi="Times New Roman" w:cs="Times New Roman"/>
          <w:sz w:val="24"/>
          <w:szCs w:val="24"/>
          <w:lang w:val="en-IE"/>
        </w:rPr>
        <w:t xml:space="preserve"> are a central part of the exercise</w:t>
      </w:r>
      <w:r w:rsidR="009C77BA">
        <w:rPr>
          <w:rFonts w:ascii="Times New Roman" w:hAnsi="Times New Roman" w:cs="Times New Roman"/>
          <w:sz w:val="24"/>
          <w:szCs w:val="24"/>
          <w:lang w:val="en-IE"/>
        </w:rPr>
        <w:t>.</w:t>
      </w:r>
      <w:r w:rsidRPr="00E558AE">
        <w:rPr>
          <w:rFonts w:ascii="Times New Roman" w:hAnsi="Times New Roman" w:cs="Times New Roman"/>
          <w:sz w:val="24"/>
          <w:szCs w:val="24"/>
          <w:lang w:val="en-IE"/>
        </w:rPr>
        <w:t xml:space="preserve"> </w:t>
      </w:r>
      <w:r w:rsidR="009C77BA">
        <w:rPr>
          <w:rFonts w:ascii="Times New Roman" w:hAnsi="Times New Roman" w:cs="Times New Roman"/>
          <w:sz w:val="24"/>
          <w:szCs w:val="24"/>
          <w:lang w:val="en-IE"/>
        </w:rPr>
        <w:t>T</w:t>
      </w:r>
      <w:r w:rsidRPr="00E558AE">
        <w:rPr>
          <w:rFonts w:ascii="Times New Roman" w:hAnsi="Times New Roman" w:cs="Times New Roman"/>
          <w:sz w:val="24"/>
          <w:szCs w:val="24"/>
          <w:lang w:val="en-IE"/>
        </w:rPr>
        <w:t>he Commission</w:t>
      </w:r>
      <w:r w:rsidR="00C63106">
        <w:rPr>
          <w:rFonts w:ascii="Times New Roman" w:hAnsi="Times New Roman" w:cs="Times New Roman"/>
          <w:sz w:val="24"/>
          <w:szCs w:val="24"/>
          <w:lang w:val="en-IE"/>
        </w:rPr>
        <w:t xml:space="preserve"> </w:t>
      </w:r>
      <w:r w:rsidR="00954A9D">
        <w:rPr>
          <w:rFonts w:ascii="Times New Roman" w:hAnsi="Times New Roman" w:cs="Times New Roman"/>
          <w:sz w:val="24"/>
          <w:szCs w:val="24"/>
          <w:lang w:val="en-IE"/>
        </w:rPr>
        <w:t>S</w:t>
      </w:r>
      <w:r w:rsidR="00C63106">
        <w:rPr>
          <w:rFonts w:ascii="Times New Roman" w:hAnsi="Times New Roman" w:cs="Times New Roman"/>
          <w:sz w:val="24"/>
          <w:szCs w:val="24"/>
          <w:lang w:val="en-IE"/>
        </w:rPr>
        <w:t>ervices</w:t>
      </w:r>
      <w:r w:rsidRPr="00E558AE">
        <w:rPr>
          <w:rFonts w:ascii="Times New Roman" w:hAnsi="Times New Roman" w:cs="Times New Roman"/>
          <w:sz w:val="24"/>
          <w:szCs w:val="24"/>
          <w:lang w:val="en-IE"/>
        </w:rPr>
        <w:t>' regular discussions with the jurisdictions</w:t>
      </w:r>
      <w:r w:rsidR="009C77BA">
        <w:rPr>
          <w:rFonts w:ascii="Times New Roman" w:hAnsi="Times New Roman" w:cs="Times New Roman"/>
          <w:sz w:val="24"/>
          <w:szCs w:val="24"/>
          <w:lang w:val="en-IE"/>
        </w:rPr>
        <w:t xml:space="preserve">, </w:t>
      </w:r>
      <w:r w:rsidR="002307CE">
        <w:rPr>
          <w:rFonts w:ascii="Times New Roman" w:hAnsi="Times New Roman" w:cs="Times New Roman"/>
          <w:sz w:val="24"/>
          <w:szCs w:val="24"/>
          <w:lang w:val="en-IE"/>
        </w:rPr>
        <w:t>in coordination with</w:t>
      </w:r>
      <w:r w:rsidR="009C77BA">
        <w:rPr>
          <w:rFonts w:ascii="Times New Roman" w:hAnsi="Times New Roman" w:cs="Times New Roman"/>
          <w:sz w:val="24"/>
          <w:szCs w:val="24"/>
          <w:lang w:val="en-IE"/>
        </w:rPr>
        <w:t xml:space="preserve"> the European External Action Service,</w:t>
      </w:r>
      <w:r w:rsidRPr="00E558AE">
        <w:rPr>
          <w:rFonts w:ascii="Times New Roman" w:hAnsi="Times New Roman" w:cs="Times New Roman"/>
          <w:sz w:val="24"/>
          <w:szCs w:val="24"/>
          <w:lang w:val="en-IE"/>
        </w:rPr>
        <w:t xml:space="preserve"> have </w:t>
      </w:r>
      <w:r w:rsidR="003C5591">
        <w:rPr>
          <w:rFonts w:ascii="Times New Roman" w:hAnsi="Times New Roman" w:cs="Times New Roman"/>
          <w:sz w:val="24"/>
          <w:szCs w:val="24"/>
          <w:lang w:val="en-IE"/>
        </w:rPr>
        <w:t>assisted</w:t>
      </w:r>
      <w:r w:rsidRPr="00E558AE">
        <w:rPr>
          <w:rFonts w:ascii="Times New Roman" w:hAnsi="Times New Roman" w:cs="Times New Roman"/>
          <w:sz w:val="24"/>
          <w:szCs w:val="24"/>
          <w:lang w:val="en-IE"/>
        </w:rPr>
        <w:t xml:space="preserve"> </w:t>
      </w:r>
      <w:r w:rsidR="002307CE">
        <w:rPr>
          <w:rFonts w:ascii="Times New Roman" w:hAnsi="Times New Roman" w:cs="Times New Roman"/>
          <w:sz w:val="24"/>
          <w:szCs w:val="24"/>
          <w:lang w:val="en-IE"/>
        </w:rPr>
        <w:t>dozens</w:t>
      </w:r>
      <w:r w:rsidRPr="00E558AE">
        <w:rPr>
          <w:rFonts w:ascii="Times New Roman" w:hAnsi="Times New Roman" w:cs="Times New Roman"/>
          <w:sz w:val="24"/>
          <w:szCs w:val="24"/>
          <w:lang w:val="en-IE"/>
        </w:rPr>
        <w:t xml:space="preserve"> of them to comply with the required standards. This new channel of engagement on tax issues has allowed </w:t>
      </w:r>
      <w:r w:rsidR="003C5591">
        <w:rPr>
          <w:rFonts w:ascii="Times New Roman" w:hAnsi="Times New Roman" w:cs="Times New Roman"/>
          <w:sz w:val="24"/>
          <w:szCs w:val="24"/>
          <w:lang w:val="en-IE"/>
        </w:rPr>
        <w:t xml:space="preserve">for </w:t>
      </w:r>
      <w:r w:rsidR="00C938DA" w:rsidRPr="00E558AE">
        <w:rPr>
          <w:rFonts w:ascii="Times New Roman" w:hAnsi="Times New Roman" w:cs="Times New Roman"/>
          <w:sz w:val="24"/>
          <w:szCs w:val="24"/>
          <w:lang w:val="en-IE"/>
        </w:rPr>
        <w:t>constructive</w:t>
      </w:r>
      <w:r w:rsidRPr="00E558AE">
        <w:rPr>
          <w:rFonts w:ascii="Times New Roman" w:hAnsi="Times New Roman" w:cs="Times New Roman"/>
          <w:sz w:val="24"/>
          <w:szCs w:val="24"/>
          <w:lang w:val="en-IE"/>
        </w:rPr>
        <w:t xml:space="preserve"> </w:t>
      </w:r>
      <w:r w:rsidR="003C5591" w:rsidRPr="00E558AE">
        <w:rPr>
          <w:rFonts w:ascii="Times New Roman" w:hAnsi="Times New Roman" w:cs="Times New Roman"/>
          <w:sz w:val="24"/>
          <w:szCs w:val="24"/>
          <w:lang w:val="en-IE"/>
        </w:rPr>
        <w:t>d</w:t>
      </w:r>
      <w:r w:rsidR="003C5591">
        <w:rPr>
          <w:rFonts w:ascii="Times New Roman" w:hAnsi="Times New Roman" w:cs="Times New Roman"/>
          <w:sz w:val="24"/>
          <w:szCs w:val="24"/>
          <w:lang w:val="en-IE"/>
        </w:rPr>
        <w:t>ialogue</w:t>
      </w:r>
      <w:r w:rsidR="003C5591" w:rsidRPr="00E558AE">
        <w:rPr>
          <w:rFonts w:ascii="Times New Roman" w:hAnsi="Times New Roman" w:cs="Times New Roman"/>
          <w:sz w:val="24"/>
          <w:szCs w:val="24"/>
          <w:lang w:val="en-IE"/>
        </w:rPr>
        <w:t xml:space="preserve"> </w:t>
      </w:r>
      <w:r w:rsidR="00C938DA" w:rsidRPr="00E558AE">
        <w:rPr>
          <w:rFonts w:ascii="Times New Roman" w:hAnsi="Times New Roman" w:cs="Times New Roman"/>
          <w:sz w:val="24"/>
          <w:szCs w:val="24"/>
          <w:lang w:val="en-IE"/>
        </w:rPr>
        <w:t xml:space="preserve">with </w:t>
      </w:r>
      <w:r w:rsidR="003C5591">
        <w:rPr>
          <w:rFonts w:ascii="Times New Roman" w:hAnsi="Times New Roman" w:cs="Times New Roman"/>
          <w:sz w:val="24"/>
          <w:szCs w:val="24"/>
          <w:lang w:val="en-IE"/>
        </w:rPr>
        <w:t xml:space="preserve">partner </w:t>
      </w:r>
      <w:r w:rsidR="00C938DA" w:rsidRPr="00E558AE">
        <w:rPr>
          <w:rFonts w:ascii="Times New Roman" w:hAnsi="Times New Roman" w:cs="Times New Roman"/>
          <w:sz w:val="24"/>
          <w:szCs w:val="24"/>
          <w:lang w:val="en-IE"/>
        </w:rPr>
        <w:t xml:space="preserve"> countries</w:t>
      </w:r>
      <w:r w:rsidRPr="00E558AE">
        <w:rPr>
          <w:rFonts w:ascii="Times New Roman" w:hAnsi="Times New Roman" w:cs="Times New Roman"/>
          <w:sz w:val="24"/>
          <w:szCs w:val="24"/>
          <w:lang w:val="en-IE"/>
        </w:rPr>
        <w:t xml:space="preserve"> in today's fast-paced, globalised and digitalised economy</w:t>
      </w:r>
      <w:r w:rsidR="00C61981">
        <w:rPr>
          <w:rFonts w:ascii="Times New Roman" w:hAnsi="Times New Roman" w:cs="Times New Roman"/>
          <w:sz w:val="24"/>
          <w:szCs w:val="24"/>
          <w:lang w:val="en-IE"/>
        </w:rPr>
        <w:t>, and should be continued</w:t>
      </w:r>
      <w:r w:rsidR="00895AD2">
        <w:rPr>
          <w:rFonts w:ascii="Times New Roman" w:hAnsi="Times New Roman" w:cs="Times New Roman"/>
          <w:sz w:val="24"/>
          <w:szCs w:val="24"/>
          <w:lang w:val="en-IE"/>
        </w:rPr>
        <w:t xml:space="preserve">. </w:t>
      </w:r>
    </w:p>
    <w:p w:rsidR="00DE2DF5" w:rsidRPr="00E558AE" w:rsidRDefault="00DE2DF5" w:rsidP="007C2B84">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 xml:space="preserve">Four years after </w:t>
      </w:r>
      <w:r w:rsidR="00E9791C" w:rsidRPr="00E558AE">
        <w:rPr>
          <w:rFonts w:ascii="Times New Roman" w:hAnsi="Times New Roman" w:cs="Times New Roman"/>
          <w:sz w:val="24"/>
          <w:szCs w:val="24"/>
        </w:rPr>
        <w:t>the launch of this new listing exercise</w:t>
      </w:r>
      <w:r w:rsidRPr="00E558AE">
        <w:rPr>
          <w:rFonts w:ascii="Times New Roman" w:hAnsi="Times New Roman" w:cs="Times New Roman"/>
          <w:sz w:val="24"/>
          <w:szCs w:val="24"/>
        </w:rPr>
        <w:t>,</w:t>
      </w:r>
      <w:r w:rsidR="002307CE">
        <w:rPr>
          <w:rFonts w:ascii="Times New Roman" w:hAnsi="Times New Roman" w:cs="Times New Roman"/>
          <w:sz w:val="24"/>
          <w:szCs w:val="24"/>
        </w:rPr>
        <w:t xml:space="preserve"> the Commission believes that</w:t>
      </w:r>
      <w:r w:rsidRPr="00E558AE">
        <w:rPr>
          <w:rFonts w:ascii="Times New Roman" w:hAnsi="Times New Roman" w:cs="Times New Roman"/>
          <w:sz w:val="24"/>
          <w:szCs w:val="24"/>
        </w:rPr>
        <w:t xml:space="preserve"> </w:t>
      </w:r>
      <w:r w:rsidR="001D7BAE" w:rsidRPr="00E558AE">
        <w:rPr>
          <w:rFonts w:ascii="Times New Roman" w:hAnsi="Times New Roman" w:cs="Times New Roman"/>
          <w:sz w:val="24"/>
          <w:szCs w:val="24"/>
        </w:rPr>
        <w:t>it is</w:t>
      </w:r>
      <w:r w:rsidR="00671D9B">
        <w:rPr>
          <w:rFonts w:ascii="Times New Roman" w:hAnsi="Times New Roman" w:cs="Times New Roman"/>
          <w:sz w:val="24"/>
          <w:szCs w:val="24"/>
        </w:rPr>
        <w:t xml:space="preserve"> </w:t>
      </w:r>
      <w:r w:rsidR="002307CE">
        <w:rPr>
          <w:rFonts w:ascii="Times New Roman" w:hAnsi="Times New Roman" w:cs="Times New Roman"/>
          <w:sz w:val="24"/>
          <w:szCs w:val="24"/>
        </w:rPr>
        <w:t>high</w:t>
      </w:r>
      <w:r w:rsidR="002307CE" w:rsidRPr="00E558AE">
        <w:rPr>
          <w:rFonts w:ascii="Times New Roman" w:hAnsi="Times New Roman" w:cs="Times New Roman"/>
          <w:sz w:val="24"/>
          <w:szCs w:val="24"/>
        </w:rPr>
        <w:t xml:space="preserve"> </w:t>
      </w:r>
      <w:r w:rsidR="005E383C" w:rsidRPr="00E558AE">
        <w:rPr>
          <w:rFonts w:ascii="Times New Roman" w:hAnsi="Times New Roman" w:cs="Times New Roman"/>
          <w:sz w:val="24"/>
          <w:szCs w:val="24"/>
        </w:rPr>
        <w:t>time</w:t>
      </w:r>
      <w:r w:rsidRPr="00E558AE">
        <w:rPr>
          <w:rFonts w:ascii="Times New Roman" w:hAnsi="Times New Roman" w:cs="Times New Roman"/>
          <w:sz w:val="24"/>
          <w:szCs w:val="24"/>
        </w:rPr>
        <w:t xml:space="preserve"> to take stock of </w:t>
      </w:r>
      <w:r w:rsidR="005E383C" w:rsidRPr="00E558AE">
        <w:rPr>
          <w:rFonts w:ascii="Times New Roman" w:hAnsi="Times New Roman" w:cs="Times New Roman"/>
          <w:sz w:val="24"/>
          <w:szCs w:val="24"/>
        </w:rPr>
        <w:t>the</w:t>
      </w:r>
      <w:r w:rsidRPr="00E558AE">
        <w:rPr>
          <w:rFonts w:ascii="Times New Roman" w:hAnsi="Times New Roman" w:cs="Times New Roman"/>
          <w:sz w:val="24"/>
          <w:szCs w:val="24"/>
        </w:rPr>
        <w:t xml:space="preserve"> experience</w:t>
      </w:r>
      <w:r w:rsidR="005E383C" w:rsidRPr="00E558AE">
        <w:rPr>
          <w:rFonts w:ascii="Times New Roman" w:hAnsi="Times New Roman" w:cs="Times New Roman"/>
          <w:sz w:val="24"/>
          <w:szCs w:val="24"/>
        </w:rPr>
        <w:t xml:space="preserve"> gained so far</w:t>
      </w:r>
      <w:r w:rsidRPr="00E558AE">
        <w:rPr>
          <w:rFonts w:ascii="Times New Roman" w:hAnsi="Times New Roman" w:cs="Times New Roman"/>
          <w:sz w:val="24"/>
          <w:szCs w:val="24"/>
        </w:rPr>
        <w:t xml:space="preserve"> </w:t>
      </w:r>
      <w:r w:rsidR="001D7BAE" w:rsidRPr="00E558AE">
        <w:rPr>
          <w:rFonts w:ascii="Times New Roman" w:hAnsi="Times New Roman" w:cs="Times New Roman"/>
          <w:sz w:val="24"/>
          <w:szCs w:val="24"/>
        </w:rPr>
        <w:t xml:space="preserve">and to </w:t>
      </w:r>
      <w:r w:rsidR="005E383C" w:rsidRPr="00E558AE">
        <w:rPr>
          <w:rFonts w:ascii="Times New Roman" w:hAnsi="Times New Roman" w:cs="Times New Roman"/>
          <w:sz w:val="24"/>
          <w:szCs w:val="24"/>
        </w:rPr>
        <w:t xml:space="preserve">review </w:t>
      </w:r>
      <w:r w:rsidR="00E9791C" w:rsidRPr="00E558AE">
        <w:rPr>
          <w:rFonts w:ascii="Times New Roman" w:hAnsi="Times New Roman" w:cs="Times New Roman"/>
          <w:sz w:val="24"/>
          <w:szCs w:val="24"/>
        </w:rPr>
        <w:t>how it can</w:t>
      </w:r>
      <w:r w:rsidRPr="00E558AE">
        <w:rPr>
          <w:rFonts w:ascii="Times New Roman" w:hAnsi="Times New Roman" w:cs="Times New Roman"/>
          <w:sz w:val="24"/>
          <w:szCs w:val="24"/>
        </w:rPr>
        <w:t xml:space="preserve"> </w:t>
      </w:r>
      <w:r w:rsidR="001D7BAE" w:rsidRPr="00E558AE">
        <w:rPr>
          <w:rFonts w:ascii="Times New Roman" w:hAnsi="Times New Roman" w:cs="Times New Roman"/>
          <w:sz w:val="24"/>
          <w:szCs w:val="24"/>
        </w:rPr>
        <w:t>remain</w:t>
      </w:r>
      <w:r w:rsidRPr="00E558AE">
        <w:rPr>
          <w:rFonts w:ascii="Times New Roman" w:hAnsi="Times New Roman" w:cs="Times New Roman"/>
          <w:sz w:val="24"/>
          <w:szCs w:val="24"/>
        </w:rPr>
        <w:t xml:space="preserve"> </w:t>
      </w:r>
      <w:r w:rsidR="005E383C" w:rsidRPr="00E558AE">
        <w:rPr>
          <w:rFonts w:ascii="Times New Roman" w:hAnsi="Times New Roman" w:cs="Times New Roman"/>
          <w:sz w:val="24"/>
          <w:szCs w:val="24"/>
        </w:rPr>
        <w:t>effective, fair</w:t>
      </w:r>
      <w:r w:rsidRPr="00E558AE">
        <w:rPr>
          <w:rFonts w:ascii="Times New Roman" w:hAnsi="Times New Roman" w:cs="Times New Roman"/>
          <w:sz w:val="24"/>
          <w:szCs w:val="24"/>
        </w:rPr>
        <w:t xml:space="preserve"> and fit for new challenges</w:t>
      </w:r>
      <w:r w:rsidR="005E383C" w:rsidRPr="00E558AE">
        <w:rPr>
          <w:rFonts w:ascii="Times New Roman" w:hAnsi="Times New Roman" w:cs="Times New Roman"/>
          <w:sz w:val="24"/>
          <w:szCs w:val="24"/>
        </w:rPr>
        <w:t xml:space="preserve"> as they </w:t>
      </w:r>
      <w:r w:rsidR="00E20C14" w:rsidRPr="00E558AE">
        <w:rPr>
          <w:rFonts w:ascii="Times New Roman" w:hAnsi="Times New Roman" w:cs="Times New Roman"/>
          <w:sz w:val="24"/>
          <w:szCs w:val="24"/>
        </w:rPr>
        <w:t xml:space="preserve">continue to </w:t>
      </w:r>
      <w:r w:rsidR="005E383C" w:rsidRPr="00E558AE">
        <w:rPr>
          <w:rFonts w:ascii="Times New Roman" w:hAnsi="Times New Roman" w:cs="Times New Roman"/>
          <w:sz w:val="24"/>
          <w:szCs w:val="24"/>
        </w:rPr>
        <w:t>emerge</w:t>
      </w:r>
      <w:r w:rsidRPr="00E558AE">
        <w:rPr>
          <w:rFonts w:ascii="Times New Roman" w:hAnsi="Times New Roman" w:cs="Times New Roman"/>
          <w:sz w:val="24"/>
          <w:szCs w:val="24"/>
        </w:rPr>
        <w:t xml:space="preserve">. </w:t>
      </w:r>
    </w:p>
    <w:p w:rsidR="00DE2DF5" w:rsidRPr="00E558AE" w:rsidRDefault="00867717" w:rsidP="0067390A">
      <w:pPr>
        <w:pStyle w:val="ListParagraph"/>
        <w:numPr>
          <w:ilvl w:val="0"/>
          <w:numId w:val="5"/>
        </w:numPr>
        <w:spacing w:after="200" w:line="276" w:lineRule="auto"/>
        <w:jc w:val="both"/>
        <w:rPr>
          <w:rFonts w:ascii="Times New Roman" w:hAnsi="Times New Roman" w:cs="Times New Roman"/>
          <w:i/>
          <w:sz w:val="24"/>
          <w:szCs w:val="24"/>
        </w:rPr>
      </w:pPr>
      <w:r w:rsidRPr="00E558AE">
        <w:rPr>
          <w:rFonts w:ascii="Times New Roman" w:hAnsi="Times New Roman" w:cs="Times New Roman"/>
          <w:i/>
          <w:sz w:val="24"/>
          <w:szCs w:val="24"/>
        </w:rPr>
        <w:t xml:space="preserve">(a) </w:t>
      </w:r>
      <w:r w:rsidR="00F2215D" w:rsidRPr="00E558AE">
        <w:rPr>
          <w:rFonts w:ascii="Times New Roman" w:hAnsi="Times New Roman" w:cs="Times New Roman"/>
          <w:i/>
          <w:sz w:val="24"/>
          <w:szCs w:val="24"/>
        </w:rPr>
        <w:t>Reviewing the g</w:t>
      </w:r>
      <w:r w:rsidR="00DE2DF5" w:rsidRPr="00E558AE">
        <w:rPr>
          <w:rFonts w:ascii="Times New Roman" w:hAnsi="Times New Roman" w:cs="Times New Roman"/>
          <w:i/>
          <w:sz w:val="24"/>
          <w:szCs w:val="24"/>
        </w:rPr>
        <w:t>eographical scope of the EU list</w:t>
      </w:r>
    </w:p>
    <w:p w:rsidR="00891FB8" w:rsidRPr="00E558AE" w:rsidRDefault="00E9791C" w:rsidP="007C2B84">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 xml:space="preserve">When the EU listing process was launched in 2016, EU Member States selected the jurisdictions to bring into its scope, based on an objective scoreboard of indicators developed by the Commission. Member States used this scoreboard as a basis for deciding which jurisdictions to screen, also taking into account other relevant factors, such as the presence of a financial centre. Member States decided from the outset </w:t>
      </w:r>
      <w:r w:rsidRPr="00472339">
        <w:rPr>
          <w:rFonts w:ascii="Times New Roman" w:hAnsi="Times New Roman" w:cs="Times New Roman"/>
          <w:sz w:val="24"/>
          <w:szCs w:val="24"/>
        </w:rPr>
        <w:t>to exclude least developed countries from the EU listing process,</w:t>
      </w:r>
      <w:r w:rsidRPr="00E558AE">
        <w:rPr>
          <w:rFonts w:ascii="Times New Roman" w:hAnsi="Times New Roman" w:cs="Times New Roman"/>
          <w:sz w:val="24"/>
          <w:szCs w:val="24"/>
        </w:rPr>
        <w:t xml:space="preserve"> given their limited capacity to comply with </w:t>
      </w:r>
      <w:r w:rsidR="00C938DA" w:rsidRPr="00E558AE">
        <w:rPr>
          <w:rFonts w:ascii="Times New Roman" w:hAnsi="Times New Roman" w:cs="Times New Roman"/>
          <w:sz w:val="24"/>
          <w:szCs w:val="24"/>
        </w:rPr>
        <w:t>the criteria</w:t>
      </w:r>
      <w:r w:rsidRPr="00E558AE">
        <w:rPr>
          <w:rFonts w:ascii="Times New Roman" w:hAnsi="Times New Roman" w:cs="Times New Roman"/>
          <w:sz w:val="24"/>
          <w:szCs w:val="24"/>
        </w:rPr>
        <w:t xml:space="preserve"> within the required deadlines. For similar reasons, </w:t>
      </w:r>
      <w:r w:rsidRPr="00472339">
        <w:rPr>
          <w:rFonts w:ascii="Times New Roman" w:hAnsi="Times New Roman" w:cs="Times New Roman"/>
          <w:sz w:val="24"/>
          <w:szCs w:val="24"/>
        </w:rPr>
        <w:t>some flexibility has been introduced for developing countries without a financial centre</w:t>
      </w:r>
      <w:r w:rsidRPr="00E558AE">
        <w:rPr>
          <w:rFonts w:ascii="Times New Roman" w:hAnsi="Times New Roman" w:cs="Times New Roman"/>
          <w:sz w:val="24"/>
          <w:szCs w:val="24"/>
        </w:rPr>
        <w:t xml:space="preserve">, when it comes to the criteria and timelines they must respect. </w:t>
      </w:r>
    </w:p>
    <w:p w:rsidR="00891FB8" w:rsidRPr="00E558AE" w:rsidRDefault="00891FB8" w:rsidP="007C2B84">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After several years of practical experience implementing the EU listing process with the selected jurisdictions, Member States have indicated a wish to review the geographical scope of the list. In particular, they are keen to ensure</w:t>
      </w:r>
      <w:r w:rsidR="00C938DA" w:rsidRPr="00E558AE">
        <w:rPr>
          <w:rFonts w:ascii="Times New Roman" w:hAnsi="Times New Roman" w:cs="Times New Roman"/>
          <w:sz w:val="24"/>
          <w:szCs w:val="24"/>
        </w:rPr>
        <w:t xml:space="preserve"> that</w:t>
      </w:r>
      <w:r w:rsidRPr="00E558AE">
        <w:rPr>
          <w:rFonts w:ascii="Times New Roman" w:hAnsi="Times New Roman" w:cs="Times New Roman"/>
          <w:sz w:val="24"/>
          <w:szCs w:val="24"/>
        </w:rPr>
        <w:t xml:space="preserve"> all risk areas have been covered and that comparable jurisdictions are being treated in a fair and even manner under the EU process. </w:t>
      </w:r>
    </w:p>
    <w:p w:rsidR="00DE2DF5" w:rsidRPr="00E558AE" w:rsidRDefault="00891FB8" w:rsidP="007C2B84">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 xml:space="preserve">To facilitate this reflection, the Commission will </w:t>
      </w:r>
      <w:r w:rsidRPr="00472339">
        <w:rPr>
          <w:rFonts w:ascii="Times New Roman" w:hAnsi="Times New Roman" w:cs="Times New Roman"/>
          <w:sz w:val="24"/>
          <w:szCs w:val="24"/>
        </w:rPr>
        <w:t xml:space="preserve">update </w:t>
      </w:r>
      <w:r w:rsidR="00657873">
        <w:rPr>
          <w:rFonts w:ascii="Times New Roman" w:hAnsi="Times New Roman" w:cs="Times New Roman"/>
          <w:sz w:val="24"/>
          <w:szCs w:val="24"/>
        </w:rPr>
        <w:t xml:space="preserve">by the end of 2020 </w:t>
      </w:r>
      <w:r w:rsidRPr="00472339">
        <w:rPr>
          <w:rFonts w:ascii="Times New Roman" w:hAnsi="Times New Roman" w:cs="Times New Roman"/>
          <w:sz w:val="24"/>
          <w:szCs w:val="24"/>
        </w:rPr>
        <w:t>the original scoreboard used to select the most relevant jurisdictions</w:t>
      </w:r>
      <w:r w:rsidR="00006652">
        <w:rPr>
          <w:rFonts w:ascii="Times New Roman" w:hAnsi="Times New Roman" w:cs="Times New Roman"/>
          <w:sz w:val="24"/>
          <w:szCs w:val="24"/>
        </w:rPr>
        <w:t xml:space="preserve"> to screen</w:t>
      </w:r>
      <w:r w:rsidRPr="00E558AE">
        <w:rPr>
          <w:rFonts w:ascii="Times New Roman" w:hAnsi="Times New Roman" w:cs="Times New Roman"/>
          <w:sz w:val="24"/>
          <w:szCs w:val="24"/>
        </w:rPr>
        <w:t xml:space="preserve">. The new scoreboard will </w:t>
      </w:r>
      <w:r w:rsidR="00DE2DF5" w:rsidRPr="00472339">
        <w:rPr>
          <w:rFonts w:ascii="Times New Roman" w:hAnsi="Times New Roman" w:cs="Times New Roman"/>
          <w:sz w:val="24"/>
          <w:szCs w:val="24"/>
        </w:rPr>
        <w:t>reflect the most recent data</w:t>
      </w:r>
      <w:r w:rsidR="00C938DA" w:rsidRPr="00472339">
        <w:rPr>
          <w:rFonts w:ascii="Times New Roman" w:hAnsi="Times New Roman" w:cs="Times New Roman"/>
          <w:sz w:val="24"/>
          <w:szCs w:val="24"/>
        </w:rPr>
        <w:t>, as well as</w:t>
      </w:r>
      <w:r w:rsidR="00DE2DF5" w:rsidRPr="00472339">
        <w:rPr>
          <w:rFonts w:ascii="Times New Roman" w:hAnsi="Times New Roman" w:cs="Times New Roman"/>
          <w:sz w:val="24"/>
          <w:szCs w:val="24"/>
        </w:rPr>
        <w:t xml:space="preserve"> developments in the global economy and tax policy</w:t>
      </w:r>
      <w:r w:rsidR="00DE2DF5" w:rsidRPr="00E558AE">
        <w:rPr>
          <w:rFonts w:ascii="Times New Roman" w:hAnsi="Times New Roman" w:cs="Times New Roman"/>
          <w:sz w:val="24"/>
          <w:szCs w:val="24"/>
        </w:rPr>
        <w:t xml:space="preserve">. </w:t>
      </w:r>
      <w:r w:rsidR="00F10897" w:rsidRPr="00E558AE">
        <w:rPr>
          <w:rFonts w:ascii="Times New Roman" w:hAnsi="Times New Roman" w:cs="Times New Roman"/>
          <w:sz w:val="24"/>
          <w:szCs w:val="24"/>
        </w:rPr>
        <w:t>It</w:t>
      </w:r>
      <w:r w:rsidR="00DE2DF5" w:rsidRPr="00E558AE">
        <w:rPr>
          <w:rFonts w:ascii="Times New Roman" w:hAnsi="Times New Roman" w:cs="Times New Roman"/>
          <w:sz w:val="24"/>
          <w:szCs w:val="24"/>
        </w:rPr>
        <w:t xml:space="preserve"> will include additional sources of information to offer a comprehensive picture of the</w:t>
      </w:r>
      <w:r w:rsidRPr="00E558AE">
        <w:rPr>
          <w:rFonts w:ascii="Times New Roman" w:hAnsi="Times New Roman" w:cs="Times New Roman"/>
          <w:sz w:val="24"/>
          <w:szCs w:val="24"/>
        </w:rPr>
        <w:t xml:space="preserve"> EU’s</w:t>
      </w:r>
      <w:r w:rsidR="00DE2DF5" w:rsidRPr="00E558AE">
        <w:rPr>
          <w:rFonts w:ascii="Times New Roman" w:hAnsi="Times New Roman" w:cs="Times New Roman"/>
          <w:sz w:val="24"/>
          <w:szCs w:val="24"/>
        </w:rPr>
        <w:t xml:space="preserve"> economic and financial link</w:t>
      </w:r>
      <w:r w:rsidRPr="00E558AE">
        <w:rPr>
          <w:rFonts w:ascii="Times New Roman" w:hAnsi="Times New Roman" w:cs="Times New Roman"/>
          <w:sz w:val="24"/>
          <w:szCs w:val="24"/>
        </w:rPr>
        <w:t>s</w:t>
      </w:r>
      <w:r w:rsidR="00DE2DF5" w:rsidRPr="00E558AE">
        <w:rPr>
          <w:rFonts w:ascii="Times New Roman" w:hAnsi="Times New Roman" w:cs="Times New Roman"/>
          <w:sz w:val="24"/>
          <w:szCs w:val="24"/>
        </w:rPr>
        <w:t xml:space="preserve"> with third countries. </w:t>
      </w:r>
      <w:r w:rsidRPr="00E558AE">
        <w:rPr>
          <w:rFonts w:ascii="Times New Roman" w:hAnsi="Times New Roman" w:cs="Times New Roman"/>
          <w:sz w:val="24"/>
          <w:szCs w:val="24"/>
        </w:rPr>
        <w:t xml:space="preserve">In addition, the Commission will </w:t>
      </w:r>
      <w:r w:rsidR="00BF72D2" w:rsidRPr="00E558AE">
        <w:rPr>
          <w:rFonts w:ascii="Times New Roman" w:hAnsi="Times New Roman" w:cs="Times New Roman"/>
          <w:sz w:val="24"/>
          <w:szCs w:val="24"/>
        </w:rPr>
        <w:t>take</w:t>
      </w:r>
      <w:r w:rsidR="00DE2DF5" w:rsidRPr="00E558AE">
        <w:rPr>
          <w:rFonts w:ascii="Times New Roman" w:hAnsi="Times New Roman" w:cs="Times New Roman"/>
          <w:sz w:val="24"/>
          <w:szCs w:val="24"/>
        </w:rPr>
        <w:t xml:space="preserve"> into account the new methodology to identify high-risk third countries for </w:t>
      </w:r>
      <w:r w:rsidRPr="00E558AE">
        <w:rPr>
          <w:rFonts w:ascii="Times New Roman" w:hAnsi="Times New Roman" w:cs="Times New Roman"/>
          <w:sz w:val="24"/>
          <w:szCs w:val="24"/>
        </w:rPr>
        <w:t xml:space="preserve">anti-money laundering </w:t>
      </w:r>
      <w:r w:rsidR="00E20C14" w:rsidRPr="00E558AE">
        <w:rPr>
          <w:rFonts w:ascii="Times New Roman" w:hAnsi="Times New Roman" w:cs="Times New Roman"/>
          <w:sz w:val="24"/>
          <w:szCs w:val="24"/>
        </w:rPr>
        <w:t xml:space="preserve">and terrorist financing </w:t>
      </w:r>
      <w:r w:rsidR="00DE2DF5" w:rsidRPr="00E558AE">
        <w:rPr>
          <w:rFonts w:ascii="Times New Roman" w:hAnsi="Times New Roman" w:cs="Times New Roman"/>
          <w:sz w:val="24"/>
          <w:szCs w:val="24"/>
        </w:rPr>
        <w:t>purposes</w:t>
      </w:r>
      <w:r w:rsidR="00657873">
        <w:rPr>
          <w:rStyle w:val="FootnoteReference"/>
          <w:rFonts w:ascii="Times New Roman" w:hAnsi="Times New Roman" w:cs="Times New Roman"/>
          <w:sz w:val="24"/>
          <w:szCs w:val="24"/>
        </w:rPr>
        <w:footnoteReference w:id="10"/>
      </w:r>
      <w:r w:rsidRPr="00E558AE">
        <w:rPr>
          <w:rFonts w:ascii="Times New Roman" w:hAnsi="Times New Roman" w:cs="Times New Roman"/>
          <w:sz w:val="24"/>
          <w:szCs w:val="24"/>
        </w:rPr>
        <w:t>,</w:t>
      </w:r>
      <w:r w:rsidR="00DE2DF5" w:rsidRPr="00E558AE">
        <w:rPr>
          <w:rFonts w:ascii="Times New Roman" w:hAnsi="Times New Roman" w:cs="Times New Roman"/>
          <w:sz w:val="24"/>
          <w:szCs w:val="24"/>
        </w:rPr>
        <w:t xml:space="preserve"> to </w:t>
      </w:r>
      <w:r w:rsidRPr="00E558AE">
        <w:rPr>
          <w:rFonts w:ascii="Times New Roman" w:hAnsi="Times New Roman" w:cs="Times New Roman"/>
          <w:sz w:val="24"/>
          <w:szCs w:val="24"/>
        </w:rPr>
        <w:t>ensure that</w:t>
      </w:r>
      <w:r w:rsidR="00DE2DF5" w:rsidRPr="00E558AE">
        <w:rPr>
          <w:rFonts w:ascii="Times New Roman" w:hAnsi="Times New Roman" w:cs="Times New Roman"/>
          <w:sz w:val="24"/>
          <w:szCs w:val="24"/>
        </w:rPr>
        <w:t xml:space="preserve"> the two</w:t>
      </w:r>
      <w:r w:rsidRPr="00E558AE">
        <w:rPr>
          <w:rFonts w:ascii="Times New Roman" w:hAnsi="Times New Roman" w:cs="Times New Roman"/>
          <w:sz w:val="24"/>
          <w:szCs w:val="24"/>
        </w:rPr>
        <w:t xml:space="preserve"> listing</w:t>
      </w:r>
      <w:r w:rsidR="00DE2DF5" w:rsidRPr="00E558AE">
        <w:rPr>
          <w:rFonts w:ascii="Times New Roman" w:hAnsi="Times New Roman" w:cs="Times New Roman"/>
          <w:sz w:val="24"/>
          <w:szCs w:val="24"/>
        </w:rPr>
        <w:t xml:space="preserve"> processes</w:t>
      </w:r>
      <w:r w:rsidRPr="00E558AE">
        <w:rPr>
          <w:rFonts w:ascii="Times New Roman" w:hAnsi="Times New Roman" w:cs="Times New Roman"/>
          <w:sz w:val="24"/>
          <w:szCs w:val="24"/>
        </w:rPr>
        <w:t xml:space="preserve"> are mutually reinforcing</w:t>
      </w:r>
      <w:r w:rsidR="00DE2DF5" w:rsidRPr="00E558AE">
        <w:rPr>
          <w:rFonts w:ascii="Times New Roman" w:hAnsi="Times New Roman" w:cs="Times New Roman"/>
          <w:sz w:val="24"/>
          <w:szCs w:val="24"/>
        </w:rPr>
        <w:t>. The revision of the scoreboard will help EU Member States t</w:t>
      </w:r>
      <w:r w:rsidRPr="00E558AE">
        <w:rPr>
          <w:rFonts w:ascii="Times New Roman" w:hAnsi="Times New Roman" w:cs="Times New Roman"/>
          <w:sz w:val="24"/>
          <w:szCs w:val="24"/>
        </w:rPr>
        <w:t>o identify additional countries they may wish to screen,</w:t>
      </w:r>
      <w:r w:rsidR="00A361E0">
        <w:rPr>
          <w:rFonts w:ascii="Times New Roman" w:hAnsi="Times New Roman" w:cs="Times New Roman"/>
          <w:sz w:val="24"/>
          <w:szCs w:val="24"/>
        </w:rPr>
        <w:t xml:space="preserve"> based on objective criteria,</w:t>
      </w:r>
      <w:r w:rsidRPr="00E558AE">
        <w:rPr>
          <w:rFonts w:ascii="Times New Roman" w:hAnsi="Times New Roman" w:cs="Times New Roman"/>
          <w:sz w:val="24"/>
          <w:szCs w:val="24"/>
        </w:rPr>
        <w:t xml:space="preserve"> and will make the process </w:t>
      </w:r>
      <w:r w:rsidR="00DE2DF5" w:rsidRPr="00E558AE">
        <w:rPr>
          <w:rFonts w:ascii="Times New Roman" w:hAnsi="Times New Roman" w:cs="Times New Roman"/>
          <w:sz w:val="24"/>
          <w:szCs w:val="24"/>
        </w:rPr>
        <w:t>more stable and predictable for the EU partners.</w:t>
      </w:r>
    </w:p>
    <w:p w:rsidR="00867717" w:rsidRPr="00E558AE" w:rsidRDefault="00867717" w:rsidP="007C2B84">
      <w:pPr>
        <w:pStyle w:val="ListParagraph"/>
        <w:spacing w:after="200" w:line="276" w:lineRule="auto"/>
        <w:jc w:val="both"/>
        <w:rPr>
          <w:rFonts w:ascii="Times New Roman" w:hAnsi="Times New Roman" w:cs="Times New Roman"/>
          <w:i/>
          <w:sz w:val="24"/>
          <w:szCs w:val="24"/>
        </w:rPr>
      </w:pPr>
    </w:p>
    <w:p w:rsidR="00DE2DF5" w:rsidRPr="00E558AE" w:rsidRDefault="00867717" w:rsidP="009375B6">
      <w:pPr>
        <w:pStyle w:val="ListParagraph"/>
        <w:numPr>
          <w:ilvl w:val="0"/>
          <w:numId w:val="13"/>
        </w:numPr>
        <w:spacing w:after="200" w:line="276" w:lineRule="auto"/>
        <w:jc w:val="both"/>
        <w:rPr>
          <w:rFonts w:ascii="Times New Roman" w:hAnsi="Times New Roman" w:cs="Times New Roman"/>
          <w:i/>
          <w:sz w:val="24"/>
          <w:szCs w:val="24"/>
        </w:rPr>
      </w:pPr>
      <w:r w:rsidRPr="00E558AE">
        <w:rPr>
          <w:rFonts w:ascii="Times New Roman" w:hAnsi="Times New Roman" w:cs="Times New Roman"/>
          <w:i/>
          <w:sz w:val="24"/>
          <w:szCs w:val="24"/>
        </w:rPr>
        <w:t xml:space="preserve">(b) </w:t>
      </w:r>
      <w:r w:rsidR="00F2215D" w:rsidRPr="00E558AE">
        <w:rPr>
          <w:rFonts w:ascii="Times New Roman" w:hAnsi="Times New Roman" w:cs="Times New Roman"/>
          <w:i/>
          <w:sz w:val="24"/>
          <w:szCs w:val="24"/>
        </w:rPr>
        <w:t xml:space="preserve">Reviewing </w:t>
      </w:r>
      <w:r w:rsidR="00DE2DF5" w:rsidRPr="00E558AE">
        <w:rPr>
          <w:rFonts w:ascii="Times New Roman" w:hAnsi="Times New Roman" w:cs="Times New Roman"/>
          <w:i/>
          <w:sz w:val="24"/>
          <w:szCs w:val="24"/>
        </w:rPr>
        <w:t>EU listing criteria</w:t>
      </w:r>
    </w:p>
    <w:p w:rsidR="00891FB8" w:rsidRPr="00E558AE" w:rsidRDefault="00891FB8" w:rsidP="007C2B84">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A discussion on</w:t>
      </w:r>
      <w:r w:rsidR="00DE2DF5" w:rsidRPr="00E558AE">
        <w:rPr>
          <w:rFonts w:ascii="Times New Roman" w:hAnsi="Times New Roman" w:cs="Times New Roman"/>
          <w:sz w:val="24"/>
          <w:szCs w:val="24"/>
        </w:rPr>
        <w:t xml:space="preserve"> the geographical scope of the EU list will also </w:t>
      </w:r>
      <w:r w:rsidRPr="00E558AE">
        <w:rPr>
          <w:rFonts w:ascii="Times New Roman" w:hAnsi="Times New Roman" w:cs="Times New Roman"/>
          <w:sz w:val="24"/>
          <w:szCs w:val="24"/>
        </w:rPr>
        <w:t>need to consider</w:t>
      </w:r>
      <w:r w:rsidR="00DE2DF5" w:rsidRPr="00E558AE">
        <w:rPr>
          <w:rFonts w:ascii="Times New Roman" w:hAnsi="Times New Roman" w:cs="Times New Roman"/>
          <w:sz w:val="24"/>
          <w:szCs w:val="24"/>
        </w:rPr>
        <w:t xml:space="preserve"> the criteria </w:t>
      </w:r>
      <w:r w:rsidR="00C938DA" w:rsidRPr="00E558AE">
        <w:rPr>
          <w:rFonts w:ascii="Times New Roman" w:hAnsi="Times New Roman" w:cs="Times New Roman"/>
          <w:sz w:val="24"/>
          <w:szCs w:val="24"/>
        </w:rPr>
        <w:t>that</w:t>
      </w:r>
      <w:r w:rsidR="00DE2DF5" w:rsidRPr="00E558AE">
        <w:rPr>
          <w:rFonts w:ascii="Times New Roman" w:hAnsi="Times New Roman" w:cs="Times New Roman"/>
          <w:sz w:val="24"/>
          <w:szCs w:val="24"/>
        </w:rPr>
        <w:t xml:space="preserve"> selected jurisdictions</w:t>
      </w:r>
      <w:r w:rsidR="00C938DA" w:rsidRPr="00E558AE">
        <w:rPr>
          <w:rFonts w:ascii="Times New Roman" w:hAnsi="Times New Roman" w:cs="Times New Roman"/>
          <w:sz w:val="24"/>
          <w:szCs w:val="24"/>
        </w:rPr>
        <w:t xml:space="preserve"> must comply with</w:t>
      </w:r>
      <w:r w:rsidR="00DE2DF5" w:rsidRPr="00E558AE">
        <w:rPr>
          <w:rFonts w:ascii="Times New Roman" w:hAnsi="Times New Roman" w:cs="Times New Roman"/>
          <w:sz w:val="24"/>
          <w:szCs w:val="24"/>
        </w:rPr>
        <w:t xml:space="preserve">. </w:t>
      </w:r>
      <w:r w:rsidR="00954A9D">
        <w:rPr>
          <w:rFonts w:ascii="Times New Roman" w:hAnsi="Times New Roman" w:cs="Times New Roman"/>
          <w:sz w:val="24"/>
          <w:szCs w:val="24"/>
        </w:rPr>
        <w:t>R</w:t>
      </w:r>
      <w:r w:rsidRPr="00E558AE">
        <w:rPr>
          <w:rFonts w:ascii="Times New Roman" w:hAnsi="Times New Roman" w:cs="Times New Roman"/>
          <w:sz w:val="24"/>
          <w:szCs w:val="24"/>
        </w:rPr>
        <w:t>emoving any jurisdiction that is currently in the scope of the EU list</w:t>
      </w:r>
      <w:r w:rsidR="00954A9D">
        <w:rPr>
          <w:rFonts w:ascii="Times New Roman" w:hAnsi="Times New Roman" w:cs="Times New Roman"/>
          <w:sz w:val="24"/>
          <w:szCs w:val="24"/>
        </w:rPr>
        <w:t xml:space="preserve"> </w:t>
      </w:r>
      <w:r w:rsidRPr="00E558AE">
        <w:rPr>
          <w:rFonts w:ascii="Times New Roman" w:hAnsi="Times New Roman" w:cs="Times New Roman"/>
          <w:sz w:val="24"/>
          <w:szCs w:val="24"/>
        </w:rPr>
        <w:t xml:space="preserve">would </w:t>
      </w:r>
      <w:r w:rsidR="00E20C14" w:rsidRPr="00E558AE">
        <w:rPr>
          <w:rFonts w:ascii="Times New Roman" w:hAnsi="Times New Roman" w:cs="Times New Roman"/>
          <w:sz w:val="24"/>
          <w:szCs w:val="24"/>
        </w:rPr>
        <w:t>impact</w:t>
      </w:r>
      <w:r w:rsidR="00680601">
        <w:rPr>
          <w:rFonts w:ascii="Times New Roman" w:hAnsi="Times New Roman" w:cs="Times New Roman"/>
          <w:sz w:val="24"/>
          <w:szCs w:val="24"/>
        </w:rPr>
        <w:t xml:space="preserve"> on</w:t>
      </w:r>
      <w:r w:rsidR="00E20C14" w:rsidRPr="00E558AE">
        <w:rPr>
          <w:rFonts w:ascii="Times New Roman" w:hAnsi="Times New Roman" w:cs="Times New Roman"/>
          <w:sz w:val="24"/>
          <w:szCs w:val="24"/>
        </w:rPr>
        <w:t xml:space="preserve"> </w:t>
      </w:r>
      <w:r w:rsidR="00157E40" w:rsidRPr="00E558AE">
        <w:rPr>
          <w:rFonts w:ascii="Times New Roman" w:hAnsi="Times New Roman" w:cs="Times New Roman"/>
          <w:sz w:val="24"/>
          <w:szCs w:val="24"/>
        </w:rPr>
        <w:t>the</w:t>
      </w:r>
      <w:r w:rsidRPr="00E558AE">
        <w:rPr>
          <w:rFonts w:ascii="Times New Roman" w:hAnsi="Times New Roman" w:cs="Times New Roman"/>
          <w:sz w:val="24"/>
          <w:szCs w:val="24"/>
        </w:rPr>
        <w:t xml:space="preserve"> level playing field and undermine the very positive work that most of these jurisdictions have already done. However, there should be a reflection on whether the </w:t>
      </w:r>
      <w:r w:rsidR="00C938DA" w:rsidRPr="00E558AE">
        <w:rPr>
          <w:rFonts w:ascii="Times New Roman" w:hAnsi="Times New Roman" w:cs="Times New Roman"/>
          <w:sz w:val="24"/>
          <w:szCs w:val="24"/>
        </w:rPr>
        <w:t>EU listing criteria</w:t>
      </w:r>
      <w:r w:rsidRPr="00E558AE">
        <w:rPr>
          <w:rFonts w:ascii="Times New Roman" w:hAnsi="Times New Roman" w:cs="Times New Roman"/>
          <w:sz w:val="24"/>
          <w:szCs w:val="24"/>
        </w:rPr>
        <w:t xml:space="preserve"> could be applied in a more targeted way for certain jurisdictions. </w:t>
      </w:r>
    </w:p>
    <w:p w:rsidR="0062111E" w:rsidRPr="00E558AE" w:rsidRDefault="00891FB8" w:rsidP="007C2B84">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T</w:t>
      </w:r>
      <w:r w:rsidR="00DE2DF5" w:rsidRPr="00E558AE">
        <w:rPr>
          <w:rFonts w:ascii="Times New Roman" w:hAnsi="Times New Roman" w:cs="Times New Roman"/>
          <w:sz w:val="24"/>
          <w:szCs w:val="24"/>
        </w:rPr>
        <w:t>he experience with the EU listing process</w:t>
      </w:r>
      <w:r w:rsidRPr="00E558AE">
        <w:rPr>
          <w:rFonts w:ascii="Times New Roman" w:hAnsi="Times New Roman" w:cs="Times New Roman"/>
          <w:sz w:val="24"/>
          <w:szCs w:val="24"/>
        </w:rPr>
        <w:t xml:space="preserve"> so far</w:t>
      </w:r>
      <w:r w:rsidR="00DE2DF5" w:rsidRPr="00E558AE">
        <w:rPr>
          <w:rFonts w:ascii="Times New Roman" w:hAnsi="Times New Roman" w:cs="Times New Roman"/>
          <w:sz w:val="24"/>
          <w:szCs w:val="24"/>
        </w:rPr>
        <w:t xml:space="preserve"> has shown that </w:t>
      </w:r>
      <w:r w:rsidRPr="00E558AE">
        <w:rPr>
          <w:rFonts w:ascii="Times New Roman" w:hAnsi="Times New Roman" w:cs="Times New Roman"/>
          <w:sz w:val="24"/>
          <w:szCs w:val="24"/>
        </w:rPr>
        <w:t xml:space="preserve">certain </w:t>
      </w:r>
      <w:r w:rsidR="00DE2DF5" w:rsidRPr="00E558AE">
        <w:rPr>
          <w:rFonts w:ascii="Times New Roman" w:hAnsi="Times New Roman" w:cs="Times New Roman"/>
          <w:sz w:val="24"/>
          <w:szCs w:val="24"/>
        </w:rPr>
        <w:t>jurisdictions</w:t>
      </w:r>
      <w:r w:rsidR="00C3141D" w:rsidRPr="00E558AE">
        <w:rPr>
          <w:rFonts w:ascii="Times New Roman" w:hAnsi="Times New Roman" w:cs="Times New Roman"/>
          <w:sz w:val="24"/>
          <w:szCs w:val="24"/>
        </w:rPr>
        <w:t>, in particular develop</w:t>
      </w:r>
      <w:r w:rsidR="00157E40" w:rsidRPr="00E558AE">
        <w:rPr>
          <w:rFonts w:ascii="Times New Roman" w:hAnsi="Times New Roman" w:cs="Times New Roman"/>
          <w:sz w:val="24"/>
          <w:szCs w:val="24"/>
        </w:rPr>
        <w:t>ing</w:t>
      </w:r>
      <w:r w:rsidR="00C3141D" w:rsidRPr="00E558AE">
        <w:rPr>
          <w:rFonts w:ascii="Times New Roman" w:hAnsi="Times New Roman" w:cs="Times New Roman"/>
          <w:sz w:val="24"/>
          <w:szCs w:val="24"/>
        </w:rPr>
        <w:t xml:space="preserve"> partners,</w:t>
      </w:r>
      <w:r w:rsidR="00DE2DF5" w:rsidRPr="00E558AE">
        <w:rPr>
          <w:rFonts w:ascii="Times New Roman" w:hAnsi="Times New Roman" w:cs="Times New Roman"/>
          <w:sz w:val="24"/>
          <w:szCs w:val="24"/>
        </w:rPr>
        <w:t xml:space="preserve"> face</w:t>
      </w:r>
      <w:r w:rsidR="0062111E" w:rsidRPr="00E558AE">
        <w:rPr>
          <w:rFonts w:ascii="Times New Roman" w:hAnsi="Times New Roman" w:cs="Times New Roman"/>
          <w:sz w:val="24"/>
          <w:szCs w:val="24"/>
        </w:rPr>
        <w:t xml:space="preserve"> </w:t>
      </w:r>
      <w:r w:rsidR="00DE2DF5" w:rsidRPr="00E558AE">
        <w:rPr>
          <w:rFonts w:ascii="Times New Roman" w:hAnsi="Times New Roman" w:cs="Times New Roman"/>
          <w:sz w:val="24"/>
          <w:szCs w:val="24"/>
        </w:rPr>
        <w:t>capacity constraints</w:t>
      </w:r>
      <w:r w:rsidRPr="00E558AE">
        <w:rPr>
          <w:rFonts w:ascii="Times New Roman" w:hAnsi="Times New Roman" w:cs="Times New Roman"/>
          <w:sz w:val="24"/>
          <w:szCs w:val="24"/>
        </w:rPr>
        <w:t xml:space="preserve"> when</w:t>
      </w:r>
      <w:r w:rsidR="00DE2DF5" w:rsidRPr="00E558AE">
        <w:rPr>
          <w:rFonts w:ascii="Times New Roman" w:hAnsi="Times New Roman" w:cs="Times New Roman"/>
          <w:sz w:val="24"/>
          <w:szCs w:val="24"/>
        </w:rPr>
        <w:t xml:space="preserve"> </w:t>
      </w:r>
      <w:r w:rsidR="00C3141D" w:rsidRPr="00E558AE">
        <w:rPr>
          <w:rFonts w:ascii="Times New Roman" w:hAnsi="Times New Roman" w:cs="Times New Roman"/>
          <w:sz w:val="24"/>
          <w:szCs w:val="24"/>
        </w:rPr>
        <w:t>implementing</w:t>
      </w:r>
      <w:r w:rsidR="00DE2DF5" w:rsidRPr="00E558AE">
        <w:rPr>
          <w:rFonts w:ascii="Times New Roman" w:hAnsi="Times New Roman" w:cs="Times New Roman"/>
          <w:sz w:val="24"/>
          <w:szCs w:val="24"/>
        </w:rPr>
        <w:t xml:space="preserve"> </w:t>
      </w:r>
      <w:r w:rsidRPr="00E558AE">
        <w:rPr>
          <w:rFonts w:ascii="Times New Roman" w:hAnsi="Times New Roman" w:cs="Times New Roman"/>
          <w:sz w:val="24"/>
          <w:szCs w:val="24"/>
        </w:rPr>
        <w:t xml:space="preserve">some of </w:t>
      </w:r>
      <w:r w:rsidR="00DE2DF5" w:rsidRPr="00E558AE">
        <w:rPr>
          <w:rFonts w:ascii="Times New Roman" w:hAnsi="Times New Roman" w:cs="Times New Roman"/>
          <w:sz w:val="24"/>
          <w:szCs w:val="24"/>
        </w:rPr>
        <w:t>the</w:t>
      </w:r>
      <w:r w:rsidR="0062111E" w:rsidRPr="00E558AE">
        <w:rPr>
          <w:rFonts w:ascii="Times New Roman" w:hAnsi="Times New Roman" w:cs="Times New Roman"/>
          <w:sz w:val="24"/>
          <w:szCs w:val="24"/>
        </w:rPr>
        <w:t>ir</w:t>
      </w:r>
      <w:r w:rsidR="00DE2DF5" w:rsidRPr="00E558AE">
        <w:rPr>
          <w:rFonts w:ascii="Times New Roman" w:hAnsi="Times New Roman" w:cs="Times New Roman"/>
          <w:sz w:val="24"/>
          <w:szCs w:val="24"/>
        </w:rPr>
        <w:t xml:space="preserve"> commitment</w:t>
      </w:r>
      <w:r w:rsidRPr="00E558AE">
        <w:rPr>
          <w:rFonts w:ascii="Times New Roman" w:hAnsi="Times New Roman" w:cs="Times New Roman"/>
          <w:sz w:val="24"/>
          <w:szCs w:val="24"/>
        </w:rPr>
        <w:t>s</w:t>
      </w:r>
      <w:r w:rsidR="00DE2DF5" w:rsidRPr="00E558AE">
        <w:rPr>
          <w:rFonts w:ascii="Times New Roman" w:hAnsi="Times New Roman" w:cs="Times New Roman"/>
          <w:sz w:val="24"/>
          <w:szCs w:val="24"/>
        </w:rPr>
        <w:t xml:space="preserve">. </w:t>
      </w:r>
      <w:r w:rsidR="00954A9D">
        <w:rPr>
          <w:rFonts w:ascii="Times New Roman" w:hAnsi="Times New Roman" w:cs="Times New Roman"/>
          <w:sz w:val="24"/>
          <w:szCs w:val="24"/>
        </w:rPr>
        <w:t>There is a need to</w:t>
      </w:r>
      <w:r w:rsidR="0062111E" w:rsidRPr="00E558AE">
        <w:rPr>
          <w:rFonts w:ascii="Times New Roman" w:hAnsi="Times New Roman" w:cs="Times New Roman"/>
          <w:sz w:val="24"/>
          <w:szCs w:val="24"/>
        </w:rPr>
        <w:t xml:space="preserve"> consider whether all criteria are relevant for all jurisdictions, based on the </w:t>
      </w:r>
      <w:r w:rsidR="00DE2DF5" w:rsidRPr="00E558AE">
        <w:rPr>
          <w:rFonts w:ascii="Times New Roman" w:hAnsi="Times New Roman" w:cs="Times New Roman"/>
          <w:sz w:val="24"/>
          <w:szCs w:val="24"/>
        </w:rPr>
        <w:t xml:space="preserve">potential risk of their economic and tax environment. </w:t>
      </w:r>
      <w:r w:rsidR="0062111E" w:rsidRPr="00E558AE">
        <w:rPr>
          <w:rFonts w:ascii="Times New Roman" w:hAnsi="Times New Roman" w:cs="Times New Roman"/>
          <w:sz w:val="24"/>
          <w:szCs w:val="24"/>
        </w:rPr>
        <w:t xml:space="preserve">For low-risk developing countries, </w:t>
      </w:r>
      <w:r w:rsidR="00157E40" w:rsidRPr="00E558AE">
        <w:rPr>
          <w:rFonts w:ascii="Times New Roman" w:hAnsi="Times New Roman" w:cs="Times New Roman"/>
          <w:sz w:val="24"/>
          <w:szCs w:val="24"/>
        </w:rPr>
        <w:t>it could be an option to only apply</w:t>
      </w:r>
      <w:r w:rsidR="0062111E" w:rsidRPr="00E558AE">
        <w:rPr>
          <w:rFonts w:ascii="Times New Roman" w:hAnsi="Times New Roman" w:cs="Times New Roman"/>
          <w:sz w:val="24"/>
          <w:szCs w:val="24"/>
        </w:rPr>
        <w:t xml:space="preserve"> the criteria that are most relevant. There is already a precedent for this in the listing process, as developing countries without a financial centre </w:t>
      </w:r>
      <w:r w:rsidR="00157E40" w:rsidRPr="00E558AE">
        <w:rPr>
          <w:rFonts w:ascii="Times New Roman" w:hAnsi="Times New Roman" w:cs="Times New Roman"/>
          <w:sz w:val="24"/>
          <w:szCs w:val="24"/>
        </w:rPr>
        <w:t>do not have</w:t>
      </w:r>
      <w:r w:rsidR="0062111E" w:rsidRPr="00E558AE">
        <w:rPr>
          <w:rFonts w:ascii="Times New Roman" w:hAnsi="Times New Roman" w:cs="Times New Roman"/>
          <w:sz w:val="24"/>
          <w:szCs w:val="24"/>
        </w:rPr>
        <w:t xml:space="preserve"> to comply with the automatic exchange of information criterion. Alternatively, or in tandem, the EU list deadlines </w:t>
      </w:r>
      <w:r w:rsidR="00954A9D">
        <w:rPr>
          <w:rFonts w:ascii="Times New Roman" w:hAnsi="Times New Roman" w:cs="Times New Roman"/>
          <w:sz w:val="24"/>
          <w:szCs w:val="24"/>
        </w:rPr>
        <w:t>can be adapted</w:t>
      </w:r>
      <w:r w:rsidR="0062111E" w:rsidRPr="00E558AE">
        <w:rPr>
          <w:rFonts w:ascii="Times New Roman" w:hAnsi="Times New Roman" w:cs="Times New Roman"/>
          <w:sz w:val="24"/>
          <w:szCs w:val="24"/>
        </w:rPr>
        <w:t xml:space="preserve"> for countries with </w:t>
      </w:r>
      <w:r w:rsidR="001D7EC6" w:rsidRPr="00E558AE">
        <w:rPr>
          <w:rFonts w:ascii="Times New Roman" w:hAnsi="Times New Roman" w:cs="Times New Roman"/>
          <w:sz w:val="24"/>
          <w:szCs w:val="24"/>
        </w:rPr>
        <w:t xml:space="preserve">severe </w:t>
      </w:r>
      <w:r w:rsidR="0062111E" w:rsidRPr="00E558AE">
        <w:rPr>
          <w:rFonts w:ascii="Times New Roman" w:hAnsi="Times New Roman" w:cs="Times New Roman"/>
          <w:sz w:val="24"/>
          <w:szCs w:val="24"/>
        </w:rPr>
        <w:t>capacity constraints</w:t>
      </w:r>
      <w:r w:rsidR="003B7600">
        <w:rPr>
          <w:rFonts w:ascii="Times New Roman" w:hAnsi="Times New Roman" w:cs="Times New Roman"/>
          <w:sz w:val="24"/>
          <w:szCs w:val="24"/>
        </w:rPr>
        <w:t xml:space="preserve"> or without financial centres</w:t>
      </w:r>
      <w:r w:rsidR="0062111E" w:rsidRPr="00E558AE">
        <w:rPr>
          <w:rFonts w:ascii="Times New Roman" w:hAnsi="Times New Roman" w:cs="Times New Roman"/>
          <w:sz w:val="24"/>
          <w:szCs w:val="24"/>
        </w:rPr>
        <w:t xml:space="preserve">, to reflect the particular situation of the jurisdictions </w:t>
      </w:r>
      <w:r w:rsidR="00C938DA" w:rsidRPr="00E558AE">
        <w:rPr>
          <w:rFonts w:ascii="Times New Roman" w:hAnsi="Times New Roman" w:cs="Times New Roman"/>
          <w:sz w:val="24"/>
          <w:szCs w:val="24"/>
        </w:rPr>
        <w:t>concerned</w:t>
      </w:r>
      <w:r w:rsidR="0062111E" w:rsidRPr="00E558AE">
        <w:rPr>
          <w:rFonts w:ascii="Times New Roman" w:hAnsi="Times New Roman" w:cs="Times New Roman"/>
          <w:sz w:val="24"/>
          <w:szCs w:val="24"/>
        </w:rPr>
        <w:t xml:space="preserve">. </w:t>
      </w:r>
    </w:p>
    <w:p w:rsidR="00246F10" w:rsidRPr="00E558AE" w:rsidRDefault="00DE2DF5" w:rsidP="007C2B84">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 xml:space="preserve">Beyond this, </w:t>
      </w:r>
      <w:r w:rsidR="001343DC" w:rsidRPr="00E558AE">
        <w:rPr>
          <w:rFonts w:ascii="Times New Roman" w:hAnsi="Times New Roman" w:cs="Times New Roman"/>
          <w:sz w:val="24"/>
          <w:szCs w:val="24"/>
        </w:rPr>
        <w:t>the</w:t>
      </w:r>
      <w:r w:rsidRPr="00E558AE">
        <w:rPr>
          <w:rFonts w:ascii="Times New Roman" w:hAnsi="Times New Roman" w:cs="Times New Roman"/>
          <w:sz w:val="24"/>
          <w:szCs w:val="24"/>
        </w:rPr>
        <w:t xml:space="preserve"> tax good governance criteria </w:t>
      </w:r>
      <w:r w:rsidR="0062111E" w:rsidRPr="00E558AE">
        <w:rPr>
          <w:rFonts w:ascii="Times New Roman" w:hAnsi="Times New Roman" w:cs="Times New Roman"/>
          <w:sz w:val="24"/>
          <w:szCs w:val="24"/>
        </w:rPr>
        <w:t xml:space="preserve">used for the listing process should be </w:t>
      </w:r>
      <w:r w:rsidR="00CE4B99" w:rsidRPr="00E558AE">
        <w:rPr>
          <w:rFonts w:ascii="Times New Roman" w:hAnsi="Times New Roman" w:cs="Times New Roman"/>
          <w:sz w:val="24"/>
          <w:szCs w:val="24"/>
        </w:rPr>
        <w:t>examined</w:t>
      </w:r>
      <w:r w:rsidR="0062111E" w:rsidRPr="00E558AE">
        <w:rPr>
          <w:rFonts w:ascii="Times New Roman" w:hAnsi="Times New Roman" w:cs="Times New Roman"/>
          <w:sz w:val="24"/>
          <w:szCs w:val="24"/>
        </w:rPr>
        <w:t xml:space="preserve"> </w:t>
      </w:r>
      <w:r w:rsidR="001343DC" w:rsidRPr="00E558AE">
        <w:rPr>
          <w:rFonts w:ascii="Times New Roman" w:hAnsi="Times New Roman" w:cs="Times New Roman"/>
          <w:sz w:val="24"/>
          <w:szCs w:val="24"/>
        </w:rPr>
        <w:t>more generally</w:t>
      </w:r>
      <w:r w:rsidR="0062111E" w:rsidRPr="00E558AE">
        <w:rPr>
          <w:rFonts w:ascii="Times New Roman" w:hAnsi="Times New Roman" w:cs="Times New Roman"/>
          <w:sz w:val="24"/>
          <w:szCs w:val="24"/>
        </w:rPr>
        <w:t>, to ensure</w:t>
      </w:r>
      <w:r w:rsidRPr="00E558AE">
        <w:rPr>
          <w:rFonts w:ascii="Times New Roman" w:hAnsi="Times New Roman" w:cs="Times New Roman"/>
          <w:sz w:val="24"/>
          <w:szCs w:val="24"/>
        </w:rPr>
        <w:t xml:space="preserve"> that </w:t>
      </w:r>
      <w:r w:rsidR="001343DC" w:rsidRPr="00E558AE">
        <w:rPr>
          <w:rFonts w:ascii="Times New Roman" w:hAnsi="Times New Roman" w:cs="Times New Roman"/>
          <w:sz w:val="24"/>
          <w:szCs w:val="24"/>
        </w:rPr>
        <w:t>they are</w:t>
      </w:r>
      <w:r w:rsidRPr="00E558AE">
        <w:rPr>
          <w:rFonts w:ascii="Times New Roman" w:hAnsi="Times New Roman" w:cs="Times New Roman"/>
          <w:sz w:val="24"/>
          <w:szCs w:val="24"/>
        </w:rPr>
        <w:t xml:space="preserve"> up-to-date and adequately ambitious.</w:t>
      </w:r>
      <w:r w:rsidR="00CE4B99" w:rsidRPr="00E558AE">
        <w:rPr>
          <w:rFonts w:ascii="Times New Roman" w:hAnsi="Times New Roman" w:cs="Times New Roman"/>
          <w:sz w:val="24"/>
          <w:szCs w:val="24"/>
        </w:rPr>
        <w:t xml:space="preserve"> As a first step, they should be updated to reflect the latest</w:t>
      </w:r>
      <w:r w:rsidR="00BB48F2" w:rsidRPr="00E558AE">
        <w:rPr>
          <w:rFonts w:ascii="Times New Roman" w:hAnsi="Times New Roman" w:cs="Times New Roman"/>
          <w:sz w:val="24"/>
          <w:szCs w:val="24"/>
        </w:rPr>
        <w:t xml:space="preserve"> </w:t>
      </w:r>
      <w:r w:rsidRPr="00E558AE">
        <w:rPr>
          <w:rFonts w:ascii="Times New Roman" w:hAnsi="Times New Roman" w:cs="Times New Roman"/>
          <w:sz w:val="24"/>
          <w:szCs w:val="24"/>
        </w:rPr>
        <w:t xml:space="preserve">international developments in the fight against tax avoidance and evasion, </w:t>
      </w:r>
      <w:r w:rsidR="00CE4B99" w:rsidRPr="00E558AE">
        <w:rPr>
          <w:rFonts w:ascii="Times New Roman" w:hAnsi="Times New Roman" w:cs="Times New Roman"/>
          <w:sz w:val="24"/>
          <w:szCs w:val="24"/>
        </w:rPr>
        <w:t>including</w:t>
      </w:r>
      <w:r w:rsidRPr="00E558AE">
        <w:rPr>
          <w:rFonts w:ascii="Times New Roman" w:hAnsi="Times New Roman" w:cs="Times New Roman"/>
          <w:sz w:val="24"/>
          <w:szCs w:val="24"/>
        </w:rPr>
        <w:t xml:space="preserve"> in the area of beneficial ownership</w:t>
      </w:r>
      <w:r w:rsidR="003B7600">
        <w:rPr>
          <w:rStyle w:val="FootnoteReference"/>
          <w:rFonts w:ascii="Times New Roman" w:hAnsi="Times New Roman" w:cs="Times New Roman"/>
          <w:sz w:val="24"/>
          <w:szCs w:val="24"/>
        </w:rPr>
        <w:footnoteReference w:id="11"/>
      </w:r>
      <w:r w:rsidRPr="00E558AE">
        <w:rPr>
          <w:rFonts w:ascii="Times New Roman" w:hAnsi="Times New Roman" w:cs="Times New Roman"/>
          <w:sz w:val="24"/>
          <w:szCs w:val="24"/>
        </w:rPr>
        <w:t xml:space="preserve"> and the implementation of </w:t>
      </w:r>
      <w:r w:rsidR="00CE4B99" w:rsidRPr="00E558AE">
        <w:rPr>
          <w:rFonts w:ascii="Times New Roman" w:hAnsi="Times New Roman" w:cs="Times New Roman"/>
          <w:sz w:val="24"/>
          <w:szCs w:val="24"/>
        </w:rPr>
        <w:t xml:space="preserve">OECD </w:t>
      </w:r>
      <w:r w:rsidRPr="00E558AE">
        <w:rPr>
          <w:rFonts w:ascii="Times New Roman" w:hAnsi="Times New Roman" w:cs="Times New Roman"/>
          <w:sz w:val="24"/>
          <w:szCs w:val="24"/>
        </w:rPr>
        <w:t>minimum standards</w:t>
      </w:r>
      <w:r w:rsidR="00CE4B99" w:rsidRPr="00E558AE">
        <w:rPr>
          <w:rFonts w:ascii="Times New Roman" w:hAnsi="Times New Roman" w:cs="Times New Roman"/>
          <w:sz w:val="24"/>
          <w:szCs w:val="24"/>
        </w:rPr>
        <w:t xml:space="preserve"> on Base Erosion and Profit Shifting</w:t>
      </w:r>
      <w:r w:rsidRPr="00E558AE">
        <w:rPr>
          <w:rFonts w:ascii="Times New Roman" w:hAnsi="Times New Roman" w:cs="Times New Roman"/>
          <w:sz w:val="24"/>
          <w:szCs w:val="24"/>
        </w:rPr>
        <w:t>.</w:t>
      </w:r>
      <w:r w:rsidR="00CE4B99" w:rsidRPr="00E558AE">
        <w:rPr>
          <w:rFonts w:ascii="Times New Roman" w:hAnsi="Times New Roman" w:cs="Times New Roman"/>
          <w:sz w:val="24"/>
          <w:szCs w:val="24"/>
        </w:rPr>
        <w:t xml:space="preserve"> </w:t>
      </w:r>
    </w:p>
    <w:p w:rsidR="00C06188" w:rsidRPr="00E558AE" w:rsidRDefault="00C06188" w:rsidP="007C2B84">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 xml:space="preserve">Discussions at international level on taxation of the digital economy and </w:t>
      </w:r>
      <w:r w:rsidR="00C938DA" w:rsidRPr="00E558AE">
        <w:rPr>
          <w:rFonts w:ascii="Times New Roman" w:hAnsi="Times New Roman" w:cs="Times New Roman"/>
          <w:sz w:val="24"/>
          <w:szCs w:val="24"/>
        </w:rPr>
        <w:t>global tax reform</w:t>
      </w:r>
      <w:r w:rsidRPr="00E558AE">
        <w:rPr>
          <w:rFonts w:ascii="Times New Roman" w:hAnsi="Times New Roman" w:cs="Times New Roman"/>
          <w:sz w:val="24"/>
          <w:szCs w:val="24"/>
        </w:rPr>
        <w:t xml:space="preserve"> will also need to be take</w:t>
      </w:r>
      <w:r w:rsidR="00C938DA" w:rsidRPr="00E558AE">
        <w:rPr>
          <w:rFonts w:ascii="Times New Roman" w:hAnsi="Times New Roman" w:cs="Times New Roman"/>
          <w:sz w:val="24"/>
          <w:szCs w:val="24"/>
        </w:rPr>
        <w:t>n</w:t>
      </w:r>
      <w:r w:rsidRPr="00E558AE">
        <w:rPr>
          <w:rFonts w:ascii="Times New Roman" w:hAnsi="Times New Roman" w:cs="Times New Roman"/>
          <w:sz w:val="24"/>
          <w:szCs w:val="24"/>
        </w:rPr>
        <w:t xml:space="preserve"> into account</w:t>
      </w:r>
      <w:r w:rsidR="00C938DA" w:rsidRPr="00E558AE">
        <w:rPr>
          <w:rFonts w:ascii="Times New Roman" w:hAnsi="Times New Roman" w:cs="Times New Roman"/>
          <w:sz w:val="24"/>
          <w:szCs w:val="24"/>
        </w:rPr>
        <w:t xml:space="preserve"> in the EU listing criteria. This </w:t>
      </w:r>
      <w:r w:rsidR="00EF64FE" w:rsidRPr="00E558AE">
        <w:rPr>
          <w:rFonts w:ascii="Times New Roman" w:hAnsi="Times New Roman" w:cs="Times New Roman"/>
          <w:sz w:val="24"/>
          <w:szCs w:val="24"/>
        </w:rPr>
        <w:t>is particularly important if there is a global consensus on minimum effective taxation. This issue should be looked at</w:t>
      </w:r>
      <w:r w:rsidRPr="00E558AE">
        <w:rPr>
          <w:rFonts w:ascii="Times New Roman" w:hAnsi="Times New Roman" w:cs="Times New Roman"/>
          <w:sz w:val="24"/>
          <w:szCs w:val="24"/>
        </w:rPr>
        <w:t xml:space="preserve"> in tandem with the future reform of the Code, once the outcome of the international tax reform discussions are clearer.</w:t>
      </w:r>
    </w:p>
    <w:p w:rsidR="00DE2DF5" w:rsidRPr="00E558AE" w:rsidRDefault="00246F10" w:rsidP="007C2B84">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In the same vein, t</w:t>
      </w:r>
      <w:r w:rsidR="00CE4B99" w:rsidRPr="00E558AE">
        <w:rPr>
          <w:rFonts w:ascii="Times New Roman" w:hAnsi="Times New Roman" w:cs="Times New Roman"/>
          <w:sz w:val="24"/>
          <w:szCs w:val="24"/>
        </w:rPr>
        <w:t>he criteria should also be reviewed to ensure that they are being applied widely enough to capture all risks. Work has already started in this respect</w:t>
      </w:r>
      <w:r w:rsidR="00AF3027" w:rsidRPr="00E558AE">
        <w:rPr>
          <w:rFonts w:ascii="Times New Roman" w:hAnsi="Times New Roman" w:cs="Times New Roman"/>
          <w:sz w:val="24"/>
          <w:szCs w:val="24"/>
        </w:rPr>
        <w:t xml:space="preserve">. </w:t>
      </w:r>
      <w:r w:rsidRPr="00E558AE">
        <w:rPr>
          <w:rFonts w:ascii="Times New Roman" w:hAnsi="Times New Roman" w:cs="Times New Roman"/>
          <w:sz w:val="24"/>
          <w:szCs w:val="24"/>
        </w:rPr>
        <w:t>For example,</w:t>
      </w:r>
      <w:r w:rsidR="00545A75" w:rsidRPr="00E558AE">
        <w:rPr>
          <w:rFonts w:ascii="Times New Roman" w:hAnsi="Times New Roman" w:cs="Times New Roman"/>
          <w:sz w:val="24"/>
          <w:szCs w:val="24"/>
        </w:rPr>
        <w:t xml:space="preserve"> i</w:t>
      </w:r>
      <w:r w:rsidR="00AF3027" w:rsidRPr="00E558AE">
        <w:rPr>
          <w:rFonts w:ascii="Times New Roman" w:hAnsi="Times New Roman" w:cs="Times New Roman"/>
          <w:sz w:val="24"/>
          <w:szCs w:val="24"/>
        </w:rPr>
        <w:t>n</w:t>
      </w:r>
      <w:r w:rsidR="00CE4B99" w:rsidRPr="00E558AE">
        <w:rPr>
          <w:rFonts w:ascii="Times New Roman" w:hAnsi="Times New Roman" w:cs="Times New Roman"/>
          <w:sz w:val="24"/>
          <w:szCs w:val="24"/>
        </w:rPr>
        <w:t xml:space="preserve"> 2019, Member States decided to look at certain broad tax exemptions, </w:t>
      </w:r>
      <w:r w:rsidR="001D7EC6" w:rsidRPr="00E558AE">
        <w:rPr>
          <w:rFonts w:ascii="Times New Roman" w:hAnsi="Times New Roman" w:cs="Times New Roman"/>
          <w:sz w:val="24"/>
          <w:szCs w:val="24"/>
        </w:rPr>
        <w:t>which could pose the same risk of preferential</w:t>
      </w:r>
      <w:r w:rsidR="00CE4B99" w:rsidRPr="00E558AE">
        <w:rPr>
          <w:rFonts w:ascii="Times New Roman" w:hAnsi="Times New Roman" w:cs="Times New Roman"/>
          <w:sz w:val="24"/>
          <w:szCs w:val="24"/>
        </w:rPr>
        <w:t xml:space="preserve"> tax regimes. The Commission will continue to review the international tax landscape to identify </w:t>
      </w:r>
      <w:r w:rsidR="00BF7143" w:rsidRPr="00E558AE">
        <w:rPr>
          <w:rFonts w:ascii="Times New Roman" w:hAnsi="Times New Roman" w:cs="Times New Roman"/>
          <w:sz w:val="24"/>
          <w:szCs w:val="24"/>
        </w:rPr>
        <w:t>any new business and tax planning practices that could be problematic</w:t>
      </w:r>
      <w:r w:rsidR="00CE4B99" w:rsidRPr="00E558AE">
        <w:rPr>
          <w:rFonts w:ascii="Times New Roman" w:hAnsi="Times New Roman" w:cs="Times New Roman"/>
          <w:sz w:val="24"/>
          <w:szCs w:val="24"/>
        </w:rPr>
        <w:t xml:space="preserve">. </w:t>
      </w:r>
    </w:p>
    <w:p w:rsidR="00CE4B99" w:rsidRPr="00E558AE" w:rsidRDefault="00CE4B99" w:rsidP="007C2B84">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 xml:space="preserve">Finally, it </w:t>
      </w:r>
      <w:r w:rsidR="00BF7143" w:rsidRPr="00E558AE">
        <w:rPr>
          <w:rFonts w:ascii="Times New Roman" w:hAnsi="Times New Roman" w:cs="Times New Roman"/>
          <w:sz w:val="24"/>
          <w:szCs w:val="24"/>
        </w:rPr>
        <w:t>is</w:t>
      </w:r>
      <w:r w:rsidRPr="00E558AE">
        <w:rPr>
          <w:rFonts w:ascii="Times New Roman" w:hAnsi="Times New Roman" w:cs="Times New Roman"/>
          <w:sz w:val="24"/>
          <w:szCs w:val="24"/>
        </w:rPr>
        <w:t xml:space="preserve"> important to </w:t>
      </w:r>
      <w:r w:rsidR="00BF7143" w:rsidRPr="00E558AE">
        <w:rPr>
          <w:rFonts w:ascii="Times New Roman" w:hAnsi="Times New Roman" w:cs="Times New Roman"/>
          <w:sz w:val="24"/>
          <w:szCs w:val="24"/>
        </w:rPr>
        <w:t>closely monitor the</w:t>
      </w:r>
      <w:r w:rsidRPr="00E558AE">
        <w:rPr>
          <w:rFonts w:ascii="Times New Roman" w:hAnsi="Times New Roman" w:cs="Times New Roman"/>
          <w:sz w:val="24"/>
          <w:szCs w:val="24"/>
        </w:rPr>
        <w:t xml:space="preserve"> jurisdictions that have already been clear</w:t>
      </w:r>
      <w:r w:rsidR="00C938DA" w:rsidRPr="00E558AE">
        <w:rPr>
          <w:rFonts w:ascii="Times New Roman" w:hAnsi="Times New Roman" w:cs="Times New Roman"/>
          <w:sz w:val="24"/>
          <w:szCs w:val="24"/>
        </w:rPr>
        <w:t>ed under the EU listing process. This will</w:t>
      </w:r>
      <w:r w:rsidRPr="00E558AE">
        <w:rPr>
          <w:rFonts w:ascii="Times New Roman" w:hAnsi="Times New Roman" w:cs="Times New Roman"/>
          <w:sz w:val="24"/>
          <w:szCs w:val="24"/>
        </w:rPr>
        <w:t xml:space="preserve"> ensure that the reforms are effectively implemented</w:t>
      </w:r>
      <w:r w:rsidR="00BF7143" w:rsidRPr="00E558AE">
        <w:rPr>
          <w:rFonts w:ascii="Times New Roman" w:hAnsi="Times New Roman" w:cs="Times New Roman"/>
          <w:sz w:val="24"/>
          <w:szCs w:val="24"/>
        </w:rPr>
        <w:t xml:space="preserve"> and there is no backtracking</w:t>
      </w:r>
      <w:r w:rsidRPr="00E558AE">
        <w:rPr>
          <w:rFonts w:ascii="Times New Roman" w:hAnsi="Times New Roman" w:cs="Times New Roman"/>
          <w:sz w:val="24"/>
          <w:szCs w:val="24"/>
        </w:rPr>
        <w:t xml:space="preserve">. The Commission </w:t>
      </w:r>
      <w:r w:rsidR="00BF7143" w:rsidRPr="00E558AE">
        <w:rPr>
          <w:rFonts w:ascii="Times New Roman" w:hAnsi="Times New Roman" w:cs="Times New Roman"/>
          <w:sz w:val="24"/>
          <w:szCs w:val="24"/>
        </w:rPr>
        <w:t xml:space="preserve">will </w:t>
      </w:r>
      <w:r w:rsidR="00AF3027" w:rsidRPr="00E558AE">
        <w:rPr>
          <w:rFonts w:ascii="Times New Roman" w:hAnsi="Times New Roman" w:cs="Times New Roman"/>
          <w:sz w:val="24"/>
          <w:szCs w:val="24"/>
        </w:rPr>
        <w:t xml:space="preserve">conduct this monitoring and report to the Member States. It will also coordinate with </w:t>
      </w:r>
      <w:r w:rsidR="00BF7143" w:rsidRPr="00E558AE">
        <w:rPr>
          <w:rFonts w:ascii="Times New Roman" w:hAnsi="Times New Roman" w:cs="Times New Roman"/>
          <w:sz w:val="24"/>
          <w:szCs w:val="24"/>
        </w:rPr>
        <w:t xml:space="preserve">the OECD to ensure that the EU and international monitoring processes are as aligned as possible. </w:t>
      </w:r>
    </w:p>
    <w:p w:rsidR="00AF3027" w:rsidRPr="00E558AE" w:rsidRDefault="00AF3027" w:rsidP="007C2B84">
      <w:pPr>
        <w:pStyle w:val="ListParagraph"/>
        <w:spacing w:line="276" w:lineRule="auto"/>
        <w:jc w:val="both"/>
        <w:rPr>
          <w:rFonts w:ascii="Times New Roman" w:hAnsi="Times New Roman" w:cs="Times New Roman"/>
          <w:sz w:val="24"/>
          <w:szCs w:val="24"/>
        </w:rPr>
      </w:pPr>
    </w:p>
    <w:p w:rsidR="00DE2DF5" w:rsidRPr="00E558AE" w:rsidRDefault="00867717" w:rsidP="009375B6">
      <w:pPr>
        <w:pStyle w:val="ListParagraph"/>
        <w:numPr>
          <w:ilvl w:val="0"/>
          <w:numId w:val="14"/>
        </w:numPr>
        <w:spacing w:after="200" w:line="276" w:lineRule="auto"/>
        <w:jc w:val="both"/>
        <w:rPr>
          <w:rFonts w:ascii="Times New Roman" w:hAnsi="Times New Roman" w:cs="Times New Roman"/>
          <w:i/>
          <w:sz w:val="24"/>
          <w:szCs w:val="24"/>
        </w:rPr>
      </w:pPr>
      <w:r w:rsidRPr="00E558AE">
        <w:rPr>
          <w:rFonts w:ascii="Times New Roman" w:hAnsi="Times New Roman" w:cs="Times New Roman"/>
          <w:i/>
          <w:sz w:val="24"/>
          <w:szCs w:val="24"/>
        </w:rPr>
        <w:t xml:space="preserve">(c) </w:t>
      </w:r>
      <w:r w:rsidR="00F2215D" w:rsidRPr="00E558AE">
        <w:rPr>
          <w:rFonts w:ascii="Times New Roman" w:hAnsi="Times New Roman" w:cs="Times New Roman"/>
          <w:i/>
          <w:sz w:val="24"/>
          <w:szCs w:val="24"/>
        </w:rPr>
        <w:t>Boosting t</w:t>
      </w:r>
      <w:r w:rsidR="00DE2DF5" w:rsidRPr="00E558AE">
        <w:rPr>
          <w:rFonts w:ascii="Times New Roman" w:hAnsi="Times New Roman" w:cs="Times New Roman"/>
          <w:i/>
          <w:sz w:val="24"/>
          <w:szCs w:val="24"/>
        </w:rPr>
        <w:t xml:space="preserve">ransparency and accountability </w:t>
      </w:r>
      <w:r w:rsidR="006A640C" w:rsidRPr="00E558AE">
        <w:rPr>
          <w:rFonts w:ascii="Times New Roman" w:hAnsi="Times New Roman" w:cs="Times New Roman"/>
          <w:i/>
          <w:sz w:val="24"/>
          <w:szCs w:val="24"/>
        </w:rPr>
        <w:t xml:space="preserve"> </w:t>
      </w:r>
    </w:p>
    <w:p w:rsidR="006A640C" w:rsidRPr="00E558AE" w:rsidRDefault="00C938DA" w:rsidP="007C2B84">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T</w:t>
      </w:r>
      <w:r w:rsidR="00AF3027" w:rsidRPr="00E558AE">
        <w:rPr>
          <w:rFonts w:ascii="Times New Roman" w:hAnsi="Times New Roman" w:cs="Times New Roman"/>
          <w:sz w:val="24"/>
          <w:szCs w:val="24"/>
        </w:rPr>
        <w:t xml:space="preserve">he EU listing process has created a new framework for </w:t>
      </w:r>
      <w:r w:rsidR="006A640C" w:rsidRPr="00E558AE">
        <w:rPr>
          <w:rFonts w:ascii="Times New Roman" w:hAnsi="Times New Roman" w:cs="Times New Roman"/>
          <w:sz w:val="24"/>
          <w:szCs w:val="24"/>
        </w:rPr>
        <w:t>r</w:t>
      </w:r>
      <w:r w:rsidR="00AF3027" w:rsidRPr="00E558AE">
        <w:rPr>
          <w:rFonts w:ascii="Times New Roman" w:hAnsi="Times New Roman" w:cs="Times New Roman"/>
          <w:sz w:val="24"/>
          <w:szCs w:val="24"/>
        </w:rPr>
        <w:t>egular discuss</w:t>
      </w:r>
      <w:r w:rsidR="00CD7131" w:rsidRPr="00E558AE">
        <w:rPr>
          <w:rFonts w:ascii="Times New Roman" w:hAnsi="Times New Roman" w:cs="Times New Roman"/>
          <w:sz w:val="24"/>
          <w:szCs w:val="24"/>
        </w:rPr>
        <w:t>ion between the EU and its international partners on</w:t>
      </w:r>
      <w:r w:rsidR="00AF3027" w:rsidRPr="00E558AE">
        <w:rPr>
          <w:rFonts w:ascii="Times New Roman" w:hAnsi="Times New Roman" w:cs="Times New Roman"/>
          <w:sz w:val="24"/>
          <w:szCs w:val="24"/>
        </w:rPr>
        <w:t xml:space="preserve"> tax good governance issues. </w:t>
      </w:r>
      <w:r w:rsidR="00CD7131" w:rsidRPr="00E558AE">
        <w:rPr>
          <w:rFonts w:ascii="Times New Roman" w:hAnsi="Times New Roman" w:cs="Times New Roman"/>
          <w:sz w:val="24"/>
          <w:szCs w:val="24"/>
        </w:rPr>
        <w:t>T</w:t>
      </w:r>
      <w:r w:rsidR="00AF3027" w:rsidRPr="00E558AE">
        <w:rPr>
          <w:rFonts w:ascii="Times New Roman" w:hAnsi="Times New Roman" w:cs="Times New Roman"/>
          <w:sz w:val="24"/>
          <w:szCs w:val="24"/>
        </w:rPr>
        <w:t xml:space="preserve">he Commission has </w:t>
      </w:r>
      <w:r w:rsidR="00CD7131" w:rsidRPr="00E558AE">
        <w:rPr>
          <w:rFonts w:ascii="Times New Roman" w:hAnsi="Times New Roman" w:cs="Times New Roman"/>
          <w:sz w:val="24"/>
          <w:szCs w:val="24"/>
        </w:rPr>
        <w:t xml:space="preserve">always </w:t>
      </w:r>
      <w:r w:rsidR="00AF3027" w:rsidRPr="00E558AE">
        <w:rPr>
          <w:rFonts w:ascii="Times New Roman" w:hAnsi="Times New Roman" w:cs="Times New Roman"/>
          <w:sz w:val="24"/>
          <w:szCs w:val="24"/>
        </w:rPr>
        <w:t xml:space="preserve">put strong emphasis on the need for dialogue and engagement with the third countries concerned. </w:t>
      </w:r>
      <w:r w:rsidR="00157E40" w:rsidRPr="00E558AE">
        <w:rPr>
          <w:rFonts w:ascii="Times New Roman" w:hAnsi="Times New Roman" w:cs="Times New Roman"/>
          <w:sz w:val="24"/>
          <w:szCs w:val="24"/>
        </w:rPr>
        <w:t xml:space="preserve">Over the past four years, there have been thousands of contacts and exchanges at technical, diplomatic and political level, both directly and through multilateral fora. </w:t>
      </w:r>
      <w:r w:rsidR="006A640C" w:rsidRPr="00E558AE">
        <w:rPr>
          <w:rFonts w:ascii="Times New Roman" w:hAnsi="Times New Roman" w:cs="Times New Roman"/>
          <w:sz w:val="24"/>
          <w:szCs w:val="24"/>
        </w:rPr>
        <w:t xml:space="preserve">This has helped to clarify the EU’s expectations when it comes to tax good governance worldwide, while also allowing the EU to </w:t>
      </w:r>
      <w:r w:rsidR="00A0263B">
        <w:rPr>
          <w:rFonts w:ascii="Times New Roman" w:hAnsi="Times New Roman" w:cs="Times New Roman"/>
          <w:sz w:val="24"/>
          <w:szCs w:val="24"/>
        </w:rPr>
        <w:t xml:space="preserve">better understand the positions of </w:t>
      </w:r>
      <w:r w:rsidR="006A640C" w:rsidRPr="00E558AE">
        <w:rPr>
          <w:rFonts w:ascii="Times New Roman" w:hAnsi="Times New Roman" w:cs="Times New Roman"/>
          <w:sz w:val="24"/>
          <w:szCs w:val="24"/>
        </w:rPr>
        <w:t xml:space="preserve">its global partners on tax </w:t>
      </w:r>
      <w:r w:rsidRPr="00E558AE">
        <w:rPr>
          <w:rFonts w:ascii="Times New Roman" w:hAnsi="Times New Roman" w:cs="Times New Roman"/>
          <w:sz w:val="24"/>
          <w:szCs w:val="24"/>
        </w:rPr>
        <w:t>good governance issues</w:t>
      </w:r>
      <w:r w:rsidR="006A640C" w:rsidRPr="00E558AE">
        <w:rPr>
          <w:rFonts w:ascii="Times New Roman" w:hAnsi="Times New Roman" w:cs="Times New Roman"/>
          <w:sz w:val="24"/>
          <w:szCs w:val="24"/>
        </w:rPr>
        <w:t xml:space="preserve">. </w:t>
      </w:r>
      <w:r w:rsidR="00DE2DF5" w:rsidRPr="00E558AE">
        <w:rPr>
          <w:rFonts w:ascii="Times New Roman" w:hAnsi="Times New Roman" w:cs="Times New Roman"/>
          <w:sz w:val="24"/>
          <w:szCs w:val="24"/>
        </w:rPr>
        <w:t xml:space="preserve">The </w:t>
      </w:r>
      <w:r w:rsidR="006A640C" w:rsidRPr="00E558AE">
        <w:rPr>
          <w:rFonts w:ascii="Times New Roman" w:hAnsi="Times New Roman" w:cs="Times New Roman"/>
          <w:sz w:val="24"/>
          <w:szCs w:val="24"/>
        </w:rPr>
        <w:t>Commission</w:t>
      </w:r>
      <w:r w:rsidR="00DE2DF5" w:rsidRPr="00E558AE">
        <w:rPr>
          <w:rFonts w:ascii="Times New Roman" w:hAnsi="Times New Roman" w:cs="Times New Roman"/>
          <w:sz w:val="24"/>
          <w:szCs w:val="24"/>
        </w:rPr>
        <w:t xml:space="preserve"> is committed to </w:t>
      </w:r>
      <w:r w:rsidR="006A640C" w:rsidRPr="00E558AE">
        <w:rPr>
          <w:rFonts w:ascii="Times New Roman" w:hAnsi="Times New Roman" w:cs="Times New Roman"/>
          <w:sz w:val="24"/>
          <w:szCs w:val="24"/>
        </w:rPr>
        <w:t>further strengthening</w:t>
      </w:r>
      <w:r w:rsidR="00DE2DF5" w:rsidRPr="00E558AE">
        <w:rPr>
          <w:rFonts w:ascii="Times New Roman" w:hAnsi="Times New Roman" w:cs="Times New Roman"/>
          <w:sz w:val="24"/>
          <w:szCs w:val="24"/>
        </w:rPr>
        <w:t xml:space="preserve"> </w:t>
      </w:r>
      <w:r w:rsidR="006A640C" w:rsidRPr="00E558AE">
        <w:rPr>
          <w:rFonts w:ascii="Times New Roman" w:hAnsi="Times New Roman" w:cs="Times New Roman"/>
          <w:sz w:val="24"/>
          <w:szCs w:val="24"/>
        </w:rPr>
        <w:t xml:space="preserve">this </w:t>
      </w:r>
      <w:r w:rsidRPr="00E558AE">
        <w:rPr>
          <w:rFonts w:ascii="Times New Roman" w:hAnsi="Times New Roman" w:cs="Times New Roman"/>
          <w:sz w:val="24"/>
          <w:szCs w:val="24"/>
        </w:rPr>
        <w:t>positive</w:t>
      </w:r>
      <w:r w:rsidR="006A640C" w:rsidRPr="00E558AE">
        <w:rPr>
          <w:rFonts w:ascii="Times New Roman" w:hAnsi="Times New Roman" w:cs="Times New Roman"/>
          <w:sz w:val="24"/>
          <w:szCs w:val="24"/>
        </w:rPr>
        <w:t xml:space="preserve"> dialogue</w:t>
      </w:r>
      <w:r w:rsidRPr="00E558AE">
        <w:rPr>
          <w:rFonts w:ascii="Times New Roman" w:hAnsi="Times New Roman" w:cs="Times New Roman"/>
          <w:sz w:val="24"/>
          <w:szCs w:val="24"/>
        </w:rPr>
        <w:t xml:space="preserve"> process</w:t>
      </w:r>
      <w:r w:rsidR="006A640C" w:rsidRPr="00E558AE">
        <w:rPr>
          <w:rFonts w:ascii="Times New Roman" w:hAnsi="Times New Roman" w:cs="Times New Roman"/>
          <w:sz w:val="24"/>
          <w:szCs w:val="24"/>
        </w:rPr>
        <w:t>, moving forward</w:t>
      </w:r>
      <w:r w:rsidR="009C77BA">
        <w:rPr>
          <w:rFonts w:ascii="Times New Roman" w:hAnsi="Times New Roman" w:cs="Times New Roman"/>
          <w:sz w:val="24"/>
          <w:szCs w:val="24"/>
        </w:rPr>
        <w:t xml:space="preserve">, in cooperation with the </w:t>
      </w:r>
      <w:r w:rsidR="00FE36B3">
        <w:rPr>
          <w:rFonts w:ascii="Times New Roman" w:hAnsi="Times New Roman" w:cs="Times New Roman"/>
          <w:sz w:val="24"/>
          <w:szCs w:val="24"/>
        </w:rPr>
        <w:t>High Representative</w:t>
      </w:r>
      <w:r w:rsidR="00DE2DF5" w:rsidRPr="00E558AE">
        <w:rPr>
          <w:rFonts w:ascii="Times New Roman" w:hAnsi="Times New Roman" w:cs="Times New Roman"/>
          <w:sz w:val="24"/>
          <w:szCs w:val="24"/>
        </w:rPr>
        <w:t xml:space="preserve">. </w:t>
      </w:r>
      <w:r w:rsidR="006A640C" w:rsidRPr="00E558AE">
        <w:rPr>
          <w:rFonts w:ascii="Times New Roman" w:hAnsi="Times New Roman" w:cs="Times New Roman"/>
          <w:sz w:val="24"/>
          <w:szCs w:val="24"/>
        </w:rPr>
        <w:t xml:space="preserve">In this respect, it will work to establish an annual gathering for </w:t>
      </w:r>
      <w:r w:rsidR="00545A75" w:rsidRPr="00E558AE">
        <w:rPr>
          <w:rFonts w:ascii="Times New Roman" w:hAnsi="Times New Roman" w:cs="Times New Roman"/>
          <w:sz w:val="24"/>
          <w:szCs w:val="24"/>
        </w:rPr>
        <w:t xml:space="preserve">representatives </w:t>
      </w:r>
      <w:r w:rsidRPr="00E558AE">
        <w:rPr>
          <w:rFonts w:ascii="Times New Roman" w:hAnsi="Times New Roman" w:cs="Times New Roman"/>
          <w:sz w:val="24"/>
          <w:szCs w:val="24"/>
        </w:rPr>
        <w:t xml:space="preserve">of the jurisdictions, </w:t>
      </w:r>
      <w:r w:rsidR="006A640C" w:rsidRPr="00E558AE">
        <w:rPr>
          <w:rFonts w:ascii="Times New Roman" w:hAnsi="Times New Roman" w:cs="Times New Roman"/>
          <w:sz w:val="24"/>
          <w:szCs w:val="24"/>
        </w:rPr>
        <w:t xml:space="preserve">to discuss EU listing </w:t>
      </w:r>
      <w:r w:rsidRPr="00E558AE">
        <w:rPr>
          <w:rFonts w:ascii="Times New Roman" w:hAnsi="Times New Roman" w:cs="Times New Roman"/>
          <w:sz w:val="24"/>
          <w:szCs w:val="24"/>
        </w:rPr>
        <w:t>issues</w:t>
      </w:r>
      <w:r w:rsidR="006A640C" w:rsidRPr="00E558AE">
        <w:rPr>
          <w:rFonts w:ascii="Times New Roman" w:hAnsi="Times New Roman" w:cs="Times New Roman"/>
          <w:sz w:val="24"/>
          <w:szCs w:val="24"/>
        </w:rPr>
        <w:t xml:space="preserve"> and </w:t>
      </w:r>
      <w:r w:rsidRPr="00E558AE">
        <w:rPr>
          <w:rFonts w:ascii="Times New Roman" w:hAnsi="Times New Roman" w:cs="Times New Roman"/>
          <w:sz w:val="24"/>
          <w:szCs w:val="24"/>
        </w:rPr>
        <w:t xml:space="preserve">to </w:t>
      </w:r>
      <w:r w:rsidR="006A640C" w:rsidRPr="00E558AE">
        <w:rPr>
          <w:rFonts w:ascii="Times New Roman" w:hAnsi="Times New Roman" w:cs="Times New Roman"/>
          <w:sz w:val="24"/>
          <w:szCs w:val="24"/>
        </w:rPr>
        <w:t xml:space="preserve">share information and best practices. </w:t>
      </w:r>
    </w:p>
    <w:p w:rsidR="00867717" w:rsidRPr="00E558AE" w:rsidRDefault="00867717" w:rsidP="007C2B84">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The Commission will also draw on the dialogue with third countries to identify reasonable concerns, which it will relay to the Member States in an effort to find solutions. For example, the continued use of national tax lists</w:t>
      </w:r>
      <w:r w:rsidR="00FE36B3">
        <w:rPr>
          <w:rFonts w:ascii="Times New Roman" w:hAnsi="Times New Roman" w:cs="Times New Roman"/>
          <w:sz w:val="24"/>
          <w:szCs w:val="24"/>
        </w:rPr>
        <w:t xml:space="preserve"> of Member States</w:t>
      </w:r>
      <w:r w:rsidR="00C938DA" w:rsidRPr="00E558AE">
        <w:rPr>
          <w:rFonts w:ascii="Times New Roman" w:hAnsi="Times New Roman" w:cs="Times New Roman"/>
          <w:sz w:val="24"/>
          <w:szCs w:val="24"/>
        </w:rPr>
        <w:t>,</w:t>
      </w:r>
      <w:r w:rsidRPr="00E558AE">
        <w:rPr>
          <w:rFonts w:ascii="Times New Roman" w:hAnsi="Times New Roman" w:cs="Times New Roman"/>
          <w:sz w:val="24"/>
          <w:szCs w:val="24"/>
        </w:rPr>
        <w:t xml:space="preserve"> in parallel to the EU listing process</w:t>
      </w:r>
      <w:r w:rsidR="00C938DA" w:rsidRPr="00E558AE">
        <w:rPr>
          <w:rFonts w:ascii="Times New Roman" w:hAnsi="Times New Roman" w:cs="Times New Roman"/>
          <w:sz w:val="24"/>
          <w:szCs w:val="24"/>
        </w:rPr>
        <w:t>,</w:t>
      </w:r>
      <w:r w:rsidRPr="00E558AE">
        <w:rPr>
          <w:rFonts w:ascii="Times New Roman" w:hAnsi="Times New Roman" w:cs="Times New Roman"/>
          <w:sz w:val="24"/>
          <w:szCs w:val="24"/>
        </w:rPr>
        <w:t xml:space="preserve"> </w:t>
      </w:r>
      <w:r w:rsidR="00954A9D">
        <w:rPr>
          <w:rFonts w:ascii="Times New Roman" w:hAnsi="Times New Roman" w:cs="Times New Roman"/>
          <w:sz w:val="24"/>
          <w:szCs w:val="24"/>
        </w:rPr>
        <w:t>is</w:t>
      </w:r>
      <w:r w:rsidRPr="00E558AE">
        <w:rPr>
          <w:rFonts w:ascii="Times New Roman" w:hAnsi="Times New Roman" w:cs="Times New Roman"/>
          <w:sz w:val="24"/>
          <w:szCs w:val="24"/>
        </w:rPr>
        <w:t xml:space="preserve"> a source of confusion </w:t>
      </w:r>
      <w:r w:rsidR="005C6C9B">
        <w:rPr>
          <w:rFonts w:ascii="Times New Roman" w:hAnsi="Times New Roman" w:cs="Times New Roman"/>
          <w:sz w:val="24"/>
          <w:szCs w:val="24"/>
        </w:rPr>
        <w:t xml:space="preserve">and uncertainty </w:t>
      </w:r>
      <w:r w:rsidRPr="00E558AE">
        <w:rPr>
          <w:rFonts w:ascii="Times New Roman" w:hAnsi="Times New Roman" w:cs="Times New Roman"/>
          <w:sz w:val="24"/>
          <w:szCs w:val="24"/>
        </w:rPr>
        <w:t xml:space="preserve">for </w:t>
      </w:r>
      <w:r w:rsidR="005C6C9B">
        <w:rPr>
          <w:rFonts w:ascii="Times New Roman" w:hAnsi="Times New Roman" w:cs="Times New Roman"/>
          <w:sz w:val="24"/>
          <w:szCs w:val="24"/>
        </w:rPr>
        <w:t>a large number of</w:t>
      </w:r>
      <w:r w:rsidR="005C6C9B" w:rsidRPr="00E558AE">
        <w:rPr>
          <w:rFonts w:ascii="Times New Roman" w:hAnsi="Times New Roman" w:cs="Times New Roman"/>
          <w:sz w:val="24"/>
          <w:szCs w:val="24"/>
        </w:rPr>
        <w:t xml:space="preserve"> </w:t>
      </w:r>
      <w:r w:rsidRPr="00E558AE">
        <w:rPr>
          <w:rFonts w:ascii="Times New Roman" w:hAnsi="Times New Roman" w:cs="Times New Roman"/>
          <w:sz w:val="24"/>
          <w:szCs w:val="24"/>
        </w:rPr>
        <w:t>third countries. This is particularly the case when the</w:t>
      </w:r>
      <w:r w:rsidR="00C938DA" w:rsidRPr="00E558AE">
        <w:rPr>
          <w:rFonts w:ascii="Times New Roman" w:hAnsi="Times New Roman" w:cs="Times New Roman"/>
          <w:sz w:val="24"/>
          <w:szCs w:val="24"/>
        </w:rPr>
        <w:t xml:space="preserve"> national</w:t>
      </w:r>
      <w:r w:rsidRPr="00E558AE">
        <w:rPr>
          <w:rFonts w:ascii="Times New Roman" w:hAnsi="Times New Roman" w:cs="Times New Roman"/>
          <w:sz w:val="24"/>
          <w:szCs w:val="24"/>
        </w:rPr>
        <w:t xml:space="preserve"> criteria and listing processes </w:t>
      </w:r>
      <w:r w:rsidR="00C938DA" w:rsidRPr="00E558AE">
        <w:rPr>
          <w:rFonts w:ascii="Times New Roman" w:hAnsi="Times New Roman" w:cs="Times New Roman"/>
          <w:sz w:val="24"/>
          <w:szCs w:val="24"/>
        </w:rPr>
        <w:t>are not clearly communicated</w:t>
      </w:r>
      <w:r w:rsidRPr="00E558AE">
        <w:rPr>
          <w:rFonts w:ascii="Times New Roman" w:hAnsi="Times New Roman" w:cs="Times New Roman"/>
          <w:sz w:val="24"/>
          <w:szCs w:val="24"/>
        </w:rPr>
        <w:t xml:space="preserve"> or when there are </w:t>
      </w:r>
      <w:r w:rsidR="00C938DA" w:rsidRPr="00E558AE">
        <w:rPr>
          <w:rFonts w:ascii="Times New Roman" w:hAnsi="Times New Roman" w:cs="Times New Roman"/>
          <w:sz w:val="24"/>
          <w:szCs w:val="24"/>
        </w:rPr>
        <w:t>differences</w:t>
      </w:r>
      <w:r w:rsidRPr="00E558AE">
        <w:rPr>
          <w:rFonts w:ascii="Times New Roman" w:hAnsi="Times New Roman" w:cs="Times New Roman"/>
          <w:sz w:val="24"/>
          <w:szCs w:val="24"/>
        </w:rPr>
        <w:t xml:space="preserve"> between </w:t>
      </w:r>
      <w:r w:rsidR="00C938DA" w:rsidRPr="00E558AE">
        <w:rPr>
          <w:rFonts w:ascii="Times New Roman" w:hAnsi="Times New Roman" w:cs="Times New Roman"/>
          <w:sz w:val="24"/>
          <w:szCs w:val="24"/>
        </w:rPr>
        <w:t xml:space="preserve">the countries put on </w:t>
      </w:r>
      <w:r w:rsidRPr="00E558AE">
        <w:rPr>
          <w:rFonts w:ascii="Times New Roman" w:hAnsi="Times New Roman" w:cs="Times New Roman"/>
          <w:sz w:val="24"/>
          <w:szCs w:val="24"/>
        </w:rPr>
        <w:t xml:space="preserve">the EU list and national lists. </w:t>
      </w:r>
      <w:r w:rsidR="00C0468B">
        <w:rPr>
          <w:rFonts w:ascii="Times New Roman" w:hAnsi="Times New Roman" w:cs="Times New Roman"/>
          <w:sz w:val="24"/>
          <w:szCs w:val="24"/>
        </w:rPr>
        <w:t>T</w:t>
      </w:r>
      <w:r w:rsidRPr="00E558AE">
        <w:rPr>
          <w:rFonts w:ascii="Times New Roman" w:hAnsi="Times New Roman" w:cs="Times New Roman"/>
          <w:sz w:val="24"/>
          <w:szCs w:val="24"/>
        </w:rPr>
        <w:t>here are strong arguments for aligning these to the EU listing process</w:t>
      </w:r>
      <w:r w:rsidR="00D02220" w:rsidRPr="00E558AE">
        <w:rPr>
          <w:rFonts w:ascii="Times New Roman" w:hAnsi="Times New Roman" w:cs="Times New Roman"/>
          <w:sz w:val="24"/>
          <w:szCs w:val="24"/>
        </w:rPr>
        <w:t xml:space="preserve"> for </w:t>
      </w:r>
      <w:r w:rsidR="00A0406E" w:rsidRPr="00E558AE">
        <w:rPr>
          <w:rFonts w:ascii="Times New Roman" w:hAnsi="Times New Roman" w:cs="Times New Roman"/>
          <w:sz w:val="24"/>
          <w:szCs w:val="24"/>
        </w:rPr>
        <w:t>countries, which</w:t>
      </w:r>
      <w:r w:rsidR="00D02220" w:rsidRPr="00E558AE">
        <w:rPr>
          <w:rFonts w:ascii="Times New Roman" w:hAnsi="Times New Roman" w:cs="Times New Roman"/>
          <w:sz w:val="24"/>
          <w:szCs w:val="24"/>
        </w:rPr>
        <w:t xml:space="preserve"> have been screened under the latter</w:t>
      </w:r>
      <w:r w:rsidRPr="00E558AE">
        <w:rPr>
          <w:rFonts w:ascii="Times New Roman" w:hAnsi="Times New Roman" w:cs="Times New Roman"/>
          <w:sz w:val="24"/>
          <w:szCs w:val="24"/>
        </w:rPr>
        <w:t>, for coherence and to provide clarity for third countries and businesses. The Commission will launch a discussion on this issue with the Member States and explore how to further coordinate the approach to listing jurisdictions for tax purposes</w:t>
      </w:r>
      <w:r w:rsidR="00006652">
        <w:rPr>
          <w:rFonts w:ascii="Times New Roman" w:hAnsi="Times New Roman" w:cs="Times New Roman"/>
          <w:sz w:val="24"/>
          <w:szCs w:val="24"/>
        </w:rPr>
        <w:t xml:space="preserve"> so as to ensure that third countries are treated in a consistent way by the EU and its Member States</w:t>
      </w:r>
      <w:r w:rsidRPr="00E558AE">
        <w:rPr>
          <w:rFonts w:ascii="Times New Roman" w:hAnsi="Times New Roman" w:cs="Times New Roman"/>
          <w:sz w:val="24"/>
          <w:szCs w:val="24"/>
        </w:rPr>
        <w:t xml:space="preserve">.  </w:t>
      </w:r>
    </w:p>
    <w:p w:rsidR="00C60DE2" w:rsidRPr="00E558AE" w:rsidRDefault="00F10897" w:rsidP="007C2B84">
      <w:pPr>
        <w:spacing w:after="0" w:line="276" w:lineRule="auto"/>
        <w:jc w:val="both"/>
        <w:rPr>
          <w:rFonts w:ascii="Times New Roman" w:hAnsi="Times New Roman" w:cs="Times New Roman"/>
          <w:sz w:val="24"/>
          <w:szCs w:val="24"/>
        </w:rPr>
      </w:pPr>
      <w:r w:rsidRPr="00E558AE">
        <w:rPr>
          <w:rFonts w:ascii="Times New Roman" w:hAnsi="Times New Roman" w:cs="Times New Roman"/>
          <w:sz w:val="24"/>
          <w:szCs w:val="24"/>
        </w:rPr>
        <w:t>F</w:t>
      </w:r>
      <w:r w:rsidR="00867717" w:rsidRPr="00E558AE">
        <w:rPr>
          <w:rFonts w:ascii="Times New Roman" w:hAnsi="Times New Roman" w:cs="Times New Roman"/>
          <w:sz w:val="24"/>
          <w:szCs w:val="24"/>
        </w:rPr>
        <w:t>inally</w:t>
      </w:r>
      <w:r w:rsidRPr="00E558AE">
        <w:rPr>
          <w:rFonts w:ascii="Times New Roman" w:hAnsi="Times New Roman" w:cs="Times New Roman"/>
          <w:sz w:val="24"/>
          <w:szCs w:val="24"/>
        </w:rPr>
        <w:t>, t</w:t>
      </w:r>
      <w:r w:rsidR="00DE2DF5" w:rsidRPr="00E558AE">
        <w:rPr>
          <w:rFonts w:ascii="Times New Roman" w:hAnsi="Times New Roman" w:cs="Times New Roman"/>
          <w:sz w:val="24"/>
          <w:szCs w:val="24"/>
        </w:rPr>
        <w:t>he</w:t>
      </w:r>
      <w:r w:rsidR="006A640C" w:rsidRPr="00E558AE">
        <w:rPr>
          <w:rFonts w:ascii="Times New Roman" w:hAnsi="Times New Roman" w:cs="Times New Roman"/>
          <w:sz w:val="24"/>
          <w:szCs w:val="24"/>
        </w:rPr>
        <w:t xml:space="preserve"> Commission will continue to push for as much transparency and accountability as possible in the EU listing process. In this respect,</w:t>
      </w:r>
      <w:r w:rsidR="00DE2DF5" w:rsidRPr="00E558AE">
        <w:rPr>
          <w:rFonts w:ascii="Times New Roman" w:hAnsi="Times New Roman" w:cs="Times New Roman"/>
          <w:sz w:val="24"/>
          <w:szCs w:val="24"/>
        </w:rPr>
        <w:t xml:space="preserve"> </w:t>
      </w:r>
      <w:r w:rsidR="006A640C" w:rsidRPr="00E558AE">
        <w:rPr>
          <w:rFonts w:ascii="Times New Roman" w:hAnsi="Times New Roman" w:cs="Times New Roman"/>
          <w:sz w:val="24"/>
          <w:szCs w:val="24"/>
        </w:rPr>
        <w:t>t</w:t>
      </w:r>
      <w:r w:rsidR="00DE2DF5" w:rsidRPr="00E558AE">
        <w:rPr>
          <w:rFonts w:ascii="Times New Roman" w:hAnsi="Times New Roman" w:cs="Times New Roman"/>
          <w:sz w:val="24"/>
          <w:szCs w:val="24"/>
        </w:rPr>
        <w:t xml:space="preserve">he European Parliament should be regularly updated on </w:t>
      </w:r>
      <w:r w:rsidR="006A640C" w:rsidRPr="00E558AE">
        <w:rPr>
          <w:rFonts w:ascii="Times New Roman" w:hAnsi="Times New Roman" w:cs="Times New Roman"/>
          <w:sz w:val="24"/>
          <w:szCs w:val="24"/>
        </w:rPr>
        <w:t>developments in</w:t>
      </w:r>
      <w:r w:rsidR="00DE2DF5" w:rsidRPr="00E558AE">
        <w:rPr>
          <w:rFonts w:ascii="Times New Roman" w:hAnsi="Times New Roman" w:cs="Times New Roman"/>
          <w:sz w:val="24"/>
          <w:szCs w:val="24"/>
        </w:rPr>
        <w:t xml:space="preserve"> the EU listing process. </w:t>
      </w:r>
      <w:r w:rsidR="006A640C" w:rsidRPr="00E558AE">
        <w:rPr>
          <w:rFonts w:ascii="Times New Roman" w:hAnsi="Times New Roman" w:cs="Times New Roman"/>
          <w:sz w:val="24"/>
          <w:szCs w:val="24"/>
        </w:rPr>
        <w:t>The Commission will also keep c</w:t>
      </w:r>
      <w:r w:rsidR="00DE2DF5" w:rsidRPr="00E558AE">
        <w:rPr>
          <w:rFonts w:ascii="Times New Roman" w:hAnsi="Times New Roman" w:cs="Times New Roman"/>
          <w:sz w:val="24"/>
          <w:szCs w:val="24"/>
        </w:rPr>
        <w:t>ivil society</w:t>
      </w:r>
      <w:r w:rsidR="006A640C" w:rsidRPr="00E558AE">
        <w:rPr>
          <w:rFonts w:ascii="Times New Roman" w:hAnsi="Times New Roman" w:cs="Times New Roman"/>
          <w:sz w:val="24"/>
          <w:szCs w:val="24"/>
        </w:rPr>
        <w:t xml:space="preserve"> informed </w:t>
      </w:r>
      <w:r w:rsidR="00561A6D" w:rsidRPr="00E558AE">
        <w:rPr>
          <w:rFonts w:ascii="Times New Roman" w:hAnsi="Times New Roman" w:cs="Times New Roman"/>
          <w:sz w:val="24"/>
          <w:szCs w:val="24"/>
        </w:rPr>
        <w:t>with</w:t>
      </w:r>
      <w:r w:rsidR="00DE2DF5" w:rsidRPr="00E558AE">
        <w:rPr>
          <w:rFonts w:ascii="Times New Roman" w:hAnsi="Times New Roman" w:cs="Times New Roman"/>
          <w:sz w:val="24"/>
          <w:szCs w:val="24"/>
        </w:rPr>
        <w:t>in the</w:t>
      </w:r>
      <w:r w:rsidR="00561A6D" w:rsidRPr="00E558AE">
        <w:rPr>
          <w:rFonts w:ascii="Times New Roman" w:hAnsi="Times New Roman" w:cs="Times New Roman"/>
          <w:sz w:val="24"/>
          <w:szCs w:val="24"/>
        </w:rPr>
        <w:t xml:space="preserve"> framework of the</w:t>
      </w:r>
      <w:r w:rsidR="00DE2DF5" w:rsidRPr="00E558AE">
        <w:rPr>
          <w:rFonts w:ascii="Times New Roman" w:hAnsi="Times New Roman" w:cs="Times New Roman"/>
          <w:sz w:val="24"/>
          <w:szCs w:val="24"/>
        </w:rPr>
        <w:t xml:space="preserve"> Platform for Tax </w:t>
      </w:r>
      <w:r w:rsidR="005710BD" w:rsidRPr="00E558AE">
        <w:rPr>
          <w:rFonts w:ascii="Times New Roman" w:hAnsi="Times New Roman" w:cs="Times New Roman"/>
          <w:sz w:val="24"/>
          <w:szCs w:val="24"/>
        </w:rPr>
        <w:t xml:space="preserve">Good </w:t>
      </w:r>
      <w:r w:rsidR="00DE2DF5" w:rsidRPr="00E558AE">
        <w:rPr>
          <w:rFonts w:ascii="Times New Roman" w:hAnsi="Times New Roman" w:cs="Times New Roman"/>
          <w:sz w:val="24"/>
          <w:szCs w:val="24"/>
        </w:rPr>
        <w:t xml:space="preserve">Governance, which was also instrumental </w:t>
      </w:r>
      <w:r w:rsidR="00561A6D" w:rsidRPr="00E558AE">
        <w:rPr>
          <w:rFonts w:ascii="Times New Roman" w:hAnsi="Times New Roman" w:cs="Times New Roman"/>
          <w:sz w:val="24"/>
          <w:szCs w:val="24"/>
        </w:rPr>
        <w:t xml:space="preserve">in </w:t>
      </w:r>
      <w:r w:rsidR="00DE2DF5" w:rsidRPr="00E558AE">
        <w:rPr>
          <w:rFonts w:ascii="Times New Roman" w:hAnsi="Times New Roman" w:cs="Times New Roman"/>
          <w:sz w:val="24"/>
          <w:szCs w:val="24"/>
        </w:rPr>
        <w:t>launch</w:t>
      </w:r>
      <w:r w:rsidR="00561A6D" w:rsidRPr="00E558AE">
        <w:rPr>
          <w:rFonts w:ascii="Times New Roman" w:hAnsi="Times New Roman" w:cs="Times New Roman"/>
          <w:sz w:val="24"/>
          <w:szCs w:val="24"/>
        </w:rPr>
        <w:t>ing</w:t>
      </w:r>
      <w:r w:rsidR="00DE2DF5" w:rsidRPr="00E558AE">
        <w:rPr>
          <w:rFonts w:ascii="Times New Roman" w:hAnsi="Times New Roman" w:cs="Times New Roman"/>
          <w:sz w:val="24"/>
          <w:szCs w:val="24"/>
        </w:rPr>
        <w:t xml:space="preserve"> the EU listing process. </w:t>
      </w:r>
    </w:p>
    <w:p w:rsidR="00633DBF" w:rsidRPr="00E558AE" w:rsidRDefault="00633DBF" w:rsidP="007C2B84">
      <w:pPr>
        <w:spacing w:after="0" w:line="276" w:lineRule="auto"/>
        <w:jc w:val="both"/>
        <w:rPr>
          <w:rFonts w:ascii="Times New Roman" w:hAnsi="Times New Roman" w:cs="Times New Roman"/>
          <w:i/>
          <w:sz w:val="24"/>
          <w:szCs w:val="24"/>
        </w:rPr>
      </w:pPr>
    </w:p>
    <w:p w:rsidR="00F2215D" w:rsidRPr="00E558AE" w:rsidRDefault="00867717" w:rsidP="009375B6">
      <w:pPr>
        <w:pStyle w:val="ListParagraph"/>
        <w:numPr>
          <w:ilvl w:val="0"/>
          <w:numId w:val="15"/>
        </w:numPr>
        <w:spacing w:after="200" w:line="276" w:lineRule="auto"/>
        <w:jc w:val="both"/>
        <w:rPr>
          <w:rFonts w:ascii="Times New Roman" w:eastAsia="Calibri" w:hAnsi="Times New Roman" w:cs="Times New Roman"/>
          <w:i/>
          <w:sz w:val="24"/>
          <w:szCs w:val="24"/>
        </w:rPr>
      </w:pPr>
      <w:r w:rsidRPr="00E558AE">
        <w:rPr>
          <w:rFonts w:ascii="Times New Roman" w:eastAsia="Calibri" w:hAnsi="Times New Roman" w:cs="Times New Roman"/>
          <w:i/>
          <w:sz w:val="24"/>
          <w:szCs w:val="24"/>
        </w:rPr>
        <w:t xml:space="preserve">(d) </w:t>
      </w:r>
      <w:r w:rsidR="00F2215D" w:rsidRPr="00E558AE">
        <w:rPr>
          <w:rFonts w:ascii="Times New Roman" w:eastAsia="Calibri" w:hAnsi="Times New Roman" w:cs="Times New Roman"/>
          <w:i/>
          <w:sz w:val="24"/>
          <w:szCs w:val="24"/>
        </w:rPr>
        <w:t xml:space="preserve">Strengthening tax good governance in </w:t>
      </w:r>
      <w:r w:rsidR="00FE36B3">
        <w:rPr>
          <w:rFonts w:ascii="Times New Roman" w:eastAsia="Calibri" w:hAnsi="Times New Roman" w:cs="Times New Roman"/>
          <w:i/>
          <w:sz w:val="24"/>
          <w:szCs w:val="24"/>
        </w:rPr>
        <w:t>a</w:t>
      </w:r>
      <w:r w:rsidR="00F2215D" w:rsidRPr="00E558AE">
        <w:rPr>
          <w:rFonts w:ascii="Times New Roman" w:eastAsia="Calibri" w:hAnsi="Times New Roman" w:cs="Times New Roman"/>
          <w:i/>
          <w:sz w:val="24"/>
          <w:szCs w:val="24"/>
        </w:rPr>
        <w:t>greements with third countries</w:t>
      </w:r>
      <w:r w:rsidR="00711243">
        <w:rPr>
          <w:rFonts w:ascii="Times New Roman" w:eastAsia="Calibri" w:hAnsi="Times New Roman" w:cs="Times New Roman"/>
          <w:i/>
          <w:sz w:val="24"/>
          <w:szCs w:val="24"/>
        </w:rPr>
        <w:t xml:space="preserve"> and expanding the dialogue with third countries on environmental taxes.</w:t>
      </w:r>
    </w:p>
    <w:p w:rsidR="00C938DA" w:rsidRPr="00E558AE" w:rsidRDefault="00CD7131" w:rsidP="007C2B84">
      <w:pPr>
        <w:spacing w:after="200" w:line="276" w:lineRule="auto"/>
        <w:jc w:val="both"/>
        <w:rPr>
          <w:rFonts w:ascii="Times New Roman" w:eastAsia="Calibri" w:hAnsi="Times New Roman" w:cs="Times New Roman"/>
          <w:sz w:val="24"/>
          <w:szCs w:val="24"/>
        </w:rPr>
      </w:pPr>
      <w:r w:rsidRPr="00E558AE">
        <w:rPr>
          <w:rFonts w:ascii="Times New Roman" w:eastAsia="Calibri" w:hAnsi="Times New Roman" w:cs="Times New Roman"/>
          <w:sz w:val="24"/>
          <w:szCs w:val="24"/>
        </w:rPr>
        <w:t>Another important way in which the</w:t>
      </w:r>
      <w:r w:rsidRPr="00E558AE">
        <w:rPr>
          <w:b/>
          <w:lang w:val="en-IE"/>
        </w:rPr>
        <w:t xml:space="preserve"> </w:t>
      </w:r>
      <w:r w:rsidRPr="00E558AE">
        <w:rPr>
          <w:rFonts w:ascii="Times New Roman" w:eastAsia="Calibri" w:hAnsi="Times New Roman" w:cs="Times New Roman"/>
          <w:sz w:val="24"/>
          <w:szCs w:val="24"/>
        </w:rPr>
        <w:t xml:space="preserve">EU promotes </w:t>
      </w:r>
      <w:r w:rsidR="00697028">
        <w:rPr>
          <w:rFonts w:ascii="Times New Roman" w:eastAsia="Calibri" w:hAnsi="Times New Roman" w:cs="Times New Roman"/>
          <w:sz w:val="24"/>
          <w:szCs w:val="24"/>
        </w:rPr>
        <w:t>fairness in tax matters</w:t>
      </w:r>
      <w:r w:rsidRPr="00E558AE">
        <w:rPr>
          <w:rFonts w:ascii="Times New Roman" w:eastAsia="Calibri" w:hAnsi="Times New Roman" w:cs="Times New Roman"/>
          <w:sz w:val="24"/>
          <w:szCs w:val="24"/>
        </w:rPr>
        <w:t xml:space="preserve"> is </w:t>
      </w:r>
      <w:r w:rsidR="00545A75" w:rsidRPr="00E558AE">
        <w:rPr>
          <w:rFonts w:ascii="Times New Roman" w:eastAsia="Calibri" w:hAnsi="Times New Roman" w:cs="Times New Roman"/>
          <w:sz w:val="24"/>
          <w:szCs w:val="24"/>
        </w:rPr>
        <w:t>through</w:t>
      </w:r>
      <w:r w:rsidRPr="00E558AE">
        <w:rPr>
          <w:rFonts w:ascii="Times New Roman" w:eastAsia="Calibri" w:hAnsi="Times New Roman" w:cs="Times New Roman"/>
          <w:sz w:val="24"/>
          <w:szCs w:val="24"/>
        </w:rPr>
        <w:t xml:space="preserve"> a tax good governance clause in </w:t>
      </w:r>
      <w:r w:rsidR="00A361E0">
        <w:rPr>
          <w:rFonts w:ascii="Times New Roman" w:eastAsia="Calibri" w:hAnsi="Times New Roman" w:cs="Times New Roman"/>
          <w:sz w:val="24"/>
          <w:szCs w:val="24"/>
        </w:rPr>
        <w:t xml:space="preserve">relevant </w:t>
      </w:r>
      <w:r w:rsidR="009D2D05">
        <w:rPr>
          <w:rFonts w:ascii="Times New Roman" w:eastAsia="Calibri" w:hAnsi="Times New Roman" w:cs="Times New Roman"/>
          <w:sz w:val="24"/>
          <w:szCs w:val="24"/>
        </w:rPr>
        <w:t xml:space="preserve">international </w:t>
      </w:r>
      <w:r w:rsidRPr="00E558AE">
        <w:rPr>
          <w:rFonts w:ascii="Times New Roman" w:eastAsia="Calibri" w:hAnsi="Times New Roman" w:cs="Times New Roman"/>
          <w:sz w:val="24"/>
          <w:szCs w:val="24"/>
        </w:rPr>
        <w:t xml:space="preserve">agreements with third countries. </w:t>
      </w:r>
      <w:r w:rsidRPr="00E558AE">
        <w:rPr>
          <w:rFonts w:ascii="Times New Roman" w:eastAsia="Times New Roman" w:hAnsi="Times New Roman" w:cs="Times New Roman"/>
          <w:sz w:val="24"/>
          <w:szCs w:val="24"/>
          <w:lang w:eastAsia="en-GB"/>
        </w:rPr>
        <w:t>The European Parliament considers the tax good governance clause to be one of the “core instruments of EU external policy”</w:t>
      </w:r>
      <w:r w:rsidRPr="00E558AE">
        <w:rPr>
          <w:rFonts w:ascii="Times New Roman" w:eastAsia="Times New Roman" w:hAnsi="Times New Roman" w:cs="Times New Roman"/>
          <w:sz w:val="24"/>
          <w:szCs w:val="24"/>
          <w:vertAlign w:val="superscript"/>
          <w:lang w:eastAsia="en-GB"/>
        </w:rPr>
        <w:footnoteReference w:id="12"/>
      </w:r>
      <w:r w:rsidRPr="00E558AE">
        <w:rPr>
          <w:rFonts w:ascii="Times New Roman" w:eastAsia="Times New Roman" w:hAnsi="Times New Roman" w:cs="Times New Roman"/>
          <w:sz w:val="24"/>
          <w:szCs w:val="24"/>
          <w:lang w:eastAsia="en-GB"/>
        </w:rPr>
        <w:t xml:space="preserve"> and has repeatedly called for it to be systematically included in any relevant EU agreements with third countries and regions. </w:t>
      </w:r>
      <w:r w:rsidRPr="00E558AE">
        <w:rPr>
          <w:rFonts w:ascii="Times New Roman" w:eastAsia="Calibri" w:hAnsi="Times New Roman" w:cs="Times New Roman"/>
          <w:sz w:val="24"/>
          <w:szCs w:val="24"/>
        </w:rPr>
        <w:t>In the 2016 External Strategy</w:t>
      </w:r>
      <w:r w:rsidR="00C938DA" w:rsidRPr="00E558AE">
        <w:rPr>
          <w:rFonts w:ascii="Times New Roman" w:eastAsia="Calibri" w:hAnsi="Times New Roman" w:cs="Times New Roman"/>
          <w:sz w:val="24"/>
          <w:szCs w:val="24"/>
        </w:rPr>
        <w:t>,</w:t>
      </w:r>
      <w:r w:rsidR="00492094" w:rsidRPr="00E558AE">
        <w:rPr>
          <w:rFonts w:ascii="Times New Roman" w:eastAsia="Calibri" w:hAnsi="Times New Roman" w:cs="Times New Roman"/>
          <w:sz w:val="24"/>
          <w:szCs w:val="24"/>
        </w:rPr>
        <w:t xml:space="preserve"> </w:t>
      </w:r>
      <w:r w:rsidR="00492094" w:rsidRPr="00E558AE">
        <w:rPr>
          <w:rFonts w:ascii="Times New Roman" w:eastAsia="Times New Roman" w:hAnsi="Times New Roman" w:cs="Times New Roman"/>
          <w:sz w:val="24"/>
          <w:szCs w:val="24"/>
          <w:lang w:eastAsia="en-GB"/>
        </w:rPr>
        <w:t xml:space="preserve">the Commission </w:t>
      </w:r>
      <w:r w:rsidR="002E421A">
        <w:rPr>
          <w:rFonts w:ascii="Times New Roman" w:eastAsia="Times New Roman" w:hAnsi="Times New Roman" w:cs="Times New Roman"/>
          <w:sz w:val="24"/>
          <w:szCs w:val="24"/>
          <w:lang w:eastAsia="en-GB"/>
        </w:rPr>
        <w:t>suggested</w:t>
      </w:r>
      <w:r w:rsidR="002E421A" w:rsidRPr="00E558AE">
        <w:rPr>
          <w:rFonts w:ascii="Times New Roman" w:eastAsia="Times New Roman" w:hAnsi="Times New Roman" w:cs="Times New Roman"/>
          <w:sz w:val="24"/>
          <w:szCs w:val="24"/>
          <w:lang w:eastAsia="en-GB"/>
        </w:rPr>
        <w:t xml:space="preserve"> </w:t>
      </w:r>
      <w:r w:rsidRPr="00E558AE">
        <w:rPr>
          <w:rFonts w:ascii="Times New Roman" w:eastAsia="Times New Roman" w:hAnsi="Times New Roman" w:cs="Times New Roman"/>
          <w:sz w:val="24"/>
          <w:szCs w:val="24"/>
          <w:lang w:eastAsia="en-GB"/>
        </w:rPr>
        <w:t>updating and strengthening the stan</w:t>
      </w:r>
      <w:r w:rsidR="00C938DA" w:rsidRPr="00E558AE">
        <w:rPr>
          <w:rFonts w:ascii="Times New Roman" w:eastAsia="Times New Roman" w:hAnsi="Times New Roman" w:cs="Times New Roman"/>
          <w:sz w:val="24"/>
          <w:szCs w:val="24"/>
          <w:lang w:eastAsia="en-GB"/>
        </w:rPr>
        <w:t>dard good governance clause</w:t>
      </w:r>
      <w:r w:rsidRPr="00E558AE">
        <w:rPr>
          <w:rFonts w:ascii="Times New Roman" w:eastAsia="Times New Roman" w:hAnsi="Times New Roman" w:cs="Times New Roman"/>
          <w:sz w:val="24"/>
          <w:szCs w:val="24"/>
          <w:lang w:eastAsia="en-GB"/>
        </w:rPr>
        <w:t xml:space="preserve">, to </w:t>
      </w:r>
      <w:r w:rsidR="00492094" w:rsidRPr="00E558AE">
        <w:rPr>
          <w:rFonts w:ascii="Times New Roman" w:eastAsia="Times New Roman" w:hAnsi="Times New Roman" w:cs="Times New Roman"/>
          <w:sz w:val="24"/>
          <w:szCs w:val="24"/>
          <w:lang w:eastAsia="en-GB"/>
        </w:rPr>
        <w:t>align</w:t>
      </w:r>
      <w:r w:rsidR="00492094" w:rsidRPr="00E558AE">
        <w:rPr>
          <w:rFonts w:ascii="Times New Roman" w:eastAsia="Calibri" w:hAnsi="Times New Roman" w:cs="Times New Roman"/>
          <w:sz w:val="24"/>
          <w:szCs w:val="24"/>
        </w:rPr>
        <w:t xml:space="preserve"> it with the </w:t>
      </w:r>
      <w:r w:rsidRPr="00E558AE">
        <w:rPr>
          <w:rFonts w:ascii="Times New Roman" w:eastAsia="Calibri" w:hAnsi="Times New Roman" w:cs="Times New Roman"/>
          <w:sz w:val="24"/>
          <w:szCs w:val="24"/>
        </w:rPr>
        <w:t>latest</w:t>
      </w:r>
      <w:r w:rsidR="00492094" w:rsidRPr="00E558AE">
        <w:rPr>
          <w:rFonts w:ascii="Times New Roman" w:eastAsia="Calibri" w:hAnsi="Times New Roman" w:cs="Times New Roman"/>
          <w:sz w:val="24"/>
          <w:szCs w:val="24"/>
        </w:rPr>
        <w:t xml:space="preserve"> international </w:t>
      </w:r>
      <w:r w:rsidRPr="00E558AE">
        <w:rPr>
          <w:rFonts w:ascii="Times New Roman" w:eastAsia="Calibri" w:hAnsi="Times New Roman" w:cs="Times New Roman"/>
          <w:sz w:val="24"/>
          <w:szCs w:val="24"/>
        </w:rPr>
        <w:t>norm</w:t>
      </w:r>
      <w:r w:rsidR="00492094" w:rsidRPr="00E558AE">
        <w:rPr>
          <w:rFonts w:ascii="Times New Roman" w:eastAsia="Calibri" w:hAnsi="Times New Roman" w:cs="Times New Roman"/>
          <w:sz w:val="24"/>
          <w:szCs w:val="24"/>
        </w:rPr>
        <w:t xml:space="preserve">s. </w:t>
      </w:r>
      <w:r w:rsidRPr="00E558AE">
        <w:rPr>
          <w:rFonts w:ascii="Times New Roman" w:eastAsia="Calibri" w:hAnsi="Times New Roman" w:cs="Times New Roman"/>
          <w:sz w:val="24"/>
          <w:szCs w:val="24"/>
        </w:rPr>
        <w:t xml:space="preserve">Member States </w:t>
      </w:r>
      <w:r w:rsidR="002E421A">
        <w:rPr>
          <w:rFonts w:ascii="Times New Roman" w:eastAsia="Calibri" w:hAnsi="Times New Roman" w:cs="Times New Roman"/>
          <w:sz w:val="24"/>
          <w:szCs w:val="24"/>
        </w:rPr>
        <w:t>endorsed a</w:t>
      </w:r>
      <w:r w:rsidRPr="00E558AE">
        <w:rPr>
          <w:rFonts w:ascii="Times New Roman" w:eastAsia="Calibri" w:hAnsi="Times New Roman" w:cs="Times New Roman"/>
          <w:sz w:val="24"/>
          <w:szCs w:val="24"/>
        </w:rPr>
        <w:t xml:space="preserve"> new text in May 2018 and confirmed that </w:t>
      </w:r>
      <w:r w:rsidR="002E421A">
        <w:rPr>
          <w:rFonts w:ascii="Times New Roman" w:eastAsia="Calibri" w:hAnsi="Times New Roman" w:cs="Times New Roman"/>
          <w:sz w:val="24"/>
          <w:szCs w:val="24"/>
        </w:rPr>
        <w:t>such wording</w:t>
      </w:r>
      <w:r w:rsidR="002E421A" w:rsidRPr="00E558AE">
        <w:rPr>
          <w:rFonts w:ascii="Times New Roman" w:eastAsia="Calibri" w:hAnsi="Times New Roman" w:cs="Times New Roman"/>
          <w:sz w:val="24"/>
          <w:szCs w:val="24"/>
        </w:rPr>
        <w:t xml:space="preserve"> </w:t>
      </w:r>
      <w:r w:rsidRPr="00E558AE">
        <w:rPr>
          <w:rFonts w:ascii="Times New Roman" w:eastAsia="Calibri" w:hAnsi="Times New Roman" w:cs="Times New Roman"/>
          <w:sz w:val="24"/>
          <w:szCs w:val="24"/>
        </w:rPr>
        <w:t xml:space="preserve">should be included in all relevant </w:t>
      </w:r>
      <w:r w:rsidR="00CB7EB3">
        <w:rPr>
          <w:rFonts w:ascii="Times New Roman" w:eastAsia="Calibri" w:hAnsi="Times New Roman" w:cs="Times New Roman"/>
          <w:sz w:val="24"/>
          <w:szCs w:val="24"/>
        </w:rPr>
        <w:t xml:space="preserve">international </w:t>
      </w:r>
      <w:r w:rsidR="00545A75" w:rsidRPr="00E558AE">
        <w:rPr>
          <w:rFonts w:ascii="Times New Roman" w:eastAsia="Calibri" w:hAnsi="Times New Roman" w:cs="Times New Roman"/>
          <w:sz w:val="24"/>
          <w:szCs w:val="24"/>
        </w:rPr>
        <w:t>agreement</w:t>
      </w:r>
      <w:r w:rsidRPr="00E558AE">
        <w:rPr>
          <w:rFonts w:ascii="Times New Roman" w:eastAsia="Calibri" w:hAnsi="Times New Roman" w:cs="Times New Roman"/>
          <w:sz w:val="24"/>
          <w:szCs w:val="24"/>
        </w:rPr>
        <w:t xml:space="preserve">s. </w:t>
      </w:r>
    </w:p>
    <w:p w:rsidR="00711243" w:rsidRDefault="00C64AAC" w:rsidP="007C2B84">
      <w:pPr>
        <w:spacing w:after="200" w:line="276" w:lineRule="auto"/>
        <w:jc w:val="both"/>
        <w:rPr>
          <w:rFonts w:ascii="Times New Roman" w:eastAsia="Times New Roman" w:hAnsi="Times New Roman" w:cs="Times New Roman"/>
          <w:sz w:val="24"/>
          <w:szCs w:val="24"/>
          <w:lang w:eastAsia="en-GB"/>
        </w:rPr>
      </w:pPr>
      <w:r w:rsidRPr="00DC17B8">
        <w:rPr>
          <w:rFonts w:ascii="Times New Roman" w:hAnsi="Times New Roman"/>
          <w:sz w:val="24"/>
        </w:rPr>
        <w:t>The Commission has since tabled the updated clause in all relevant new and ongoing negotiations, several of which are in the process of being successfully concluded</w:t>
      </w:r>
      <w:r w:rsidR="006F0E7B" w:rsidRPr="00DC17B8">
        <w:rPr>
          <w:rFonts w:ascii="Times New Roman" w:hAnsi="Times New Roman"/>
          <w:sz w:val="24"/>
        </w:rPr>
        <w:t>.</w:t>
      </w:r>
      <w:r w:rsidR="00545A75" w:rsidRPr="00DC17B8">
        <w:rPr>
          <w:rFonts w:ascii="Times New Roman" w:hAnsi="Times New Roman"/>
          <w:sz w:val="24"/>
        </w:rPr>
        <w:t xml:space="preserve"> The Commission will continue to insist on the inclusion of the tax good governance clause in all</w:t>
      </w:r>
      <w:r w:rsidR="00A361E0" w:rsidRPr="00BD0F0A">
        <w:rPr>
          <w:rFonts w:ascii="Times New Roman" w:hAnsi="Times New Roman"/>
          <w:sz w:val="24"/>
        </w:rPr>
        <w:t xml:space="preserve"> relevant</w:t>
      </w:r>
      <w:r w:rsidR="00545A75" w:rsidRPr="00BD0F0A">
        <w:rPr>
          <w:rFonts w:ascii="Times New Roman" w:hAnsi="Times New Roman"/>
          <w:sz w:val="24"/>
        </w:rPr>
        <w:t xml:space="preserve"> future negotiations</w:t>
      </w:r>
      <w:r w:rsidR="00CB7EB3" w:rsidRPr="00BD0F0A">
        <w:rPr>
          <w:rFonts w:ascii="Times New Roman" w:hAnsi="Times New Roman"/>
          <w:sz w:val="24"/>
        </w:rPr>
        <w:t xml:space="preserve"> on international agreements</w:t>
      </w:r>
      <w:r w:rsidR="00545A75" w:rsidRPr="00AC71BE">
        <w:rPr>
          <w:rFonts w:ascii="Times New Roman" w:hAnsi="Times New Roman"/>
          <w:sz w:val="24"/>
        </w:rPr>
        <w:t xml:space="preserve">. In the event that a third country refuses to accept the clause, or insists on changing it to the extent that it no longer serves the intended purpose, the Commission and Member States </w:t>
      </w:r>
      <w:r w:rsidR="00C938DA" w:rsidRPr="00AC71BE">
        <w:rPr>
          <w:rFonts w:ascii="Times New Roman" w:hAnsi="Times New Roman"/>
          <w:sz w:val="24"/>
        </w:rPr>
        <w:t xml:space="preserve">must </w:t>
      </w:r>
      <w:r w:rsidR="00545A75" w:rsidRPr="00AC71BE">
        <w:rPr>
          <w:rFonts w:ascii="Times New Roman" w:hAnsi="Times New Roman"/>
          <w:sz w:val="24"/>
        </w:rPr>
        <w:t xml:space="preserve">consider the appropriate response. </w:t>
      </w:r>
      <w:r w:rsidR="00A361E0" w:rsidRPr="004510A7">
        <w:rPr>
          <w:rFonts w:ascii="Times New Roman" w:hAnsi="Times New Roman"/>
          <w:sz w:val="24"/>
        </w:rPr>
        <w:t>Such countries</w:t>
      </w:r>
      <w:r w:rsidR="00545A75" w:rsidRPr="004510A7">
        <w:rPr>
          <w:rFonts w:ascii="Times New Roman" w:hAnsi="Times New Roman"/>
          <w:sz w:val="24"/>
        </w:rPr>
        <w:t xml:space="preserve"> could be </w:t>
      </w:r>
      <w:r w:rsidR="00C938DA" w:rsidRPr="004510A7">
        <w:rPr>
          <w:rFonts w:ascii="Times New Roman" w:hAnsi="Times New Roman"/>
          <w:sz w:val="24"/>
        </w:rPr>
        <w:t>scrutinised under</w:t>
      </w:r>
      <w:r w:rsidR="00545A75" w:rsidRPr="004510A7">
        <w:rPr>
          <w:rFonts w:ascii="Times New Roman" w:hAnsi="Times New Roman"/>
          <w:sz w:val="24"/>
        </w:rPr>
        <w:t xml:space="preserve"> the EU listing exercise</w:t>
      </w:r>
      <w:r w:rsidR="004510A7" w:rsidRPr="004510A7">
        <w:rPr>
          <w:rFonts w:ascii="Times New Roman" w:hAnsi="Times New Roman"/>
          <w:sz w:val="24"/>
        </w:rPr>
        <w:t>.</w:t>
      </w:r>
    </w:p>
    <w:p w:rsidR="3C502593" w:rsidRPr="00E558AE" w:rsidRDefault="00711243" w:rsidP="007C2B84">
      <w:pPr>
        <w:spacing w:after="200" w:line="276" w:lineRule="auto"/>
        <w:jc w:val="both"/>
        <w:rPr>
          <w:rFonts w:ascii="Times New Roman" w:eastAsia="Calibri" w:hAnsi="Times New Roman" w:cs="Times New Roman"/>
          <w:sz w:val="24"/>
          <w:szCs w:val="24"/>
        </w:rPr>
      </w:pPr>
      <w:r w:rsidRPr="00711243">
        <w:rPr>
          <w:rFonts w:ascii="Times New Roman" w:eastAsia="Times New Roman" w:hAnsi="Times New Roman" w:cs="Times New Roman"/>
          <w:sz w:val="24"/>
          <w:szCs w:val="24"/>
          <w:lang w:eastAsia="en-GB"/>
        </w:rPr>
        <w:t xml:space="preserve">The Commission in its dialogue with third countries will </w:t>
      </w:r>
      <w:r>
        <w:rPr>
          <w:rFonts w:ascii="Times New Roman" w:eastAsia="Times New Roman" w:hAnsi="Times New Roman" w:cs="Times New Roman"/>
          <w:sz w:val="24"/>
          <w:szCs w:val="24"/>
          <w:lang w:eastAsia="en-GB"/>
        </w:rPr>
        <w:t xml:space="preserve">also </w:t>
      </w:r>
      <w:r w:rsidRPr="00711243">
        <w:rPr>
          <w:rFonts w:ascii="Times New Roman" w:eastAsia="Times New Roman" w:hAnsi="Times New Roman" w:cs="Times New Roman"/>
          <w:sz w:val="24"/>
          <w:szCs w:val="24"/>
          <w:lang w:eastAsia="en-GB"/>
        </w:rPr>
        <w:t xml:space="preserve">put emphasis on the ‘polluter-pays principle’, enshrined in the </w:t>
      </w:r>
      <w:r w:rsidR="00C22662">
        <w:rPr>
          <w:rFonts w:ascii="Times New Roman" w:eastAsia="Times New Roman" w:hAnsi="Times New Roman" w:cs="Times New Roman"/>
          <w:sz w:val="24"/>
          <w:szCs w:val="24"/>
          <w:lang w:eastAsia="en-GB"/>
        </w:rPr>
        <w:t>Treaty on the functioning of the European Union</w:t>
      </w:r>
      <w:r w:rsidRPr="00711243">
        <w:rPr>
          <w:rFonts w:ascii="Times New Roman" w:eastAsia="Times New Roman" w:hAnsi="Times New Roman" w:cs="Times New Roman"/>
          <w:sz w:val="24"/>
          <w:szCs w:val="24"/>
          <w:lang w:eastAsia="en-GB"/>
        </w:rPr>
        <w:t>, which calls for pricing the negative externalities of polluting or other damaging activities. There is an under explored potential for environmental taxes to contribute to more progressive and sustainable tax systems and more equitable societies in developing countries. In many developing countries, increasing the amount of revenues raised through environmental taxation has also the potential to reduce state dependence on aid and debt financing, and to facilitate the mobilisation of domestic resources for public services. As environmental taxes are harder to evade than e.g. corporate or personal income taxes, they also have the potential to strengthen state accountability, improve tax morale and enhance fiscal governance.</w:t>
      </w:r>
      <w:r w:rsidR="00545A75" w:rsidRPr="00E558AE">
        <w:rPr>
          <w:rFonts w:ascii="Times New Roman" w:eastAsia="Times New Roman" w:hAnsi="Times New Roman" w:cs="Times New Roman"/>
          <w:sz w:val="24"/>
          <w:szCs w:val="24"/>
          <w:lang w:eastAsia="en-GB"/>
        </w:rPr>
        <w:t xml:space="preserve">  </w:t>
      </w:r>
    </w:p>
    <w:p w:rsidR="002C4189" w:rsidRPr="00E558AE" w:rsidRDefault="002C4189" w:rsidP="007C2B84">
      <w:pPr>
        <w:spacing w:after="0" w:line="276" w:lineRule="auto"/>
        <w:jc w:val="both"/>
        <w:rPr>
          <w:rFonts w:ascii="Times New Roman" w:eastAsia="Calibri" w:hAnsi="Times New Roman" w:cs="Times New Roman"/>
          <w:b/>
          <w:sz w:val="24"/>
          <w:szCs w:val="24"/>
          <w:u w:val="single"/>
        </w:rPr>
      </w:pPr>
    </w:p>
    <w:p w:rsidR="002241B6" w:rsidRPr="00E558AE" w:rsidRDefault="00746D68" w:rsidP="00700971">
      <w:pPr>
        <w:pStyle w:val="Heading2"/>
      </w:pPr>
      <w:r>
        <w:t>4</w:t>
      </w:r>
      <w:r w:rsidR="3C502593" w:rsidRPr="00E558AE">
        <w:t xml:space="preserve">. </w:t>
      </w:r>
      <w:r w:rsidR="00545A75" w:rsidRPr="00E558AE">
        <w:t xml:space="preserve">IMPROVED </w:t>
      </w:r>
      <w:r w:rsidR="3C502593" w:rsidRPr="00E558AE">
        <w:t xml:space="preserve">MEASURES TO </w:t>
      </w:r>
      <w:r w:rsidR="0016253E" w:rsidRPr="00E558AE">
        <w:t>REINFORCE GOOD GOVERNANCE</w:t>
      </w:r>
    </w:p>
    <w:p w:rsidR="0016253E" w:rsidRPr="00E558AE" w:rsidRDefault="00867717" w:rsidP="007C2B84">
      <w:pPr>
        <w:spacing w:after="0" w:line="276" w:lineRule="auto"/>
        <w:jc w:val="both"/>
        <w:rPr>
          <w:rFonts w:ascii="Times New Roman" w:hAnsi="Times New Roman" w:cs="Times New Roman"/>
          <w:sz w:val="24"/>
          <w:szCs w:val="24"/>
        </w:rPr>
      </w:pPr>
      <w:r w:rsidRPr="00E558AE">
        <w:rPr>
          <w:rFonts w:ascii="Times New Roman" w:hAnsi="Times New Roman" w:cs="Times New Roman"/>
          <w:sz w:val="24"/>
          <w:szCs w:val="24"/>
        </w:rPr>
        <w:t>L</w:t>
      </w:r>
      <w:r w:rsidR="0016253E" w:rsidRPr="00E558AE">
        <w:rPr>
          <w:rFonts w:ascii="Times New Roman" w:hAnsi="Times New Roman" w:cs="Times New Roman"/>
          <w:sz w:val="24"/>
          <w:szCs w:val="24"/>
        </w:rPr>
        <w:t xml:space="preserve">isting a jurisdiction should be a last resort option, reserved for those </w:t>
      </w:r>
      <w:r w:rsidR="002E421A">
        <w:rPr>
          <w:rFonts w:ascii="Times New Roman" w:hAnsi="Times New Roman" w:cs="Times New Roman"/>
          <w:sz w:val="24"/>
          <w:szCs w:val="24"/>
        </w:rPr>
        <w:t xml:space="preserve">countries </w:t>
      </w:r>
      <w:r w:rsidR="0016253E" w:rsidRPr="00E558AE">
        <w:rPr>
          <w:rFonts w:ascii="Times New Roman" w:hAnsi="Times New Roman" w:cs="Times New Roman"/>
          <w:sz w:val="24"/>
          <w:szCs w:val="24"/>
        </w:rPr>
        <w:t xml:space="preserve">that refuse to adequately acknowledge or address the EU’s concerns with their tax systems. However, once a jurisdiction is listed, there should be consequences, to ensure that the EU list remains effective. </w:t>
      </w:r>
    </w:p>
    <w:p w:rsidR="0016253E" w:rsidRPr="00E558AE" w:rsidRDefault="0016253E" w:rsidP="007C2B84">
      <w:pPr>
        <w:spacing w:after="0" w:line="276" w:lineRule="auto"/>
        <w:jc w:val="both"/>
        <w:rPr>
          <w:rFonts w:ascii="Times New Roman" w:hAnsi="Times New Roman" w:cs="Times New Roman"/>
          <w:sz w:val="24"/>
          <w:szCs w:val="24"/>
        </w:rPr>
      </w:pPr>
    </w:p>
    <w:p w:rsidR="0016253E" w:rsidRPr="00E558AE" w:rsidRDefault="0016253E" w:rsidP="007C2B84">
      <w:pPr>
        <w:spacing w:after="0" w:line="276" w:lineRule="auto"/>
        <w:jc w:val="both"/>
        <w:rPr>
          <w:rFonts w:ascii="Times New Roman" w:hAnsi="Times New Roman" w:cs="Times New Roman"/>
          <w:sz w:val="24"/>
          <w:szCs w:val="24"/>
        </w:rPr>
      </w:pPr>
      <w:r w:rsidRPr="00E558AE">
        <w:rPr>
          <w:rFonts w:ascii="Times New Roman" w:hAnsi="Times New Roman" w:cs="Times New Roman"/>
          <w:sz w:val="24"/>
          <w:szCs w:val="24"/>
        </w:rPr>
        <w:t xml:space="preserve">Since the EU list was established, countermeasures against listed jurisdictions have been developed on two </w:t>
      </w:r>
      <w:r w:rsidR="00FE36B3">
        <w:rPr>
          <w:rFonts w:ascii="Times New Roman" w:hAnsi="Times New Roman" w:cs="Times New Roman"/>
          <w:sz w:val="24"/>
          <w:szCs w:val="24"/>
        </w:rPr>
        <w:t>aspects</w:t>
      </w:r>
      <w:r w:rsidRPr="00E558AE">
        <w:rPr>
          <w:rFonts w:ascii="Times New Roman" w:hAnsi="Times New Roman" w:cs="Times New Roman"/>
          <w:sz w:val="24"/>
          <w:szCs w:val="24"/>
        </w:rPr>
        <w:t xml:space="preserve">. First, the </w:t>
      </w:r>
      <w:r w:rsidR="00D16630">
        <w:rPr>
          <w:rFonts w:ascii="Times New Roman" w:hAnsi="Times New Roman" w:cs="Times New Roman"/>
          <w:sz w:val="24"/>
          <w:szCs w:val="24"/>
        </w:rPr>
        <w:t>EU adopted</w:t>
      </w:r>
      <w:r w:rsidRPr="00E558AE">
        <w:rPr>
          <w:rFonts w:ascii="Times New Roman" w:hAnsi="Times New Roman" w:cs="Times New Roman"/>
          <w:sz w:val="24"/>
          <w:szCs w:val="24"/>
        </w:rPr>
        <w:t xml:space="preserve"> stronger provisions in key EU funding legislation</w:t>
      </w:r>
      <w:r w:rsidR="001561F1">
        <w:rPr>
          <w:rStyle w:val="FootnoteReference"/>
          <w:rFonts w:ascii="Times New Roman" w:hAnsi="Times New Roman" w:cs="Times New Roman"/>
          <w:sz w:val="24"/>
          <w:szCs w:val="24"/>
        </w:rPr>
        <w:footnoteReference w:id="13"/>
      </w:r>
      <w:r w:rsidRPr="00E558AE">
        <w:rPr>
          <w:rFonts w:ascii="Times New Roman" w:hAnsi="Times New Roman" w:cs="Times New Roman"/>
          <w:sz w:val="24"/>
          <w:szCs w:val="24"/>
        </w:rPr>
        <w:t>, to prevent EU funds from being indirectly invested in or channel</w:t>
      </w:r>
      <w:r w:rsidR="00472339">
        <w:rPr>
          <w:rFonts w:ascii="Times New Roman" w:hAnsi="Times New Roman" w:cs="Times New Roman"/>
          <w:sz w:val="24"/>
          <w:szCs w:val="24"/>
        </w:rPr>
        <w:t>l</w:t>
      </w:r>
      <w:r w:rsidRPr="00E558AE">
        <w:rPr>
          <w:rFonts w:ascii="Times New Roman" w:hAnsi="Times New Roman" w:cs="Times New Roman"/>
          <w:sz w:val="24"/>
          <w:szCs w:val="24"/>
        </w:rPr>
        <w:t xml:space="preserve">ed through EU listed jurisdictions. In addition, EU Member States have agreed to apply defensive measures against EU listed jurisdictions in a coordinated way. </w:t>
      </w:r>
      <w:r w:rsidR="00D16630">
        <w:rPr>
          <w:rFonts w:ascii="Times New Roman" w:hAnsi="Times New Roman" w:cs="Times New Roman"/>
          <w:sz w:val="24"/>
          <w:szCs w:val="24"/>
        </w:rPr>
        <w:t>C</w:t>
      </w:r>
      <w:r w:rsidRPr="00E558AE">
        <w:rPr>
          <w:rFonts w:ascii="Times New Roman" w:hAnsi="Times New Roman" w:cs="Times New Roman"/>
          <w:sz w:val="24"/>
          <w:szCs w:val="24"/>
        </w:rPr>
        <w:t xml:space="preserve">ountermeasures linked to the EU list should be reviewed on a regular basis, to ensure that they are as dissuasive and effective as possible. </w:t>
      </w:r>
    </w:p>
    <w:p w:rsidR="0016253E" w:rsidRPr="00E558AE" w:rsidRDefault="0016253E" w:rsidP="007C2B84">
      <w:pPr>
        <w:spacing w:after="0" w:line="276" w:lineRule="auto"/>
        <w:jc w:val="both"/>
        <w:rPr>
          <w:rFonts w:ascii="Times New Roman" w:hAnsi="Times New Roman" w:cs="Times New Roman"/>
          <w:sz w:val="24"/>
          <w:szCs w:val="24"/>
        </w:rPr>
      </w:pPr>
    </w:p>
    <w:p w:rsidR="00D40CBB" w:rsidRPr="00E558AE" w:rsidRDefault="0067390A" w:rsidP="007C2B84">
      <w:pPr>
        <w:spacing w:after="0" w:line="276" w:lineRule="auto"/>
        <w:jc w:val="both"/>
        <w:rPr>
          <w:rFonts w:ascii="Times New Roman" w:hAnsi="Times New Roman" w:cs="Times New Roman"/>
          <w:i/>
          <w:iCs/>
          <w:sz w:val="24"/>
          <w:szCs w:val="24"/>
        </w:rPr>
      </w:pPr>
      <w:r>
        <w:rPr>
          <w:rFonts w:ascii="Times New Roman" w:hAnsi="Times New Roman" w:cs="Times New Roman"/>
          <w:i/>
          <w:iCs/>
          <w:sz w:val="24"/>
          <w:szCs w:val="24"/>
        </w:rPr>
        <w:t>4</w:t>
      </w:r>
      <w:r w:rsidR="3C502593" w:rsidRPr="00E558AE">
        <w:rPr>
          <w:rFonts w:ascii="Times New Roman" w:hAnsi="Times New Roman" w:cs="Times New Roman"/>
          <w:i/>
          <w:iCs/>
          <w:sz w:val="24"/>
          <w:szCs w:val="24"/>
        </w:rPr>
        <w:t xml:space="preserve"> (a) </w:t>
      </w:r>
      <w:r w:rsidR="00867717" w:rsidRPr="00E558AE">
        <w:rPr>
          <w:rFonts w:ascii="Times New Roman" w:hAnsi="Times New Roman" w:cs="Times New Roman"/>
          <w:i/>
          <w:iCs/>
          <w:sz w:val="24"/>
          <w:szCs w:val="24"/>
        </w:rPr>
        <w:t>Promoting T</w:t>
      </w:r>
      <w:r w:rsidR="3C502593" w:rsidRPr="00E558AE">
        <w:rPr>
          <w:rFonts w:ascii="Times New Roman" w:hAnsi="Times New Roman" w:cs="Times New Roman"/>
          <w:i/>
          <w:iCs/>
          <w:sz w:val="24"/>
          <w:szCs w:val="24"/>
        </w:rPr>
        <w:t xml:space="preserve">ax Good Governance </w:t>
      </w:r>
      <w:r w:rsidR="00867717" w:rsidRPr="00E558AE">
        <w:rPr>
          <w:rFonts w:ascii="Times New Roman" w:hAnsi="Times New Roman" w:cs="Times New Roman"/>
          <w:i/>
          <w:iCs/>
          <w:sz w:val="24"/>
          <w:szCs w:val="24"/>
        </w:rPr>
        <w:t>through</w:t>
      </w:r>
      <w:r w:rsidR="3C502593" w:rsidRPr="00E558AE">
        <w:rPr>
          <w:rFonts w:ascii="Times New Roman" w:hAnsi="Times New Roman" w:cs="Times New Roman"/>
          <w:i/>
          <w:iCs/>
          <w:sz w:val="24"/>
          <w:szCs w:val="24"/>
        </w:rPr>
        <w:t xml:space="preserve"> EU funds</w:t>
      </w:r>
    </w:p>
    <w:p w:rsidR="002774D8" w:rsidRPr="00E558AE" w:rsidRDefault="002774D8" w:rsidP="007C2B84">
      <w:pPr>
        <w:spacing w:after="0" w:line="276" w:lineRule="auto"/>
        <w:jc w:val="both"/>
        <w:rPr>
          <w:rFonts w:ascii="Times New Roman" w:hAnsi="Times New Roman" w:cs="Times New Roman"/>
          <w:iCs/>
          <w:sz w:val="24"/>
          <w:szCs w:val="24"/>
        </w:rPr>
      </w:pPr>
    </w:p>
    <w:p w:rsidR="005146FA" w:rsidRPr="00E558AE" w:rsidRDefault="005146FA" w:rsidP="005146FA">
      <w:pPr>
        <w:spacing w:after="0" w:line="276" w:lineRule="auto"/>
        <w:jc w:val="both"/>
        <w:rPr>
          <w:rFonts w:ascii="Times New Roman" w:hAnsi="Times New Roman" w:cs="Times New Roman"/>
          <w:iCs/>
          <w:sz w:val="24"/>
          <w:szCs w:val="24"/>
        </w:rPr>
      </w:pPr>
      <w:r w:rsidRPr="00E558AE">
        <w:rPr>
          <w:rFonts w:ascii="Times New Roman" w:hAnsi="Times New Roman" w:cs="Times New Roman"/>
          <w:iCs/>
          <w:sz w:val="24"/>
          <w:szCs w:val="24"/>
        </w:rPr>
        <w:t>As announced in the 2016 External Strategy, the EU introduced a legally binding link between tax good governance standards and the use of EU funds. This is reflected in key legal instruments</w:t>
      </w:r>
      <w:r w:rsidRPr="00E558AE">
        <w:rPr>
          <w:rStyle w:val="FootnoteReference"/>
          <w:rFonts w:ascii="Times New Roman" w:hAnsi="Times New Roman" w:cs="Times New Roman"/>
          <w:iCs/>
          <w:sz w:val="24"/>
          <w:szCs w:val="24"/>
        </w:rPr>
        <w:footnoteReference w:id="14"/>
      </w:r>
      <w:r w:rsidRPr="00E558AE">
        <w:rPr>
          <w:rFonts w:ascii="Times New Roman" w:hAnsi="Times New Roman" w:cs="Times New Roman"/>
          <w:iCs/>
          <w:sz w:val="24"/>
          <w:szCs w:val="24"/>
        </w:rPr>
        <w:t>, which prevent EU funds from supporting projects that contribute to tax avoidance</w:t>
      </w:r>
      <w:r w:rsidR="00FB5B56">
        <w:rPr>
          <w:rFonts w:ascii="Times New Roman" w:hAnsi="Times New Roman" w:cs="Times New Roman"/>
          <w:iCs/>
          <w:sz w:val="24"/>
          <w:szCs w:val="24"/>
        </w:rPr>
        <w:t>. Additionally</w:t>
      </w:r>
      <w:r w:rsidR="009A4D45">
        <w:rPr>
          <w:rFonts w:ascii="Times New Roman" w:hAnsi="Times New Roman" w:cs="Times New Roman"/>
          <w:iCs/>
          <w:sz w:val="24"/>
          <w:szCs w:val="24"/>
        </w:rPr>
        <w:t>, for financial instruments and budget guarantees,</w:t>
      </w:r>
      <w:r w:rsidR="00BC7F53">
        <w:rPr>
          <w:rFonts w:ascii="Times New Roman" w:hAnsi="Times New Roman" w:cs="Times New Roman"/>
          <w:iCs/>
          <w:sz w:val="24"/>
          <w:szCs w:val="24"/>
        </w:rPr>
        <w:t xml:space="preserve"> the legal framework prevents</w:t>
      </w:r>
      <w:r w:rsidRPr="00E558AE">
        <w:rPr>
          <w:rFonts w:ascii="Times New Roman" w:hAnsi="Times New Roman" w:cs="Times New Roman"/>
          <w:iCs/>
          <w:sz w:val="24"/>
          <w:szCs w:val="24"/>
        </w:rPr>
        <w:t xml:space="preserve"> from </w:t>
      </w:r>
      <w:r w:rsidR="00761668">
        <w:rPr>
          <w:rFonts w:ascii="Times New Roman" w:hAnsi="Times New Roman" w:cs="Times New Roman"/>
          <w:iCs/>
          <w:sz w:val="24"/>
          <w:szCs w:val="24"/>
        </w:rPr>
        <w:t>using</w:t>
      </w:r>
      <w:r w:rsidRPr="00E558AE">
        <w:rPr>
          <w:rFonts w:ascii="Times New Roman" w:hAnsi="Times New Roman" w:cs="Times New Roman"/>
          <w:iCs/>
          <w:sz w:val="24"/>
          <w:szCs w:val="24"/>
        </w:rPr>
        <w:t xml:space="preserve"> jurisdictions on the EU blacklist for tax or </w:t>
      </w:r>
      <w:r w:rsidR="00AC17E4">
        <w:rPr>
          <w:rFonts w:ascii="Times New Roman" w:hAnsi="Times New Roman" w:cs="Times New Roman"/>
          <w:iCs/>
          <w:sz w:val="24"/>
          <w:szCs w:val="24"/>
        </w:rPr>
        <w:t xml:space="preserve">on the EU list </w:t>
      </w:r>
      <w:r w:rsidR="00DE1587">
        <w:rPr>
          <w:rFonts w:ascii="Times New Roman" w:hAnsi="Times New Roman" w:cs="Times New Roman"/>
          <w:iCs/>
          <w:sz w:val="24"/>
          <w:szCs w:val="24"/>
        </w:rPr>
        <w:t xml:space="preserve">of high-risk third countries </w:t>
      </w:r>
      <w:r w:rsidR="00AC17E4">
        <w:rPr>
          <w:rFonts w:ascii="Times New Roman" w:hAnsi="Times New Roman" w:cs="Times New Roman"/>
          <w:iCs/>
          <w:sz w:val="24"/>
          <w:szCs w:val="24"/>
        </w:rPr>
        <w:t xml:space="preserve">for </w:t>
      </w:r>
      <w:r w:rsidRPr="00E558AE">
        <w:rPr>
          <w:rFonts w:ascii="Times New Roman" w:hAnsi="Times New Roman" w:cs="Times New Roman"/>
          <w:iCs/>
          <w:sz w:val="24"/>
          <w:szCs w:val="24"/>
        </w:rPr>
        <w:t>anti-money</w:t>
      </w:r>
      <w:r w:rsidR="00DE1587">
        <w:rPr>
          <w:rFonts w:ascii="Times New Roman" w:hAnsi="Times New Roman" w:cs="Times New Roman"/>
          <w:iCs/>
          <w:sz w:val="24"/>
          <w:szCs w:val="24"/>
        </w:rPr>
        <w:t xml:space="preserve"> </w:t>
      </w:r>
      <w:r w:rsidRPr="00E558AE">
        <w:rPr>
          <w:rFonts w:ascii="Times New Roman" w:hAnsi="Times New Roman" w:cs="Times New Roman"/>
          <w:iCs/>
          <w:sz w:val="24"/>
          <w:szCs w:val="24"/>
        </w:rPr>
        <w:t xml:space="preserve">laundering </w:t>
      </w:r>
      <w:r w:rsidR="00AC17E4">
        <w:rPr>
          <w:rFonts w:ascii="Times New Roman" w:hAnsi="Times New Roman" w:cs="Times New Roman"/>
          <w:iCs/>
          <w:sz w:val="24"/>
          <w:szCs w:val="24"/>
        </w:rPr>
        <w:t xml:space="preserve">and </w:t>
      </w:r>
      <w:r w:rsidR="008D0E5C">
        <w:rPr>
          <w:rFonts w:ascii="Times New Roman" w:hAnsi="Times New Roman" w:cs="Times New Roman"/>
          <w:iCs/>
          <w:sz w:val="24"/>
          <w:szCs w:val="24"/>
        </w:rPr>
        <w:t>counter-</w:t>
      </w:r>
      <w:r w:rsidR="00AC17E4">
        <w:rPr>
          <w:rFonts w:ascii="Times New Roman" w:hAnsi="Times New Roman" w:cs="Times New Roman"/>
          <w:iCs/>
          <w:sz w:val="24"/>
          <w:szCs w:val="24"/>
        </w:rPr>
        <w:t xml:space="preserve">terrorism financing </w:t>
      </w:r>
      <w:r w:rsidRPr="00E558AE">
        <w:rPr>
          <w:rFonts w:ascii="Times New Roman" w:hAnsi="Times New Roman" w:cs="Times New Roman"/>
          <w:iCs/>
          <w:sz w:val="24"/>
          <w:szCs w:val="24"/>
        </w:rPr>
        <w:t xml:space="preserve">purposes. </w:t>
      </w:r>
      <w:r w:rsidR="002E421A">
        <w:rPr>
          <w:rFonts w:ascii="Times New Roman" w:hAnsi="Times New Roman" w:cs="Times New Roman"/>
          <w:iCs/>
          <w:sz w:val="24"/>
          <w:szCs w:val="24"/>
        </w:rPr>
        <w:t xml:space="preserve">However, </w:t>
      </w:r>
      <w:r w:rsidR="0081602C" w:rsidRPr="0081602C">
        <w:rPr>
          <w:rFonts w:ascii="Times New Roman" w:hAnsi="Times New Roman" w:cs="Times New Roman"/>
          <w:iCs/>
          <w:sz w:val="24"/>
          <w:szCs w:val="24"/>
        </w:rPr>
        <w:t>if the project is physically implemented in the jurisdiction, funding may</w:t>
      </w:r>
      <w:r w:rsidRPr="00E558AE">
        <w:rPr>
          <w:rFonts w:ascii="Times New Roman" w:hAnsi="Times New Roman" w:cs="Times New Roman"/>
          <w:iCs/>
          <w:sz w:val="24"/>
          <w:szCs w:val="24"/>
        </w:rPr>
        <w:t xml:space="preserve"> still </w:t>
      </w:r>
      <w:r w:rsidR="001561F1">
        <w:rPr>
          <w:rFonts w:ascii="Times New Roman" w:hAnsi="Times New Roman" w:cs="Times New Roman"/>
          <w:iCs/>
          <w:sz w:val="24"/>
          <w:szCs w:val="24"/>
        </w:rPr>
        <w:t xml:space="preserve">be </w:t>
      </w:r>
      <w:r w:rsidRPr="00E558AE">
        <w:rPr>
          <w:rFonts w:ascii="Times New Roman" w:hAnsi="Times New Roman" w:cs="Times New Roman"/>
          <w:iCs/>
          <w:sz w:val="24"/>
          <w:szCs w:val="24"/>
        </w:rPr>
        <w:t xml:space="preserve">allowed to preserve development and sustainability objectives. </w:t>
      </w:r>
    </w:p>
    <w:p w:rsidR="005146FA" w:rsidRPr="00E558AE" w:rsidRDefault="005146FA" w:rsidP="005146FA">
      <w:pPr>
        <w:spacing w:after="0" w:line="276" w:lineRule="auto"/>
        <w:jc w:val="both"/>
        <w:rPr>
          <w:rFonts w:ascii="Times New Roman" w:hAnsi="Times New Roman" w:cs="Times New Roman"/>
          <w:iCs/>
          <w:sz w:val="24"/>
          <w:szCs w:val="24"/>
        </w:rPr>
      </w:pPr>
    </w:p>
    <w:p w:rsidR="005146FA" w:rsidRPr="00E558AE" w:rsidRDefault="005146FA" w:rsidP="005146FA">
      <w:pPr>
        <w:spacing w:after="0" w:line="276" w:lineRule="auto"/>
        <w:jc w:val="both"/>
        <w:rPr>
          <w:rFonts w:ascii="Times New Roman" w:hAnsi="Times New Roman" w:cs="Times New Roman"/>
          <w:iCs/>
          <w:sz w:val="24"/>
          <w:szCs w:val="24"/>
        </w:rPr>
      </w:pPr>
      <w:r w:rsidRPr="00E558AE">
        <w:rPr>
          <w:rFonts w:ascii="Times New Roman" w:hAnsi="Times New Roman" w:cs="Times New Roman"/>
          <w:iCs/>
          <w:sz w:val="24"/>
          <w:szCs w:val="24"/>
        </w:rPr>
        <w:t>The Commission has also provided guidance</w:t>
      </w:r>
      <w:r w:rsidR="00344757">
        <w:rPr>
          <w:rStyle w:val="FootnoteReference"/>
          <w:rFonts w:ascii="Times New Roman" w:hAnsi="Times New Roman" w:cs="Times New Roman"/>
          <w:iCs/>
          <w:sz w:val="24"/>
          <w:szCs w:val="24"/>
        </w:rPr>
        <w:footnoteReference w:id="15"/>
      </w:r>
      <w:r w:rsidRPr="00E558AE">
        <w:rPr>
          <w:rFonts w:ascii="Times New Roman" w:hAnsi="Times New Roman" w:cs="Times New Roman"/>
          <w:iCs/>
          <w:sz w:val="24"/>
          <w:szCs w:val="24"/>
        </w:rPr>
        <w:t xml:space="preserve"> to</w:t>
      </w:r>
      <w:r w:rsidR="009A4D45">
        <w:rPr>
          <w:rFonts w:ascii="Times New Roman" w:hAnsi="Times New Roman" w:cs="Times New Roman"/>
          <w:iCs/>
          <w:sz w:val="24"/>
          <w:szCs w:val="24"/>
        </w:rPr>
        <w:t xml:space="preserve"> EU</w:t>
      </w:r>
      <w:r w:rsidRPr="00E558AE">
        <w:rPr>
          <w:rFonts w:ascii="Times New Roman" w:hAnsi="Times New Roman" w:cs="Times New Roman"/>
          <w:iCs/>
          <w:sz w:val="24"/>
          <w:szCs w:val="24"/>
        </w:rPr>
        <w:t xml:space="preserve"> implementing partners and called them to ensure that their internal </w:t>
      </w:r>
      <w:r w:rsidR="00D05264" w:rsidRPr="00E558AE">
        <w:rPr>
          <w:rFonts w:ascii="Times New Roman" w:hAnsi="Times New Roman" w:cs="Times New Roman"/>
          <w:iCs/>
          <w:sz w:val="24"/>
          <w:szCs w:val="24"/>
        </w:rPr>
        <w:t>policies</w:t>
      </w:r>
      <w:r w:rsidR="00D05264" w:rsidRPr="00D05264">
        <w:rPr>
          <w:rFonts w:ascii="Times New Roman" w:hAnsi="Times New Roman" w:cs="Times New Roman"/>
          <w:iCs/>
          <w:sz w:val="24"/>
          <w:szCs w:val="24"/>
        </w:rPr>
        <w:t xml:space="preserve"> allowed them to implement EU funds in line with the new EU tax requirements</w:t>
      </w:r>
      <w:r w:rsidRPr="00E558AE">
        <w:rPr>
          <w:rFonts w:ascii="Times New Roman" w:hAnsi="Times New Roman" w:cs="Times New Roman"/>
          <w:iCs/>
          <w:sz w:val="24"/>
          <w:szCs w:val="24"/>
        </w:rPr>
        <w:t xml:space="preserve">. The </w:t>
      </w:r>
      <w:r w:rsidR="006B56C9">
        <w:rPr>
          <w:rFonts w:ascii="Times New Roman" w:hAnsi="Times New Roman" w:cs="Times New Roman"/>
          <w:iCs/>
          <w:sz w:val="24"/>
          <w:szCs w:val="24"/>
        </w:rPr>
        <w:t>European Bank for Reconstruction and Development (</w:t>
      </w:r>
      <w:r w:rsidRPr="00E558AE">
        <w:rPr>
          <w:rFonts w:ascii="Times New Roman" w:hAnsi="Times New Roman" w:cs="Times New Roman"/>
          <w:iCs/>
          <w:sz w:val="24"/>
          <w:szCs w:val="24"/>
        </w:rPr>
        <w:t>EBRD</w:t>
      </w:r>
      <w:r w:rsidR="006B56C9">
        <w:rPr>
          <w:rFonts w:ascii="Times New Roman" w:hAnsi="Times New Roman" w:cs="Times New Roman"/>
          <w:iCs/>
          <w:sz w:val="24"/>
          <w:szCs w:val="24"/>
        </w:rPr>
        <w:t>)</w:t>
      </w:r>
      <w:r w:rsidRPr="00E558AE">
        <w:rPr>
          <w:rFonts w:ascii="Times New Roman" w:hAnsi="Times New Roman" w:cs="Times New Roman"/>
          <w:iCs/>
          <w:sz w:val="24"/>
          <w:szCs w:val="24"/>
        </w:rPr>
        <w:t xml:space="preserve"> and the </w:t>
      </w:r>
      <w:r w:rsidR="006B56C9">
        <w:rPr>
          <w:rFonts w:ascii="Times New Roman" w:hAnsi="Times New Roman" w:cs="Times New Roman"/>
          <w:iCs/>
          <w:sz w:val="24"/>
          <w:szCs w:val="24"/>
        </w:rPr>
        <w:t>European Investment Bank (</w:t>
      </w:r>
      <w:r w:rsidRPr="00E558AE">
        <w:rPr>
          <w:rFonts w:ascii="Times New Roman" w:hAnsi="Times New Roman" w:cs="Times New Roman"/>
          <w:iCs/>
          <w:sz w:val="24"/>
          <w:szCs w:val="24"/>
        </w:rPr>
        <w:t>EIB</w:t>
      </w:r>
      <w:r w:rsidR="006B56C9">
        <w:rPr>
          <w:rFonts w:ascii="Times New Roman" w:hAnsi="Times New Roman" w:cs="Times New Roman"/>
          <w:iCs/>
          <w:sz w:val="24"/>
          <w:szCs w:val="24"/>
        </w:rPr>
        <w:t>)</w:t>
      </w:r>
      <w:r w:rsidRPr="00E558AE">
        <w:rPr>
          <w:rFonts w:ascii="Times New Roman" w:hAnsi="Times New Roman" w:cs="Times New Roman"/>
          <w:iCs/>
          <w:sz w:val="24"/>
          <w:szCs w:val="24"/>
        </w:rPr>
        <w:t xml:space="preserve"> Group have published internal policies</w:t>
      </w:r>
      <w:r w:rsidR="003844F7">
        <w:rPr>
          <w:rFonts w:ascii="Times New Roman" w:hAnsi="Times New Roman" w:cs="Times New Roman"/>
          <w:iCs/>
          <w:sz w:val="24"/>
          <w:szCs w:val="24"/>
        </w:rPr>
        <w:t>,</w:t>
      </w:r>
      <w:r w:rsidR="00D05264">
        <w:rPr>
          <w:rFonts w:ascii="Times New Roman" w:hAnsi="Times New Roman" w:cs="Times New Roman"/>
          <w:iCs/>
          <w:sz w:val="24"/>
          <w:szCs w:val="24"/>
        </w:rPr>
        <w:t xml:space="preserve"> to take into account the recent international tax developments</w:t>
      </w:r>
      <w:r w:rsidRPr="00E558AE">
        <w:rPr>
          <w:rStyle w:val="FootnoteReference"/>
          <w:rFonts w:ascii="Times New Roman" w:hAnsi="Times New Roman" w:cs="Times New Roman"/>
          <w:iCs/>
          <w:sz w:val="24"/>
          <w:szCs w:val="24"/>
        </w:rPr>
        <w:footnoteReference w:id="16"/>
      </w:r>
      <w:r w:rsidRPr="00E558AE">
        <w:rPr>
          <w:rFonts w:ascii="Times New Roman" w:hAnsi="Times New Roman" w:cs="Times New Roman"/>
          <w:iCs/>
          <w:sz w:val="24"/>
          <w:szCs w:val="24"/>
        </w:rPr>
        <w:t xml:space="preserve">. </w:t>
      </w:r>
      <w:r w:rsidR="00477767">
        <w:rPr>
          <w:rFonts w:ascii="Times New Roman" w:hAnsi="Times New Roman" w:cs="Times New Roman"/>
          <w:iCs/>
          <w:sz w:val="24"/>
          <w:szCs w:val="24"/>
        </w:rPr>
        <w:t xml:space="preserve">The actions at international level and </w:t>
      </w:r>
      <w:r w:rsidRPr="00E558AE">
        <w:rPr>
          <w:rFonts w:ascii="Times New Roman" w:hAnsi="Times New Roman" w:cs="Times New Roman"/>
          <w:iCs/>
          <w:sz w:val="24"/>
          <w:szCs w:val="24"/>
        </w:rPr>
        <w:t xml:space="preserve">tightened rules for </w:t>
      </w:r>
      <w:r w:rsidR="00477767">
        <w:rPr>
          <w:rFonts w:ascii="Times New Roman" w:hAnsi="Times New Roman" w:cs="Times New Roman"/>
          <w:iCs/>
          <w:sz w:val="24"/>
          <w:szCs w:val="24"/>
        </w:rPr>
        <w:t xml:space="preserve">the use of </w:t>
      </w:r>
      <w:r w:rsidRPr="00E558AE">
        <w:rPr>
          <w:rFonts w:ascii="Times New Roman" w:hAnsi="Times New Roman" w:cs="Times New Roman"/>
          <w:iCs/>
          <w:sz w:val="24"/>
          <w:szCs w:val="24"/>
        </w:rPr>
        <w:t>EU funds</w:t>
      </w:r>
      <w:r w:rsidR="00477767">
        <w:rPr>
          <w:rFonts w:ascii="Times New Roman" w:hAnsi="Times New Roman" w:cs="Times New Roman"/>
          <w:iCs/>
          <w:sz w:val="24"/>
          <w:szCs w:val="24"/>
        </w:rPr>
        <w:t xml:space="preserve"> are also leading a number of international financial institutions and national agencies to enhance their due diligence checks.</w:t>
      </w:r>
      <w:r w:rsidRPr="00E558AE">
        <w:rPr>
          <w:rFonts w:ascii="Times New Roman" w:hAnsi="Times New Roman" w:cs="Times New Roman"/>
          <w:iCs/>
          <w:sz w:val="24"/>
          <w:szCs w:val="24"/>
        </w:rPr>
        <w:t xml:space="preserve"> This is encouraging market operators</w:t>
      </w:r>
      <w:r w:rsidR="00C938DA" w:rsidRPr="00E558AE">
        <w:rPr>
          <w:rFonts w:ascii="Times New Roman" w:hAnsi="Times New Roman" w:cs="Times New Roman"/>
          <w:iCs/>
          <w:sz w:val="24"/>
          <w:szCs w:val="24"/>
        </w:rPr>
        <w:t>, in turn,</w:t>
      </w:r>
      <w:r w:rsidRPr="00E558AE">
        <w:rPr>
          <w:rFonts w:ascii="Times New Roman" w:hAnsi="Times New Roman" w:cs="Times New Roman"/>
          <w:iCs/>
          <w:sz w:val="24"/>
          <w:szCs w:val="24"/>
        </w:rPr>
        <w:t xml:space="preserve"> to move away from </w:t>
      </w:r>
      <w:r w:rsidR="00C938DA" w:rsidRPr="00E558AE">
        <w:rPr>
          <w:rFonts w:ascii="Times New Roman" w:hAnsi="Times New Roman" w:cs="Times New Roman"/>
          <w:iCs/>
          <w:sz w:val="24"/>
          <w:szCs w:val="24"/>
        </w:rPr>
        <w:t xml:space="preserve">schemes in </w:t>
      </w:r>
      <w:r w:rsidRPr="00E558AE">
        <w:rPr>
          <w:rFonts w:ascii="Times New Roman" w:hAnsi="Times New Roman" w:cs="Times New Roman"/>
          <w:iCs/>
          <w:sz w:val="24"/>
          <w:szCs w:val="24"/>
        </w:rPr>
        <w:t>non-cooperative jurisdictions and to pay closer attention to the risks of tax avoidance.</w:t>
      </w:r>
    </w:p>
    <w:p w:rsidR="00DE1587" w:rsidRPr="00E558AE" w:rsidRDefault="00DE1587" w:rsidP="005146FA">
      <w:pPr>
        <w:spacing w:after="0" w:line="276" w:lineRule="auto"/>
        <w:jc w:val="both"/>
        <w:rPr>
          <w:rFonts w:ascii="Times New Roman" w:hAnsi="Times New Roman" w:cs="Times New Roman"/>
          <w:iCs/>
          <w:sz w:val="24"/>
          <w:szCs w:val="24"/>
        </w:rPr>
      </w:pPr>
    </w:p>
    <w:p w:rsidR="00DA6CAA" w:rsidRDefault="0016253E" w:rsidP="007C2B84">
      <w:pPr>
        <w:spacing w:after="0" w:line="276" w:lineRule="auto"/>
        <w:jc w:val="both"/>
        <w:rPr>
          <w:rFonts w:ascii="Times New Roman" w:hAnsi="Times New Roman" w:cs="Times New Roman"/>
          <w:iCs/>
          <w:sz w:val="24"/>
          <w:szCs w:val="24"/>
        </w:rPr>
      </w:pPr>
      <w:r w:rsidRPr="00E558AE">
        <w:rPr>
          <w:rFonts w:ascii="Times New Roman" w:hAnsi="Times New Roman" w:cs="Times New Roman"/>
          <w:iCs/>
          <w:sz w:val="24"/>
          <w:szCs w:val="24"/>
        </w:rPr>
        <w:t xml:space="preserve">Based on the application of these rules so far, the Commission </w:t>
      </w:r>
      <w:r w:rsidR="002E421A">
        <w:rPr>
          <w:rFonts w:ascii="Times New Roman" w:hAnsi="Times New Roman" w:cs="Times New Roman"/>
          <w:iCs/>
          <w:sz w:val="24"/>
          <w:szCs w:val="24"/>
        </w:rPr>
        <w:t>considers</w:t>
      </w:r>
      <w:r w:rsidR="002E421A" w:rsidRPr="00E558AE">
        <w:rPr>
          <w:rFonts w:ascii="Times New Roman" w:hAnsi="Times New Roman" w:cs="Times New Roman"/>
          <w:iCs/>
          <w:sz w:val="24"/>
          <w:szCs w:val="24"/>
        </w:rPr>
        <w:t xml:space="preserve"> </w:t>
      </w:r>
      <w:r w:rsidRPr="00E558AE">
        <w:rPr>
          <w:rFonts w:ascii="Times New Roman" w:hAnsi="Times New Roman" w:cs="Times New Roman"/>
          <w:iCs/>
          <w:sz w:val="24"/>
          <w:szCs w:val="24"/>
        </w:rPr>
        <w:t xml:space="preserve">that they could be used more widely, to </w:t>
      </w:r>
      <w:r w:rsidR="00867717" w:rsidRPr="00E558AE">
        <w:rPr>
          <w:rFonts w:ascii="Times New Roman" w:hAnsi="Times New Roman" w:cs="Times New Roman"/>
          <w:iCs/>
          <w:sz w:val="24"/>
          <w:szCs w:val="24"/>
        </w:rPr>
        <w:t>reinforce</w:t>
      </w:r>
      <w:r w:rsidRPr="00E558AE">
        <w:rPr>
          <w:rFonts w:ascii="Times New Roman" w:hAnsi="Times New Roman" w:cs="Times New Roman"/>
          <w:iCs/>
          <w:sz w:val="24"/>
          <w:szCs w:val="24"/>
        </w:rPr>
        <w:t xml:space="preserve"> </w:t>
      </w:r>
      <w:r w:rsidR="00C938DA" w:rsidRPr="00E558AE">
        <w:rPr>
          <w:rFonts w:ascii="Times New Roman" w:hAnsi="Times New Roman" w:cs="Times New Roman"/>
          <w:iCs/>
          <w:sz w:val="24"/>
          <w:szCs w:val="24"/>
        </w:rPr>
        <w:t>t</w:t>
      </w:r>
      <w:r w:rsidRPr="00E558AE">
        <w:rPr>
          <w:rFonts w:ascii="Times New Roman" w:hAnsi="Times New Roman" w:cs="Times New Roman"/>
          <w:iCs/>
          <w:sz w:val="24"/>
          <w:szCs w:val="24"/>
        </w:rPr>
        <w:t xml:space="preserve">ax good governance principles. EU Member States should mirror the EU efforts when it comes to the use of their own funds. The Commission urges Member States who have not already done so to reflect the EU requirements in their </w:t>
      </w:r>
      <w:r w:rsidR="00C938DA" w:rsidRPr="00E558AE">
        <w:rPr>
          <w:rFonts w:ascii="Times New Roman" w:hAnsi="Times New Roman" w:cs="Times New Roman"/>
          <w:iCs/>
          <w:sz w:val="24"/>
          <w:szCs w:val="24"/>
        </w:rPr>
        <w:t>national</w:t>
      </w:r>
      <w:r w:rsidRPr="00E558AE">
        <w:rPr>
          <w:rFonts w:ascii="Times New Roman" w:hAnsi="Times New Roman" w:cs="Times New Roman"/>
          <w:iCs/>
          <w:sz w:val="24"/>
          <w:szCs w:val="24"/>
        </w:rPr>
        <w:t xml:space="preserve"> funding policies</w:t>
      </w:r>
      <w:r w:rsidR="00761668">
        <w:rPr>
          <w:rFonts w:ascii="Times New Roman" w:hAnsi="Times New Roman" w:cs="Times New Roman"/>
          <w:iCs/>
          <w:sz w:val="24"/>
          <w:szCs w:val="24"/>
        </w:rPr>
        <w:t xml:space="preserve"> and in the compliance rules of their promotional banks and development agencies</w:t>
      </w:r>
      <w:r w:rsidRPr="00E558AE">
        <w:rPr>
          <w:rFonts w:ascii="Times New Roman" w:hAnsi="Times New Roman" w:cs="Times New Roman"/>
          <w:iCs/>
          <w:sz w:val="24"/>
          <w:szCs w:val="24"/>
        </w:rPr>
        <w:t xml:space="preserve">. In that way, no funds from the EU or its Member States would </w:t>
      </w:r>
      <w:r w:rsidR="00282E8A">
        <w:rPr>
          <w:rFonts w:ascii="Times New Roman" w:hAnsi="Times New Roman" w:cs="Times New Roman"/>
          <w:iCs/>
          <w:sz w:val="24"/>
          <w:szCs w:val="24"/>
        </w:rPr>
        <w:t xml:space="preserve">be </w:t>
      </w:r>
      <w:r w:rsidR="00A0406E">
        <w:rPr>
          <w:rFonts w:ascii="Times New Roman" w:hAnsi="Times New Roman" w:cs="Times New Roman"/>
          <w:iCs/>
          <w:sz w:val="24"/>
          <w:szCs w:val="24"/>
        </w:rPr>
        <w:t>channelled</w:t>
      </w:r>
      <w:r w:rsidR="00282E8A">
        <w:rPr>
          <w:rFonts w:ascii="Times New Roman" w:hAnsi="Times New Roman" w:cs="Times New Roman"/>
          <w:iCs/>
          <w:sz w:val="24"/>
          <w:szCs w:val="24"/>
        </w:rPr>
        <w:t xml:space="preserve"> through</w:t>
      </w:r>
      <w:r w:rsidRPr="00E558AE">
        <w:rPr>
          <w:rFonts w:ascii="Times New Roman" w:hAnsi="Times New Roman" w:cs="Times New Roman"/>
          <w:iCs/>
          <w:sz w:val="24"/>
          <w:szCs w:val="24"/>
        </w:rPr>
        <w:t xml:space="preserve"> </w:t>
      </w:r>
      <w:r w:rsidR="00C87E0A">
        <w:rPr>
          <w:rFonts w:ascii="Times New Roman" w:hAnsi="Times New Roman" w:cs="Times New Roman"/>
          <w:iCs/>
          <w:sz w:val="24"/>
          <w:szCs w:val="24"/>
        </w:rPr>
        <w:t xml:space="preserve">entities from </w:t>
      </w:r>
      <w:r w:rsidRPr="00E558AE">
        <w:rPr>
          <w:rFonts w:ascii="Times New Roman" w:hAnsi="Times New Roman" w:cs="Times New Roman"/>
          <w:iCs/>
          <w:sz w:val="24"/>
          <w:szCs w:val="24"/>
        </w:rPr>
        <w:t>listed jurisdictions or</w:t>
      </w:r>
      <w:r w:rsidR="00282E8A">
        <w:rPr>
          <w:rFonts w:ascii="Times New Roman" w:hAnsi="Times New Roman" w:cs="Times New Roman"/>
          <w:iCs/>
          <w:sz w:val="24"/>
          <w:szCs w:val="24"/>
        </w:rPr>
        <w:t xml:space="preserve"> </w:t>
      </w:r>
      <w:r w:rsidR="0095331F">
        <w:rPr>
          <w:rFonts w:ascii="Times New Roman" w:hAnsi="Times New Roman" w:cs="Times New Roman"/>
          <w:iCs/>
          <w:sz w:val="24"/>
          <w:szCs w:val="24"/>
        </w:rPr>
        <w:t xml:space="preserve">be </w:t>
      </w:r>
      <w:r w:rsidR="0095331F" w:rsidRPr="00E558AE">
        <w:rPr>
          <w:rFonts w:ascii="Times New Roman" w:hAnsi="Times New Roman" w:cs="Times New Roman"/>
          <w:iCs/>
          <w:sz w:val="24"/>
          <w:szCs w:val="24"/>
        </w:rPr>
        <w:t>involved</w:t>
      </w:r>
      <w:r w:rsidRPr="00E558AE">
        <w:rPr>
          <w:rFonts w:ascii="Times New Roman" w:hAnsi="Times New Roman" w:cs="Times New Roman"/>
          <w:iCs/>
          <w:sz w:val="24"/>
          <w:szCs w:val="24"/>
        </w:rPr>
        <w:t xml:space="preserve"> in tax avoidance schemes. This would give the EU more weight and credibility when promoting tax good governance standards internationally. </w:t>
      </w:r>
    </w:p>
    <w:p w:rsidR="00DA6CAA" w:rsidRDefault="00DA6CAA" w:rsidP="007C2B84">
      <w:pPr>
        <w:spacing w:after="0" w:line="276" w:lineRule="auto"/>
        <w:jc w:val="both"/>
        <w:rPr>
          <w:rFonts w:ascii="Times New Roman" w:hAnsi="Times New Roman" w:cs="Times New Roman"/>
          <w:iCs/>
          <w:sz w:val="24"/>
          <w:szCs w:val="24"/>
          <w:lang w:val="en-US"/>
        </w:rPr>
      </w:pPr>
    </w:p>
    <w:p w:rsidR="00DA6CAA" w:rsidRDefault="00DA6CAA" w:rsidP="007C2B84">
      <w:pPr>
        <w:spacing w:after="0" w:line="276"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In the same line of thought</w:t>
      </w:r>
      <w:r w:rsidRPr="00DA6CAA">
        <w:rPr>
          <w:rFonts w:ascii="Times New Roman" w:hAnsi="Times New Roman" w:cs="Times New Roman"/>
          <w:iCs/>
          <w:sz w:val="24"/>
          <w:szCs w:val="24"/>
          <w:lang w:val="en-US"/>
        </w:rPr>
        <w:t>, the Commis</w:t>
      </w:r>
      <w:r>
        <w:rPr>
          <w:rFonts w:ascii="Times New Roman" w:hAnsi="Times New Roman" w:cs="Times New Roman"/>
          <w:iCs/>
          <w:sz w:val="24"/>
          <w:szCs w:val="24"/>
          <w:lang w:val="en-US"/>
        </w:rPr>
        <w:t>sion put forward a R</w:t>
      </w:r>
      <w:r w:rsidR="0000427F">
        <w:rPr>
          <w:rFonts w:ascii="Times New Roman" w:hAnsi="Times New Roman" w:cs="Times New Roman"/>
          <w:iCs/>
          <w:sz w:val="24"/>
          <w:szCs w:val="24"/>
          <w:lang w:val="en-US"/>
        </w:rPr>
        <w:t>ecommendation</w:t>
      </w:r>
      <w:r>
        <w:rPr>
          <w:rStyle w:val="FootnoteReference"/>
          <w:rFonts w:ascii="Times New Roman" w:hAnsi="Times New Roman" w:cs="Times New Roman"/>
          <w:iCs/>
          <w:sz w:val="24"/>
          <w:szCs w:val="24"/>
          <w:lang w:val="en-US"/>
        </w:rPr>
        <w:footnoteReference w:id="17"/>
      </w:r>
      <w:r>
        <w:rPr>
          <w:rFonts w:ascii="Times New Roman" w:hAnsi="Times New Roman" w:cs="Times New Roman"/>
          <w:iCs/>
          <w:sz w:val="24"/>
          <w:szCs w:val="24"/>
          <w:lang w:val="en-US"/>
        </w:rPr>
        <w:t xml:space="preserve"> pursuant to which</w:t>
      </w:r>
      <w:r w:rsidRPr="00DA6CAA">
        <w:rPr>
          <w:rFonts w:ascii="Times New Roman" w:hAnsi="Times New Roman" w:cs="Times New Roman"/>
          <w:iCs/>
          <w:sz w:val="24"/>
          <w:szCs w:val="24"/>
          <w:lang w:val="en-US"/>
        </w:rPr>
        <w:t xml:space="preserve"> Member States </w:t>
      </w:r>
      <w:r>
        <w:rPr>
          <w:rFonts w:ascii="Times New Roman" w:hAnsi="Times New Roman" w:cs="Times New Roman"/>
          <w:iCs/>
          <w:sz w:val="24"/>
          <w:szCs w:val="24"/>
          <w:lang w:val="en-US"/>
        </w:rPr>
        <w:t xml:space="preserve">should </w:t>
      </w:r>
      <w:r w:rsidRPr="00DA6CAA">
        <w:rPr>
          <w:rFonts w:ascii="Times New Roman" w:hAnsi="Times New Roman" w:cs="Times New Roman"/>
          <w:iCs/>
          <w:sz w:val="24"/>
          <w:szCs w:val="24"/>
          <w:lang w:val="en-US"/>
        </w:rPr>
        <w:t>make their financial support to undertakings conditional on the absence of links between those undertakings and jurisdictions that feature on the Union list</w:t>
      </w:r>
      <w:r>
        <w:rPr>
          <w:rFonts w:ascii="Times New Roman" w:hAnsi="Times New Roman" w:cs="Times New Roman"/>
          <w:iCs/>
          <w:sz w:val="24"/>
          <w:szCs w:val="24"/>
          <w:lang w:val="en-US"/>
        </w:rPr>
        <w:t xml:space="preserve"> of non-cooperative jurisdictions for tax purposes</w:t>
      </w:r>
      <w:r w:rsidR="00927D8F">
        <w:rPr>
          <w:rFonts w:ascii="Times New Roman" w:hAnsi="Times New Roman" w:cs="Times New Roman"/>
          <w:iCs/>
          <w:sz w:val="24"/>
          <w:szCs w:val="24"/>
          <w:lang w:val="en-US"/>
        </w:rPr>
        <w:t>, so as to ensure that the considerable efforts made by Member States to support the recovery are implemented in a way that is consistent with the need to ensure international tax fairness</w:t>
      </w:r>
      <w:r w:rsidRPr="00DA6CAA">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w:t>
      </w:r>
    </w:p>
    <w:p w:rsidR="00DA6CAA" w:rsidRPr="00700971" w:rsidRDefault="00DA6CAA" w:rsidP="007C2B84">
      <w:pPr>
        <w:spacing w:after="0" w:line="276" w:lineRule="auto"/>
        <w:jc w:val="both"/>
        <w:rPr>
          <w:rFonts w:ascii="Times New Roman" w:hAnsi="Times New Roman" w:cs="Times New Roman"/>
          <w:iCs/>
          <w:sz w:val="24"/>
          <w:szCs w:val="24"/>
          <w:lang w:val="en-US"/>
        </w:rPr>
      </w:pPr>
    </w:p>
    <w:p w:rsidR="005146FA" w:rsidRPr="00E558AE" w:rsidRDefault="0016253E" w:rsidP="007C2B84">
      <w:pPr>
        <w:spacing w:after="0" w:line="276" w:lineRule="auto"/>
        <w:jc w:val="both"/>
        <w:rPr>
          <w:rFonts w:ascii="Times New Roman" w:hAnsi="Times New Roman" w:cs="Times New Roman"/>
          <w:iCs/>
          <w:sz w:val="24"/>
          <w:szCs w:val="24"/>
        </w:rPr>
      </w:pPr>
      <w:r w:rsidRPr="00E558AE">
        <w:rPr>
          <w:rFonts w:ascii="Times New Roman" w:hAnsi="Times New Roman" w:cs="Times New Roman"/>
          <w:iCs/>
          <w:sz w:val="24"/>
          <w:szCs w:val="24"/>
        </w:rPr>
        <w:t xml:space="preserve">The Commission will </w:t>
      </w:r>
      <w:r w:rsidR="006C5FFF">
        <w:rPr>
          <w:rFonts w:ascii="Times New Roman" w:hAnsi="Times New Roman" w:cs="Times New Roman"/>
          <w:iCs/>
          <w:sz w:val="24"/>
          <w:szCs w:val="24"/>
        </w:rPr>
        <w:t xml:space="preserve">also </w:t>
      </w:r>
      <w:r w:rsidRPr="00E558AE">
        <w:rPr>
          <w:rFonts w:ascii="Times New Roman" w:hAnsi="Times New Roman" w:cs="Times New Roman"/>
          <w:iCs/>
          <w:sz w:val="24"/>
          <w:szCs w:val="24"/>
        </w:rPr>
        <w:t>launch</w:t>
      </w:r>
      <w:r w:rsidR="00BC7F53">
        <w:rPr>
          <w:rFonts w:ascii="Times New Roman" w:hAnsi="Times New Roman" w:cs="Times New Roman"/>
          <w:iCs/>
          <w:sz w:val="24"/>
          <w:szCs w:val="24"/>
        </w:rPr>
        <w:t xml:space="preserve">, most probably </w:t>
      </w:r>
      <w:r w:rsidR="001E0BD4">
        <w:rPr>
          <w:rFonts w:ascii="Times New Roman" w:hAnsi="Times New Roman" w:cs="Times New Roman"/>
          <w:iCs/>
          <w:sz w:val="24"/>
          <w:szCs w:val="24"/>
        </w:rPr>
        <w:t>by end of 2020</w:t>
      </w:r>
      <w:r w:rsidR="00BC7F53">
        <w:rPr>
          <w:rFonts w:ascii="Times New Roman" w:hAnsi="Times New Roman" w:cs="Times New Roman"/>
          <w:iCs/>
          <w:sz w:val="24"/>
          <w:szCs w:val="24"/>
        </w:rPr>
        <w:t>,</w:t>
      </w:r>
      <w:r w:rsidRPr="00E558AE">
        <w:rPr>
          <w:rFonts w:ascii="Times New Roman" w:hAnsi="Times New Roman" w:cs="Times New Roman"/>
          <w:iCs/>
          <w:sz w:val="24"/>
          <w:szCs w:val="24"/>
        </w:rPr>
        <w:t xml:space="preserve"> a discussion with Member States to consider how this alignment of EU and national funding policies can be achieved. </w:t>
      </w:r>
      <w:r w:rsidR="005146FA" w:rsidRPr="00E558AE">
        <w:rPr>
          <w:rFonts w:ascii="Times New Roman" w:hAnsi="Times New Roman" w:cs="Times New Roman"/>
          <w:iCs/>
          <w:sz w:val="24"/>
          <w:szCs w:val="24"/>
        </w:rPr>
        <w:t>It will also consider</w:t>
      </w:r>
      <w:r w:rsidR="001E0BD4">
        <w:rPr>
          <w:rFonts w:ascii="Times New Roman" w:hAnsi="Times New Roman" w:cs="Times New Roman"/>
          <w:iCs/>
          <w:sz w:val="24"/>
          <w:szCs w:val="24"/>
        </w:rPr>
        <w:t xml:space="preserve"> in this context</w:t>
      </w:r>
      <w:r w:rsidR="005146FA" w:rsidRPr="00E558AE">
        <w:rPr>
          <w:rFonts w:ascii="Times New Roman" w:hAnsi="Times New Roman" w:cs="Times New Roman"/>
          <w:iCs/>
          <w:sz w:val="24"/>
          <w:szCs w:val="24"/>
        </w:rPr>
        <w:t xml:space="preserve"> whether the use of </w:t>
      </w:r>
      <w:r w:rsidR="00282E8A">
        <w:rPr>
          <w:rFonts w:ascii="Times New Roman" w:hAnsi="Times New Roman" w:cs="Times New Roman"/>
          <w:iCs/>
          <w:sz w:val="24"/>
          <w:szCs w:val="24"/>
        </w:rPr>
        <w:t xml:space="preserve">EU and Member States’ </w:t>
      </w:r>
      <w:r w:rsidR="005146FA" w:rsidRPr="00E558AE">
        <w:rPr>
          <w:rFonts w:ascii="Times New Roman" w:hAnsi="Times New Roman" w:cs="Times New Roman"/>
          <w:iCs/>
          <w:sz w:val="24"/>
          <w:szCs w:val="24"/>
        </w:rPr>
        <w:t xml:space="preserve">funds and Member States’ defensive measures can be better aligned, to concentrate the </w:t>
      </w:r>
      <w:r w:rsidR="00C938DA" w:rsidRPr="00E558AE">
        <w:rPr>
          <w:rFonts w:ascii="Times New Roman" w:hAnsi="Times New Roman" w:cs="Times New Roman"/>
          <w:iCs/>
          <w:sz w:val="24"/>
          <w:szCs w:val="24"/>
        </w:rPr>
        <w:t>impact on</w:t>
      </w:r>
      <w:r w:rsidR="005146FA" w:rsidRPr="00E558AE">
        <w:rPr>
          <w:rFonts w:ascii="Times New Roman" w:hAnsi="Times New Roman" w:cs="Times New Roman"/>
          <w:iCs/>
          <w:sz w:val="24"/>
          <w:szCs w:val="24"/>
        </w:rPr>
        <w:t xml:space="preserve"> non-cooperative jurisdictions. </w:t>
      </w:r>
    </w:p>
    <w:p w:rsidR="005146FA" w:rsidRPr="00E558AE" w:rsidRDefault="005146FA" w:rsidP="007C2B84">
      <w:pPr>
        <w:spacing w:after="0" w:line="276" w:lineRule="auto"/>
        <w:jc w:val="both"/>
        <w:rPr>
          <w:rFonts w:ascii="Times New Roman" w:hAnsi="Times New Roman" w:cs="Times New Roman"/>
          <w:iCs/>
          <w:sz w:val="24"/>
          <w:szCs w:val="24"/>
        </w:rPr>
      </w:pPr>
    </w:p>
    <w:p w:rsidR="0016253E" w:rsidRPr="00E558AE" w:rsidRDefault="0016253E" w:rsidP="007C2B84">
      <w:pPr>
        <w:spacing w:after="0" w:line="276" w:lineRule="auto"/>
        <w:jc w:val="both"/>
        <w:rPr>
          <w:rFonts w:ascii="Times New Roman" w:hAnsi="Times New Roman" w:cs="Times New Roman"/>
          <w:sz w:val="24"/>
          <w:szCs w:val="24"/>
        </w:rPr>
      </w:pPr>
      <w:r w:rsidRPr="00E558AE">
        <w:rPr>
          <w:rFonts w:ascii="Times New Roman" w:hAnsi="Times New Roman" w:cs="Times New Roman"/>
          <w:iCs/>
          <w:sz w:val="24"/>
          <w:szCs w:val="24"/>
        </w:rPr>
        <w:t xml:space="preserve">As a second step, building on experience at EU level, the Commission will consider how to bring other international donors on board in preventing tax avoidance in the use of </w:t>
      </w:r>
      <w:r w:rsidR="00282E8A">
        <w:rPr>
          <w:rFonts w:ascii="Times New Roman" w:hAnsi="Times New Roman" w:cs="Times New Roman"/>
          <w:iCs/>
          <w:sz w:val="24"/>
          <w:szCs w:val="24"/>
        </w:rPr>
        <w:t xml:space="preserve">all </w:t>
      </w:r>
      <w:r w:rsidRPr="00E558AE">
        <w:rPr>
          <w:rFonts w:ascii="Times New Roman" w:hAnsi="Times New Roman" w:cs="Times New Roman"/>
          <w:iCs/>
          <w:sz w:val="24"/>
          <w:szCs w:val="24"/>
        </w:rPr>
        <w:t xml:space="preserve">public funds. The Commission will report on the internal EU coordination </w:t>
      </w:r>
      <w:r w:rsidR="00C938DA" w:rsidRPr="00E558AE">
        <w:rPr>
          <w:rFonts w:ascii="Times New Roman" w:hAnsi="Times New Roman" w:cs="Times New Roman"/>
          <w:iCs/>
          <w:sz w:val="24"/>
          <w:szCs w:val="24"/>
        </w:rPr>
        <w:t>work</w:t>
      </w:r>
      <w:r w:rsidRPr="00E558AE">
        <w:rPr>
          <w:rFonts w:ascii="Times New Roman" w:hAnsi="Times New Roman" w:cs="Times New Roman"/>
          <w:iCs/>
          <w:sz w:val="24"/>
          <w:szCs w:val="24"/>
        </w:rPr>
        <w:t xml:space="preserve"> by </w:t>
      </w:r>
      <w:r w:rsidR="00BC7F53">
        <w:rPr>
          <w:rFonts w:ascii="Times New Roman" w:hAnsi="Times New Roman" w:cs="Times New Roman"/>
          <w:iCs/>
          <w:sz w:val="24"/>
          <w:szCs w:val="24"/>
        </w:rPr>
        <w:t>mid-2022</w:t>
      </w:r>
      <w:r w:rsidRPr="00E558AE">
        <w:rPr>
          <w:rFonts w:ascii="Times New Roman" w:hAnsi="Times New Roman" w:cs="Times New Roman"/>
          <w:iCs/>
          <w:sz w:val="24"/>
          <w:szCs w:val="24"/>
        </w:rPr>
        <w:t xml:space="preserve">, and then consider </w:t>
      </w:r>
      <w:r w:rsidRPr="00E558AE">
        <w:rPr>
          <w:rFonts w:ascii="Times New Roman" w:hAnsi="Times New Roman" w:cs="Times New Roman"/>
          <w:sz w:val="24"/>
          <w:szCs w:val="24"/>
        </w:rPr>
        <w:t>ways to promote best practice</w:t>
      </w:r>
      <w:r w:rsidR="00BC7F53">
        <w:rPr>
          <w:rFonts w:ascii="Times New Roman" w:hAnsi="Times New Roman" w:cs="Times New Roman"/>
          <w:sz w:val="24"/>
          <w:szCs w:val="24"/>
        </w:rPr>
        <w:t>s</w:t>
      </w:r>
      <w:r w:rsidRPr="00E558AE">
        <w:rPr>
          <w:rFonts w:ascii="Times New Roman" w:hAnsi="Times New Roman" w:cs="Times New Roman"/>
          <w:sz w:val="24"/>
          <w:szCs w:val="24"/>
        </w:rPr>
        <w:t xml:space="preserve"> at </w:t>
      </w:r>
      <w:r w:rsidR="00BC7F53">
        <w:rPr>
          <w:rFonts w:ascii="Times New Roman" w:hAnsi="Times New Roman" w:cs="Times New Roman"/>
          <w:sz w:val="24"/>
          <w:szCs w:val="24"/>
        </w:rPr>
        <w:t xml:space="preserve">a </w:t>
      </w:r>
      <w:r w:rsidRPr="00E558AE">
        <w:rPr>
          <w:rFonts w:ascii="Times New Roman" w:hAnsi="Times New Roman" w:cs="Times New Roman"/>
          <w:sz w:val="24"/>
          <w:szCs w:val="24"/>
        </w:rPr>
        <w:t xml:space="preserve">broader international level. </w:t>
      </w:r>
    </w:p>
    <w:p w:rsidR="0016253E" w:rsidRPr="00E558AE" w:rsidRDefault="00320E34" w:rsidP="007C2B84">
      <w:pPr>
        <w:spacing w:after="0" w:line="276" w:lineRule="auto"/>
        <w:jc w:val="both"/>
        <w:rPr>
          <w:rFonts w:ascii="Times New Roman" w:hAnsi="Times New Roman" w:cs="Times New Roman"/>
          <w:sz w:val="24"/>
          <w:szCs w:val="24"/>
        </w:rPr>
      </w:pPr>
      <w:r w:rsidRPr="00E558AE">
        <w:rPr>
          <w:rFonts w:ascii="Times New Roman" w:hAnsi="Times New Roman" w:cs="Times New Roman"/>
          <w:sz w:val="24"/>
          <w:szCs w:val="24"/>
        </w:rPr>
        <w:t xml:space="preserve"> </w:t>
      </w:r>
    </w:p>
    <w:p w:rsidR="006F548D" w:rsidRPr="00E558AE" w:rsidRDefault="0016253E" w:rsidP="007C2B84">
      <w:pPr>
        <w:spacing w:after="0" w:line="276" w:lineRule="auto"/>
        <w:jc w:val="both"/>
        <w:rPr>
          <w:rFonts w:ascii="Times New Roman" w:hAnsi="Times New Roman" w:cs="Times New Roman"/>
          <w:iCs/>
          <w:sz w:val="24"/>
          <w:szCs w:val="24"/>
        </w:rPr>
      </w:pPr>
      <w:r w:rsidRPr="00E558AE">
        <w:rPr>
          <w:rFonts w:ascii="Times New Roman" w:hAnsi="Times New Roman" w:cs="Times New Roman"/>
          <w:iCs/>
          <w:sz w:val="24"/>
          <w:szCs w:val="24"/>
        </w:rPr>
        <w:t xml:space="preserve">In parallel, the Commission will continue to engage in close dialogue with the international financial institutions and other implementing partners, to review how the new EU requirements have impacted their work and processes. In particular, it will consider whether the guidance </w:t>
      </w:r>
      <w:r w:rsidR="00C93B39">
        <w:rPr>
          <w:rFonts w:ascii="Times New Roman" w:hAnsi="Times New Roman" w:cs="Times New Roman"/>
          <w:iCs/>
          <w:sz w:val="24"/>
          <w:szCs w:val="24"/>
        </w:rPr>
        <w:t>needs to</w:t>
      </w:r>
      <w:r w:rsidRPr="00E558AE">
        <w:rPr>
          <w:rFonts w:ascii="Times New Roman" w:hAnsi="Times New Roman" w:cs="Times New Roman"/>
          <w:iCs/>
          <w:sz w:val="24"/>
          <w:szCs w:val="24"/>
        </w:rPr>
        <w:t xml:space="preserve"> be clarified or </w:t>
      </w:r>
      <w:r w:rsidR="005146FA" w:rsidRPr="00E558AE">
        <w:rPr>
          <w:rFonts w:ascii="Times New Roman" w:hAnsi="Times New Roman" w:cs="Times New Roman"/>
          <w:iCs/>
          <w:sz w:val="24"/>
          <w:szCs w:val="24"/>
        </w:rPr>
        <w:t>updated</w:t>
      </w:r>
      <w:r w:rsidRPr="00E558AE">
        <w:rPr>
          <w:rFonts w:ascii="Times New Roman" w:hAnsi="Times New Roman" w:cs="Times New Roman"/>
          <w:iCs/>
          <w:sz w:val="24"/>
          <w:szCs w:val="24"/>
        </w:rPr>
        <w:t xml:space="preserve">. </w:t>
      </w:r>
      <w:r w:rsidR="002774D8" w:rsidRPr="00E558AE">
        <w:rPr>
          <w:rFonts w:ascii="Times New Roman" w:hAnsi="Times New Roman" w:cs="Times New Roman"/>
          <w:iCs/>
          <w:sz w:val="24"/>
          <w:szCs w:val="24"/>
        </w:rPr>
        <w:t xml:space="preserve">In order to smoothen implementation, identify best practices and promote a level playing field, the Commission will </w:t>
      </w:r>
      <w:r w:rsidRPr="00E558AE">
        <w:rPr>
          <w:rFonts w:ascii="Times New Roman" w:hAnsi="Times New Roman" w:cs="Times New Roman"/>
          <w:iCs/>
          <w:sz w:val="24"/>
          <w:szCs w:val="24"/>
        </w:rPr>
        <w:t>launch discussions with EU implementing partners on this issue before the end of 2020. On the basis of these discussions, it will present a report</w:t>
      </w:r>
      <w:r w:rsidR="00282E8A">
        <w:rPr>
          <w:rFonts w:ascii="Times New Roman" w:hAnsi="Times New Roman" w:cs="Times New Roman"/>
          <w:iCs/>
          <w:sz w:val="24"/>
          <w:szCs w:val="24"/>
        </w:rPr>
        <w:t xml:space="preserve"> to </w:t>
      </w:r>
      <w:r w:rsidR="00D16630">
        <w:rPr>
          <w:rFonts w:ascii="Times New Roman" w:hAnsi="Times New Roman" w:cs="Times New Roman"/>
          <w:iCs/>
          <w:sz w:val="24"/>
          <w:szCs w:val="24"/>
        </w:rPr>
        <w:t>the European Parliament and the Council</w:t>
      </w:r>
      <w:r w:rsidR="00282E8A">
        <w:rPr>
          <w:rFonts w:ascii="Times New Roman" w:hAnsi="Times New Roman" w:cs="Times New Roman"/>
          <w:iCs/>
          <w:sz w:val="24"/>
          <w:szCs w:val="24"/>
        </w:rPr>
        <w:t>,</w:t>
      </w:r>
      <w:r w:rsidRPr="00E558AE">
        <w:rPr>
          <w:rFonts w:ascii="Times New Roman" w:hAnsi="Times New Roman" w:cs="Times New Roman"/>
          <w:iCs/>
          <w:sz w:val="24"/>
          <w:szCs w:val="24"/>
        </w:rPr>
        <w:t xml:space="preserve"> </w:t>
      </w:r>
      <w:r w:rsidR="00BC7F53">
        <w:rPr>
          <w:rFonts w:ascii="Times New Roman" w:hAnsi="Times New Roman" w:cs="Times New Roman"/>
          <w:iCs/>
          <w:sz w:val="24"/>
          <w:szCs w:val="24"/>
        </w:rPr>
        <w:t>as</w:t>
      </w:r>
      <w:r w:rsidR="005146FA" w:rsidRPr="00E558AE">
        <w:rPr>
          <w:rFonts w:ascii="Times New Roman" w:hAnsi="Times New Roman" w:cs="Times New Roman"/>
          <w:iCs/>
          <w:sz w:val="24"/>
          <w:szCs w:val="24"/>
        </w:rPr>
        <w:t xml:space="preserve"> of 2</w:t>
      </w:r>
      <w:r w:rsidRPr="00E558AE">
        <w:rPr>
          <w:rFonts w:ascii="Times New Roman" w:hAnsi="Times New Roman" w:cs="Times New Roman"/>
          <w:iCs/>
          <w:sz w:val="24"/>
          <w:szCs w:val="24"/>
        </w:rPr>
        <w:t>02</w:t>
      </w:r>
      <w:r w:rsidR="00BC7F53">
        <w:rPr>
          <w:rFonts w:ascii="Times New Roman" w:hAnsi="Times New Roman" w:cs="Times New Roman"/>
          <w:iCs/>
          <w:sz w:val="24"/>
          <w:szCs w:val="24"/>
        </w:rPr>
        <w:t>2,</w:t>
      </w:r>
      <w:r w:rsidRPr="00E558AE">
        <w:rPr>
          <w:rFonts w:ascii="Times New Roman" w:hAnsi="Times New Roman" w:cs="Times New Roman"/>
          <w:iCs/>
          <w:sz w:val="24"/>
          <w:szCs w:val="24"/>
        </w:rPr>
        <w:t xml:space="preserve"> with clarifications and solutions for particular issues, as needed. </w:t>
      </w:r>
    </w:p>
    <w:p w:rsidR="0016253E" w:rsidRPr="00E558AE" w:rsidRDefault="0016253E" w:rsidP="007C2B84">
      <w:pPr>
        <w:spacing w:after="0" w:line="276" w:lineRule="auto"/>
        <w:jc w:val="both"/>
        <w:rPr>
          <w:rFonts w:ascii="Times New Roman" w:hAnsi="Times New Roman" w:cs="Times New Roman"/>
          <w:b/>
          <w:iCs/>
          <w:sz w:val="24"/>
          <w:szCs w:val="24"/>
        </w:rPr>
      </w:pPr>
    </w:p>
    <w:p w:rsidR="00B050DC" w:rsidRPr="00E558AE" w:rsidRDefault="0067390A" w:rsidP="007C2B84">
      <w:pPr>
        <w:spacing w:after="0" w:line="276" w:lineRule="auto"/>
        <w:jc w:val="both"/>
        <w:rPr>
          <w:rFonts w:ascii="Times New Roman" w:hAnsi="Times New Roman" w:cs="Times New Roman"/>
          <w:i/>
          <w:iCs/>
          <w:sz w:val="24"/>
          <w:szCs w:val="24"/>
        </w:rPr>
      </w:pPr>
      <w:r>
        <w:rPr>
          <w:rFonts w:ascii="Times New Roman" w:hAnsi="Times New Roman" w:cs="Times New Roman"/>
          <w:i/>
          <w:iCs/>
          <w:sz w:val="24"/>
          <w:szCs w:val="24"/>
        </w:rPr>
        <w:t>4</w:t>
      </w:r>
      <w:r w:rsidR="00867717" w:rsidRPr="00E558AE">
        <w:rPr>
          <w:rFonts w:ascii="Times New Roman" w:hAnsi="Times New Roman" w:cs="Times New Roman"/>
          <w:i/>
          <w:iCs/>
          <w:sz w:val="24"/>
          <w:szCs w:val="24"/>
        </w:rPr>
        <w:t xml:space="preserve"> (b) Strengthening d</w:t>
      </w:r>
      <w:r w:rsidR="3C502593" w:rsidRPr="00E558AE">
        <w:rPr>
          <w:rFonts w:ascii="Times New Roman" w:hAnsi="Times New Roman" w:cs="Times New Roman"/>
          <w:i/>
          <w:iCs/>
          <w:sz w:val="24"/>
          <w:szCs w:val="24"/>
        </w:rPr>
        <w:t>efensive measures against non-cooperative jurisdictions</w:t>
      </w:r>
    </w:p>
    <w:p w:rsidR="00706E61" w:rsidRPr="00E558AE" w:rsidRDefault="00706E61" w:rsidP="007C2B84">
      <w:pPr>
        <w:spacing w:after="0" w:line="276" w:lineRule="auto"/>
        <w:jc w:val="both"/>
        <w:rPr>
          <w:rFonts w:ascii="Times New Roman" w:hAnsi="Times New Roman" w:cs="Times New Roman"/>
          <w:i/>
          <w:sz w:val="24"/>
          <w:szCs w:val="24"/>
        </w:rPr>
      </w:pPr>
    </w:p>
    <w:p w:rsidR="00867717" w:rsidRPr="00E558AE" w:rsidRDefault="00867717" w:rsidP="007C2B84">
      <w:pPr>
        <w:spacing w:after="0" w:line="276" w:lineRule="auto"/>
        <w:jc w:val="both"/>
        <w:rPr>
          <w:rFonts w:ascii="Times New Roman" w:hAnsi="Times New Roman" w:cs="Times New Roman"/>
          <w:iCs/>
          <w:sz w:val="24"/>
          <w:szCs w:val="24"/>
        </w:rPr>
      </w:pPr>
      <w:r w:rsidRPr="00E558AE">
        <w:rPr>
          <w:rFonts w:ascii="Times New Roman" w:hAnsi="Times New Roman" w:cs="Times New Roman"/>
          <w:iCs/>
          <w:sz w:val="24"/>
          <w:szCs w:val="24"/>
        </w:rPr>
        <w:t xml:space="preserve">In addition to </w:t>
      </w:r>
      <w:r w:rsidR="00282E8A">
        <w:rPr>
          <w:rFonts w:ascii="Times New Roman" w:hAnsi="Times New Roman" w:cs="Times New Roman"/>
          <w:iCs/>
          <w:sz w:val="24"/>
          <w:szCs w:val="24"/>
        </w:rPr>
        <w:t xml:space="preserve">having implemented </w:t>
      </w:r>
      <w:r w:rsidRPr="00E558AE">
        <w:rPr>
          <w:rFonts w:ascii="Times New Roman" w:hAnsi="Times New Roman" w:cs="Times New Roman"/>
          <w:iCs/>
          <w:sz w:val="24"/>
          <w:szCs w:val="24"/>
        </w:rPr>
        <w:t>the stronger provisions for EU funds</w:t>
      </w:r>
      <w:r w:rsidR="3C502593" w:rsidRPr="00E558AE">
        <w:rPr>
          <w:rFonts w:ascii="Times New Roman" w:hAnsi="Times New Roman" w:cs="Times New Roman"/>
          <w:iCs/>
          <w:sz w:val="24"/>
          <w:szCs w:val="24"/>
        </w:rPr>
        <w:t xml:space="preserve">, the Commission has consistently called </w:t>
      </w:r>
      <w:r w:rsidR="00C938DA" w:rsidRPr="00E558AE">
        <w:rPr>
          <w:rFonts w:ascii="Times New Roman" w:hAnsi="Times New Roman" w:cs="Times New Roman"/>
          <w:iCs/>
          <w:sz w:val="24"/>
          <w:szCs w:val="24"/>
        </w:rPr>
        <w:t>on</w:t>
      </w:r>
      <w:r w:rsidR="3C502593" w:rsidRPr="00E558AE">
        <w:rPr>
          <w:rFonts w:ascii="Times New Roman" w:hAnsi="Times New Roman" w:cs="Times New Roman"/>
          <w:iCs/>
          <w:sz w:val="24"/>
          <w:szCs w:val="24"/>
        </w:rPr>
        <w:t xml:space="preserve"> Member States to </w:t>
      </w:r>
      <w:r w:rsidR="00C938DA" w:rsidRPr="00E558AE">
        <w:rPr>
          <w:rFonts w:ascii="Times New Roman" w:hAnsi="Times New Roman" w:cs="Times New Roman"/>
          <w:iCs/>
          <w:sz w:val="24"/>
          <w:szCs w:val="24"/>
        </w:rPr>
        <w:t>apply</w:t>
      </w:r>
      <w:r w:rsidR="3C502593" w:rsidRPr="00E558AE">
        <w:rPr>
          <w:rFonts w:ascii="Times New Roman" w:hAnsi="Times New Roman" w:cs="Times New Roman"/>
          <w:iCs/>
          <w:sz w:val="24"/>
          <w:szCs w:val="24"/>
        </w:rPr>
        <w:t xml:space="preserve"> strong</w:t>
      </w:r>
      <w:r w:rsidR="00C938DA" w:rsidRPr="00E558AE">
        <w:rPr>
          <w:rFonts w:ascii="Times New Roman" w:hAnsi="Times New Roman" w:cs="Times New Roman"/>
          <w:iCs/>
          <w:sz w:val="24"/>
          <w:szCs w:val="24"/>
        </w:rPr>
        <w:t>,</w:t>
      </w:r>
      <w:r w:rsidR="3C502593" w:rsidRPr="00E558AE">
        <w:rPr>
          <w:rFonts w:ascii="Times New Roman" w:hAnsi="Times New Roman" w:cs="Times New Roman"/>
          <w:iCs/>
          <w:sz w:val="24"/>
          <w:szCs w:val="24"/>
        </w:rPr>
        <w:t xml:space="preserve"> dissuasive</w:t>
      </w:r>
      <w:r w:rsidR="00C938DA" w:rsidRPr="00E558AE">
        <w:rPr>
          <w:rFonts w:ascii="Times New Roman" w:hAnsi="Times New Roman" w:cs="Times New Roman"/>
          <w:iCs/>
          <w:sz w:val="24"/>
          <w:szCs w:val="24"/>
        </w:rPr>
        <w:t xml:space="preserve"> and coordinated</w:t>
      </w:r>
      <w:r w:rsidR="3C502593" w:rsidRPr="00E558AE">
        <w:rPr>
          <w:rFonts w:ascii="Times New Roman" w:hAnsi="Times New Roman" w:cs="Times New Roman"/>
          <w:iCs/>
          <w:sz w:val="24"/>
          <w:szCs w:val="24"/>
        </w:rPr>
        <w:t xml:space="preserve"> defensive measures against EU listed countries. </w:t>
      </w:r>
      <w:r w:rsidRPr="00E558AE">
        <w:rPr>
          <w:rFonts w:ascii="Times New Roman" w:hAnsi="Times New Roman" w:cs="Times New Roman"/>
          <w:iCs/>
          <w:sz w:val="24"/>
          <w:szCs w:val="24"/>
        </w:rPr>
        <w:t xml:space="preserve">A common approach to defensive measures is important to ensure that the EU list has real impact, </w:t>
      </w:r>
      <w:r w:rsidR="00C938DA" w:rsidRPr="00E558AE">
        <w:rPr>
          <w:rFonts w:ascii="Times New Roman" w:hAnsi="Times New Roman" w:cs="Times New Roman"/>
          <w:iCs/>
          <w:sz w:val="24"/>
          <w:szCs w:val="24"/>
        </w:rPr>
        <w:t>and</w:t>
      </w:r>
      <w:r w:rsidRPr="00E558AE">
        <w:rPr>
          <w:rFonts w:ascii="Times New Roman" w:hAnsi="Times New Roman" w:cs="Times New Roman"/>
          <w:iCs/>
          <w:sz w:val="24"/>
          <w:szCs w:val="24"/>
        </w:rPr>
        <w:t xml:space="preserve"> also to provide clarity and certainty to third countries and investors. In December 2017, Member States took the initial steps towards </w:t>
      </w:r>
      <w:r w:rsidR="00C938DA" w:rsidRPr="00E558AE">
        <w:rPr>
          <w:rFonts w:ascii="Times New Roman" w:hAnsi="Times New Roman" w:cs="Times New Roman"/>
          <w:iCs/>
          <w:sz w:val="24"/>
          <w:szCs w:val="24"/>
        </w:rPr>
        <w:t>coordination</w:t>
      </w:r>
      <w:r w:rsidRPr="00E558AE">
        <w:rPr>
          <w:rFonts w:ascii="Times New Roman" w:hAnsi="Times New Roman" w:cs="Times New Roman"/>
          <w:iCs/>
          <w:sz w:val="24"/>
          <w:szCs w:val="24"/>
        </w:rPr>
        <w:t xml:space="preserve">, by agreeing on certain administrative measures, such as increased audits, </w:t>
      </w:r>
      <w:r w:rsidR="00C938DA" w:rsidRPr="00E558AE">
        <w:rPr>
          <w:rFonts w:ascii="Times New Roman" w:hAnsi="Times New Roman" w:cs="Times New Roman"/>
          <w:iCs/>
          <w:sz w:val="24"/>
          <w:szCs w:val="24"/>
        </w:rPr>
        <w:t>to</w:t>
      </w:r>
      <w:r w:rsidRPr="00E558AE">
        <w:rPr>
          <w:rFonts w:ascii="Times New Roman" w:hAnsi="Times New Roman" w:cs="Times New Roman"/>
          <w:iCs/>
          <w:sz w:val="24"/>
          <w:szCs w:val="24"/>
        </w:rPr>
        <w:t xml:space="preserve"> apply to companies and investors in EU listed countries</w:t>
      </w:r>
      <w:r w:rsidR="002307CE">
        <w:rPr>
          <w:rStyle w:val="FootnoteReference"/>
          <w:rFonts w:ascii="Times New Roman" w:hAnsi="Times New Roman" w:cs="Times New Roman"/>
          <w:iCs/>
          <w:sz w:val="24"/>
          <w:szCs w:val="24"/>
        </w:rPr>
        <w:footnoteReference w:id="18"/>
      </w:r>
      <w:r w:rsidRPr="00E558AE">
        <w:rPr>
          <w:rFonts w:ascii="Times New Roman" w:hAnsi="Times New Roman" w:cs="Times New Roman"/>
          <w:iCs/>
          <w:sz w:val="24"/>
          <w:szCs w:val="24"/>
        </w:rPr>
        <w:t>. This was reinforced in December 2019, when Member States agreed on a toolbox of defensive measures to apply against EU listed countries</w:t>
      </w:r>
      <w:r w:rsidR="002307CE">
        <w:rPr>
          <w:rStyle w:val="FootnoteReference"/>
          <w:rFonts w:ascii="Times New Roman" w:hAnsi="Times New Roman" w:cs="Times New Roman"/>
          <w:iCs/>
          <w:sz w:val="24"/>
          <w:szCs w:val="24"/>
        </w:rPr>
        <w:footnoteReference w:id="19"/>
      </w:r>
      <w:r w:rsidRPr="00E558AE">
        <w:rPr>
          <w:rFonts w:ascii="Times New Roman" w:hAnsi="Times New Roman" w:cs="Times New Roman"/>
          <w:iCs/>
          <w:sz w:val="24"/>
          <w:szCs w:val="24"/>
        </w:rPr>
        <w:t xml:space="preserve">. Member States will start to apply these defensive measures in 2021 and </w:t>
      </w:r>
      <w:r w:rsidR="00C938DA" w:rsidRPr="00E558AE">
        <w:rPr>
          <w:rFonts w:ascii="Times New Roman" w:hAnsi="Times New Roman" w:cs="Times New Roman"/>
          <w:iCs/>
          <w:sz w:val="24"/>
          <w:szCs w:val="24"/>
        </w:rPr>
        <w:t xml:space="preserve">agreed to </w:t>
      </w:r>
      <w:r w:rsidRPr="00E558AE">
        <w:rPr>
          <w:rFonts w:ascii="Times New Roman" w:hAnsi="Times New Roman" w:cs="Times New Roman"/>
          <w:iCs/>
          <w:sz w:val="24"/>
          <w:szCs w:val="24"/>
        </w:rPr>
        <w:t>assess the need for further coordination in 2022.</w:t>
      </w:r>
    </w:p>
    <w:p w:rsidR="00867717" w:rsidRPr="00E558AE" w:rsidRDefault="00867717" w:rsidP="007C2B84">
      <w:pPr>
        <w:spacing w:after="0" w:line="276" w:lineRule="auto"/>
        <w:jc w:val="both"/>
        <w:rPr>
          <w:rFonts w:ascii="Times New Roman" w:hAnsi="Times New Roman" w:cs="Times New Roman"/>
          <w:iCs/>
          <w:sz w:val="24"/>
          <w:szCs w:val="24"/>
        </w:rPr>
      </w:pPr>
    </w:p>
    <w:p w:rsidR="00ED60EA" w:rsidRPr="00E558AE" w:rsidRDefault="00D16630" w:rsidP="007C2B84">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This</w:t>
      </w:r>
      <w:r w:rsidR="3C502593" w:rsidRPr="00E558AE">
        <w:rPr>
          <w:rFonts w:ascii="Times New Roman" w:hAnsi="Times New Roman" w:cs="Times New Roman"/>
          <w:iCs/>
          <w:sz w:val="24"/>
          <w:szCs w:val="24"/>
        </w:rPr>
        <w:t xml:space="preserve"> </w:t>
      </w:r>
      <w:r w:rsidR="00C938DA" w:rsidRPr="00E558AE">
        <w:rPr>
          <w:rFonts w:ascii="Times New Roman" w:hAnsi="Times New Roman" w:cs="Times New Roman"/>
          <w:iCs/>
          <w:sz w:val="24"/>
          <w:szCs w:val="24"/>
        </w:rPr>
        <w:t>coordinated</w:t>
      </w:r>
      <w:r w:rsidR="3C502593" w:rsidRPr="00E558AE">
        <w:rPr>
          <w:rFonts w:ascii="Times New Roman" w:hAnsi="Times New Roman" w:cs="Times New Roman"/>
          <w:iCs/>
          <w:sz w:val="24"/>
          <w:szCs w:val="24"/>
        </w:rPr>
        <w:t xml:space="preserve"> </w:t>
      </w:r>
      <w:r w:rsidR="00867717" w:rsidRPr="00E558AE">
        <w:rPr>
          <w:rFonts w:ascii="Times New Roman" w:hAnsi="Times New Roman" w:cs="Times New Roman"/>
          <w:iCs/>
          <w:sz w:val="24"/>
          <w:szCs w:val="24"/>
        </w:rPr>
        <w:t>approach</w:t>
      </w:r>
      <w:r>
        <w:rPr>
          <w:rFonts w:ascii="Times New Roman" w:hAnsi="Times New Roman" w:cs="Times New Roman"/>
          <w:iCs/>
          <w:sz w:val="24"/>
          <w:szCs w:val="24"/>
        </w:rPr>
        <w:t xml:space="preserve"> goes in the right direction but it lacks ambition</w:t>
      </w:r>
      <w:r w:rsidR="3C502593" w:rsidRPr="00E558AE">
        <w:rPr>
          <w:rFonts w:ascii="Times New Roman" w:hAnsi="Times New Roman" w:cs="Times New Roman"/>
          <w:iCs/>
          <w:sz w:val="24"/>
          <w:szCs w:val="24"/>
        </w:rPr>
        <w:t xml:space="preserve">. </w:t>
      </w:r>
      <w:r w:rsidR="00867717" w:rsidRPr="00E558AE">
        <w:rPr>
          <w:rFonts w:ascii="Times New Roman" w:hAnsi="Times New Roman" w:cs="Times New Roman"/>
          <w:iCs/>
          <w:sz w:val="24"/>
          <w:szCs w:val="24"/>
        </w:rPr>
        <w:t xml:space="preserve">In particular, the fact that Member States can choose which and how many measures to apply from the toolbox could result in a patchwork situation across the Single Market. This may not </w:t>
      </w:r>
      <w:r w:rsidR="3C502593" w:rsidRPr="00E558AE">
        <w:rPr>
          <w:rFonts w:ascii="Times New Roman" w:hAnsi="Times New Roman" w:cs="Times New Roman"/>
          <w:iCs/>
          <w:sz w:val="24"/>
          <w:szCs w:val="24"/>
        </w:rPr>
        <w:t xml:space="preserve">address businesses’ concerns </w:t>
      </w:r>
      <w:r w:rsidR="00867717" w:rsidRPr="00E558AE">
        <w:rPr>
          <w:rFonts w:ascii="Times New Roman" w:hAnsi="Times New Roman" w:cs="Times New Roman"/>
          <w:iCs/>
          <w:sz w:val="24"/>
          <w:szCs w:val="24"/>
        </w:rPr>
        <w:t>with regard to the</w:t>
      </w:r>
      <w:r w:rsidR="00DE01A9" w:rsidRPr="00E558AE">
        <w:rPr>
          <w:rFonts w:ascii="Times New Roman" w:hAnsi="Times New Roman" w:cs="Times New Roman"/>
          <w:iCs/>
          <w:sz w:val="24"/>
          <w:szCs w:val="24"/>
        </w:rPr>
        <w:t xml:space="preserve"> </w:t>
      </w:r>
      <w:r w:rsidR="3C502593" w:rsidRPr="00E558AE">
        <w:rPr>
          <w:rFonts w:ascii="Times New Roman" w:hAnsi="Times New Roman" w:cs="Times New Roman"/>
          <w:iCs/>
          <w:sz w:val="24"/>
          <w:szCs w:val="24"/>
        </w:rPr>
        <w:t xml:space="preserve">legal uncertainty and administrative burdens. </w:t>
      </w:r>
      <w:r w:rsidR="00867717" w:rsidRPr="00E558AE">
        <w:rPr>
          <w:rFonts w:ascii="Times New Roman" w:hAnsi="Times New Roman" w:cs="Times New Roman"/>
          <w:iCs/>
          <w:sz w:val="24"/>
          <w:szCs w:val="24"/>
        </w:rPr>
        <w:t xml:space="preserve">It may also enable </w:t>
      </w:r>
      <w:r w:rsidR="006B31BF" w:rsidRPr="00E558AE">
        <w:rPr>
          <w:rFonts w:ascii="Times New Roman" w:hAnsi="Times New Roman" w:cs="Times New Roman"/>
          <w:iCs/>
          <w:sz w:val="24"/>
          <w:szCs w:val="24"/>
        </w:rPr>
        <w:t xml:space="preserve">certain </w:t>
      </w:r>
      <w:r w:rsidR="3C502593" w:rsidRPr="00E558AE">
        <w:rPr>
          <w:rFonts w:ascii="Times New Roman" w:hAnsi="Times New Roman" w:cs="Times New Roman"/>
          <w:iCs/>
          <w:sz w:val="24"/>
          <w:szCs w:val="24"/>
        </w:rPr>
        <w:t xml:space="preserve">taxpayers </w:t>
      </w:r>
      <w:r w:rsidR="00867717" w:rsidRPr="00E558AE">
        <w:rPr>
          <w:rFonts w:ascii="Times New Roman" w:hAnsi="Times New Roman" w:cs="Times New Roman"/>
          <w:iCs/>
          <w:sz w:val="24"/>
          <w:szCs w:val="24"/>
        </w:rPr>
        <w:t>to</w:t>
      </w:r>
      <w:r w:rsidR="3C502593" w:rsidRPr="00E558AE">
        <w:rPr>
          <w:rFonts w:ascii="Times New Roman" w:hAnsi="Times New Roman" w:cs="Times New Roman"/>
          <w:iCs/>
          <w:sz w:val="24"/>
          <w:szCs w:val="24"/>
        </w:rPr>
        <w:t xml:space="preserve"> e</w:t>
      </w:r>
      <w:r w:rsidR="006B31BF" w:rsidRPr="00E558AE">
        <w:rPr>
          <w:rFonts w:ascii="Times New Roman" w:hAnsi="Times New Roman" w:cs="Times New Roman"/>
          <w:iCs/>
          <w:sz w:val="24"/>
          <w:szCs w:val="24"/>
        </w:rPr>
        <w:t xml:space="preserve">xploit mismatches between </w:t>
      </w:r>
      <w:r w:rsidR="00867717" w:rsidRPr="00E558AE">
        <w:rPr>
          <w:rFonts w:ascii="Times New Roman" w:hAnsi="Times New Roman" w:cs="Times New Roman"/>
          <w:iCs/>
          <w:sz w:val="24"/>
          <w:szCs w:val="24"/>
        </w:rPr>
        <w:t xml:space="preserve">Member States’ measures, to </w:t>
      </w:r>
      <w:r w:rsidR="00F2350D" w:rsidRPr="00E558AE">
        <w:rPr>
          <w:rFonts w:ascii="Times New Roman" w:hAnsi="Times New Roman" w:cs="Times New Roman"/>
          <w:iCs/>
          <w:sz w:val="24"/>
          <w:szCs w:val="24"/>
        </w:rPr>
        <w:t xml:space="preserve">continue to </w:t>
      </w:r>
      <w:r w:rsidR="00867717" w:rsidRPr="00E558AE">
        <w:rPr>
          <w:rFonts w:ascii="Times New Roman" w:hAnsi="Times New Roman" w:cs="Times New Roman"/>
          <w:iCs/>
          <w:sz w:val="24"/>
          <w:szCs w:val="24"/>
        </w:rPr>
        <w:t>shift</w:t>
      </w:r>
      <w:r w:rsidR="006B31BF" w:rsidRPr="00E558AE">
        <w:rPr>
          <w:rFonts w:ascii="Times New Roman" w:hAnsi="Times New Roman" w:cs="Times New Roman"/>
          <w:iCs/>
          <w:sz w:val="24"/>
          <w:szCs w:val="24"/>
        </w:rPr>
        <w:t xml:space="preserve"> untaxed</w:t>
      </w:r>
      <w:r w:rsidR="3C502593" w:rsidRPr="00E558AE">
        <w:rPr>
          <w:rFonts w:ascii="Times New Roman" w:hAnsi="Times New Roman" w:cs="Times New Roman"/>
          <w:iCs/>
          <w:sz w:val="24"/>
          <w:szCs w:val="24"/>
        </w:rPr>
        <w:t xml:space="preserve"> profits out of the Single Market. </w:t>
      </w:r>
    </w:p>
    <w:p w:rsidR="00ED60EA" w:rsidRPr="00E558AE" w:rsidRDefault="00ED60EA" w:rsidP="007C2B84">
      <w:pPr>
        <w:spacing w:after="0" w:line="276" w:lineRule="auto"/>
        <w:jc w:val="both"/>
        <w:rPr>
          <w:rFonts w:ascii="Times New Roman" w:hAnsi="Times New Roman" w:cs="Times New Roman"/>
          <w:sz w:val="24"/>
          <w:szCs w:val="24"/>
        </w:rPr>
      </w:pPr>
    </w:p>
    <w:p w:rsidR="00ED60EA" w:rsidRPr="00E558AE" w:rsidRDefault="00867717" w:rsidP="007C2B84">
      <w:pPr>
        <w:spacing w:after="0" w:line="276" w:lineRule="auto"/>
        <w:jc w:val="both"/>
        <w:rPr>
          <w:rFonts w:ascii="Times New Roman" w:hAnsi="Times New Roman" w:cs="Times New Roman"/>
          <w:iCs/>
          <w:sz w:val="24"/>
          <w:szCs w:val="24"/>
        </w:rPr>
      </w:pPr>
      <w:r w:rsidRPr="00E558AE">
        <w:rPr>
          <w:rFonts w:ascii="Times New Roman" w:hAnsi="Times New Roman" w:cs="Times New Roman"/>
          <w:sz w:val="24"/>
          <w:szCs w:val="24"/>
        </w:rPr>
        <w:t>The Commission will monitor the situation carefully</w:t>
      </w:r>
      <w:r w:rsidR="00A8716C">
        <w:rPr>
          <w:rFonts w:ascii="Times New Roman" w:hAnsi="Times New Roman" w:cs="Times New Roman"/>
          <w:sz w:val="24"/>
          <w:szCs w:val="24"/>
        </w:rPr>
        <w:t>,</w:t>
      </w:r>
      <w:r w:rsidRPr="00E558AE">
        <w:rPr>
          <w:rFonts w:ascii="Times New Roman" w:hAnsi="Times New Roman" w:cs="Times New Roman"/>
          <w:sz w:val="24"/>
          <w:szCs w:val="24"/>
        </w:rPr>
        <w:t xml:space="preserve"> as Member States start to apply the agreed defensive measures</w:t>
      </w:r>
      <w:r w:rsidR="00A8716C">
        <w:rPr>
          <w:rFonts w:ascii="Times New Roman" w:hAnsi="Times New Roman" w:cs="Times New Roman"/>
          <w:sz w:val="24"/>
          <w:szCs w:val="24"/>
        </w:rPr>
        <w:t>,</w:t>
      </w:r>
      <w:r w:rsidRPr="00E558AE">
        <w:rPr>
          <w:rFonts w:ascii="Times New Roman" w:hAnsi="Times New Roman" w:cs="Times New Roman"/>
          <w:sz w:val="24"/>
          <w:szCs w:val="24"/>
        </w:rPr>
        <w:t xml:space="preserve"> and </w:t>
      </w:r>
      <w:r w:rsidR="005F15BE">
        <w:rPr>
          <w:rFonts w:ascii="Times New Roman" w:hAnsi="Times New Roman" w:cs="Times New Roman"/>
          <w:sz w:val="24"/>
          <w:szCs w:val="24"/>
        </w:rPr>
        <w:t>conduct an evaluation of those measures</w:t>
      </w:r>
      <w:r w:rsidRPr="00E558AE">
        <w:rPr>
          <w:rFonts w:ascii="Times New Roman" w:hAnsi="Times New Roman" w:cs="Times New Roman"/>
          <w:sz w:val="24"/>
          <w:szCs w:val="24"/>
        </w:rPr>
        <w:t>. If the toolbox approach is not effective enough,</w:t>
      </w:r>
      <w:r w:rsidR="009B6733">
        <w:rPr>
          <w:rFonts w:ascii="Times New Roman" w:hAnsi="Times New Roman" w:cs="Times New Roman"/>
          <w:sz w:val="24"/>
          <w:szCs w:val="24"/>
        </w:rPr>
        <w:t xml:space="preserve"> on the basis of the abovementioned assessment in 2022,</w:t>
      </w:r>
      <w:r w:rsidRPr="00E558AE">
        <w:rPr>
          <w:rFonts w:ascii="Times New Roman" w:hAnsi="Times New Roman" w:cs="Times New Roman"/>
          <w:sz w:val="24"/>
          <w:szCs w:val="24"/>
        </w:rPr>
        <w:t xml:space="preserve"> it will</w:t>
      </w:r>
      <w:r w:rsidR="3C502593" w:rsidRPr="00E558AE">
        <w:rPr>
          <w:rFonts w:ascii="Times New Roman" w:hAnsi="Times New Roman" w:cs="Times New Roman"/>
          <w:iCs/>
          <w:sz w:val="24"/>
          <w:szCs w:val="24"/>
        </w:rPr>
        <w:t xml:space="preserve"> consider </w:t>
      </w:r>
      <w:r w:rsidRPr="00E558AE">
        <w:rPr>
          <w:rFonts w:ascii="Times New Roman" w:hAnsi="Times New Roman" w:cs="Times New Roman"/>
          <w:iCs/>
          <w:sz w:val="24"/>
          <w:szCs w:val="24"/>
        </w:rPr>
        <w:t>a legislative proposal for</w:t>
      </w:r>
      <w:r w:rsidR="3C502593" w:rsidRPr="00E558AE">
        <w:rPr>
          <w:rFonts w:ascii="Times New Roman" w:hAnsi="Times New Roman" w:cs="Times New Roman"/>
          <w:iCs/>
          <w:sz w:val="24"/>
          <w:szCs w:val="24"/>
        </w:rPr>
        <w:t xml:space="preserve"> coordinated defensive measures. This</w:t>
      </w:r>
      <w:r w:rsidRPr="00E558AE">
        <w:rPr>
          <w:rFonts w:ascii="Times New Roman" w:hAnsi="Times New Roman" w:cs="Times New Roman"/>
          <w:iCs/>
          <w:sz w:val="24"/>
          <w:szCs w:val="24"/>
        </w:rPr>
        <w:t xml:space="preserve"> would allow the EU to give </w:t>
      </w:r>
      <w:r w:rsidR="3C502593" w:rsidRPr="00E558AE">
        <w:rPr>
          <w:rFonts w:ascii="Times New Roman" w:hAnsi="Times New Roman" w:cs="Times New Roman"/>
          <w:iCs/>
          <w:sz w:val="24"/>
          <w:szCs w:val="24"/>
        </w:rPr>
        <w:t xml:space="preserve">real "teeth" </w:t>
      </w:r>
      <w:r w:rsidRPr="00E558AE">
        <w:rPr>
          <w:rFonts w:ascii="Times New Roman" w:hAnsi="Times New Roman" w:cs="Times New Roman"/>
          <w:iCs/>
          <w:sz w:val="24"/>
          <w:szCs w:val="24"/>
        </w:rPr>
        <w:t>to the EU list and would ensure a truly coordinated policy towards EU listed countries</w:t>
      </w:r>
      <w:r w:rsidR="006B31BF" w:rsidRPr="00E558AE">
        <w:rPr>
          <w:rFonts w:ascii="Times New Roman" w:hAnsi="Times New Roman" w:cs="Times New Roman"/>
          <w:iCs/>
          <w:sz w:val="24"/>
          <w:szCs w:val="24"/>
        </w:rPr>
        <w:t xml:space="preserve">. </w:t>
      </w:r>
    </w:p>
    <w:p w:rsidR="00867717" w:rsidRPr="00E558AE" w:rsidRDefault="00867717" w:rsidP="007C2B84">
      <w:pPr>
        <w:spacing w:after="0" w:line="276" w:lineRule="auto"/>
        <w:jc w:val="both"/>
        <w:rPr>
          <w:rFonts w:ascii="Times New Roman" w:hAnsi="Times New Roman" w:cs="Times New Roman"/>
          <w:sz w:val="24"/>
          <w:szCs w:val="24"/>
        </w:rPr>
      </w:pPr>
    </w:p>
    <w:p w:rsidR="00867717" w:rsidRPr="00E558AE" w:rsidRDefault="00867717" w:rsidP="007C2B84">
      <w:pPr>
        <w:spacing w:after="0" w:line="276" w:lineRule="auto"/>
        <w:jc w:val="both"/>
        <w:rPr>
          <w:rFonts w:ascii="Times New Roman" w:hAnsi="Times New Roman" w:cs="Times New Roman"/>
          <w:sz w:val="24"/>
          <w:szCs w:val="24"/>
        </w:rPr>
      </w:pPr>
    </w:p>
    <w:p w:rsidR="00E80FDC" w:rsidRPr="00E558AE" w:rsidRDefault="00746D68" w:rsidP="00700971">
      <w:pPr>
        <w:pStyle w:val="Heading2"/>
      </w:pPr>
      <w:r>
        <w:t>5</w:t>
      </w:r>
      <w:r w:rsidR="00867717" w:rsidRPr="00E558AE">
        <w:t xml:space="preserve">. </w:t>
      </w:r>
      <w:r w:rsidR="001C00DE">
        <w:t>SUPPORTING</w:t>
      </w:r>
      <w:r w:rsidR="3C502593" w:rsidRPr="00E558AE">
        <w:t xml:space="preserve"> PARTNER</w:t>
      </w:r>
      <w:r w:rsidR="001C00DE">
        <w:t xml:space="preserve"> COUNTRIE</w:t>
      </w:r>
      <w:r w:rsidR="3C502593" w:rsidRPr="00E558AE">
        <w:t xml:space="preserve">S </w:t>
      </w:r>
      <w:r w:rsidR="00867717" w:rsidRPr="00E558AE">
        <w:t>IN</w:t>
      </w:r>
      <w:r w:rsidR="3C502593" w:rsidRPr="00E558AE">
        <w:t xml:space="preserve"> TAX GOOD GOVERNANCE</w:t>
      </w:r>
    </w:p>
    <w:p w:rsidR="00C938DA" w:rsidRPr="00E558AE" w:rsidRDefault="00BB187D" w:rsidP="007C2B84">
      <w:pPr>
        <w:spacing w:line="276" w:lineRule="auto"/>
        <w:jc w:val="both"/>
        <w:rPr>
          <w:rFonts w:ascii="Times New Roman" w:hAnsi="Times New Roman" w:cs="Times New Roman"/>
          <w:sz w:val="24"/>
          <w:szCs w:val="24"/>
        </w:rPr>
      </w:pPr>
      <w:r w:rsidRPr="00E558AE">
        <w:rPr>
          <w:rFonts w:ascii="Times New Roman" w:hAnsi="Times New Roman" w:cs="Times New Roman"/>
          <w:bCs/>
          <w:iCs/>
          <w:sz w:val="24"/>
          <w:szCs w:val="24"/>
        </w:rPr>
        <w:t>The EU’s tax good governance agenda extends beyond taxation policy concerns</w:t>
      </w:r>
      <w:r w:rsidRPr="00E558AE">
        <w:rPr>
          <w:rFonts w:ascii="Times New Roman" w:hAnsi="Times New Roman" w:cs="Times New Roman"/>
          <w:sz w:val="24"/>
          <w:szCs w:val="24"/>
        </w:rPr>
        <w:t xml:space="preserve">. </w:t>
      </w:r>
      <w:r w:rsidR="007C2B84" w:rsidRPr="00E558AE">
        <w:rPr>
          <w:rFonts w:ascii="Times New Roman" w:hAnsi="Times New Roman" w:cs="Times New Roman"/>
          <w:sz w:val="24"/>
          <w:szCs w:val="24"/>
        </w:rPr>
        <w:t>As the world’s largest donor of development aid</w:t>
      </w:r>
      <w:r w:rsidR="00A50A45">
        <w:rPr>
          <w:rFonts w:ascii="Times New Roman" w:hAnsi="Times New Roman" w:cs="Times New Roman"/>
          <w:sz w:val="24"/>
          <w:szCs w:val="24"/>
        </w:rPr>
        <w:t xml:space="preserve"> and supporter of global governance</w:t>
      </w:r>
      <w:r w:rsidR="007C2B84" w:rsidRPr="00E558AE">
        <w:rPr>
          <w:rFonts w:ascii="Times New Roman" w:hAnsi="Times New Roman" w:cs="Times New Roman"/>
          <w:sz w:val="24"/>
          <w:szCs w:val="24"/>
        </w:rPr>
        <w:t>, the EU is conscious of the importance of good governance for</w:t>
      </w:r>
      <w:r w:rsidRPr="00E558AE">
        <w:rPr>
          <w:rFonts w:ascii="Times New Roman" w:hAnsi="Times New Roman" w:cs="Times New Roman"/>
          <w:sz w:val="24"/>
          <w:szCs w:val="24"/>
        </w:rPr>
        <w:t xml:space="preserve"> </w:t>
      </w:r>
      <w:r w:rsidR="007C2B84" w:rsidRPr="00E558AE">
        <w:rPr>
          <w:rFonts w:ascii="Times New Roman" w:hAnsi="Times New Roman" w:cs="Times New Roman"/>
          <w:sz w:val="24"/>
          <w:szCs w:val="24"/>
        </w:rPr>
        <w:t xml:space="preserve">developing </w:t>
      </w:r>
      <w:r w:rsidRPr="00E558AE">
        <w:rPr>
          <w:rFonts w:ascii="Times New Roman" w:hAnsi="Times New Roman" w:cs="Times New Roman"/>
          <w:sz w:val="24"/>
          <w:szCs w:val="24"/>
        </w:rPr>
        <w:t>partner</w:t>
      </w:r>
      <w:r w:rsidR="007C2B84" w:rsidRPr="00E558AE">
        <w:rPr>
          <w:rFonts w:ascii="Times New Roman" w:hAnsi="Times New Roman" w:cs="Times New Roman"/>
          <w:sz w:val="24"/>
          <w:szCs w:val="24"/>
        </w:rPr>
        <w:t>s</w:t>
      </w:r>
      <w:r w:rsidR="00AD2767">
        <w:rPr>
          <w:rFonts w:ascii="Times New Roman" w:hAnsi="Times New Roman" w:cs="Times New Roman"/>
          <w:sz w:val="24"/>
          <w:szCs w:val="24"/>
        </w:rPr>
        <w:t>.</w:t>
      </w:r>
    </w:p>
    <w:p w:rsidR="00EF12BB" w:rsidRPr="00E558AE" w:rsidRDefault="00C938DA" w:rsidP="007C2B84">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 xml:space="preserve">Raising sufficient revenues remains a challenge for many developing countries. Over a third of African countries have a tax to GDP </w:t>
      </w:r>
      <w:r w:rsidR="00472339" w:rsidRPr="00E558AE">
        <w:rPr>
          <w:rFonts w:ascii="Times New Roman" w:hAnsi="Times New Roman" w:cs="Times New Roman"/>
          <w:sz w:val="24"/>
          <w:szCs w:val="24"/>
        </w:rPr>
        <w:t>ratio</w:t>
      </w:r>
      <w:r w:rsidRPr="00E558AE">
        <w:rPr>
          <w:rFonts w:ascii="Times New Roman" w:hAnsi="Times New Roman" w:cs="Times New Roman"/>
          <w:sz w:val="24"/>
          <w:szCs w:val="24"/>
        </w:rPr>
        <w:t xml:space="preserve"> of under 15%</w:t>
      </w:r>
      <w:r w:rsidRPr="00E558AE">
        <w:rPr>
          <w:rStyle w:val="FootnoteReference"/>
          <w:rFonts w:ascii="Times New Roman" w:hAnsi="Times New Roman" w:cs="Times New Roman"/>
          <w:sz w:val="24"/>
          <w:szCs w:val="24"/>
        </w:rPr>
        <w:footnoteReference w:id="20"/>
      </w:r>
      <w:r w:rsidRPr="00E558AE">
        <w:rPr>
          <w:rFonts w:ascii="Times New Roman" w:hAnsi="Times New Roman" w:cs="Times New Roman"/>
          <w:sz w:val="24"/>
          <w:szCs w:val="24"/>
        </w:rPr>
        <w:t xml:space="preserve">, which is considered the minimum to allow for the provision of basic social services. </w:t>
      </w:r>
      <w:r w:rsidR="007C2B84" w:rsidRPr="00E558AE">
        <w:rPr>
          <w:rFonts w:ascii="Times New Roman" w:hAnsi="Times New Roman" w:cs="Times New Roman"/>
          <w:sz w:val="24"/>
          <w:szCs w:val="24"/>
        </w:rPr>
        <w:t>Developing countries depend almost twice as much on corporate income tax for revenues</w:t>
      </w:r>
      <w:r w:rsidR="00366918" w:rsidRPr="00E558AE">
        <w:rPr>
          <w:rFonts w:ascii="Times New Roman" w:hAnsi="Times New Roman" w:cs="Times New Roman"/>
          <w:sz w:val="24"/>
          <w:szCs w:val="24"/>
        </w:rPr>
        <w:t xml:space="preserve"> as developed countries</w:t>
      </w:r>
      <w:r w:rsidR="007C2B84" w:rsidRPr="00E558AE">
        <w:rPr>
          <w:rFonts w:ascii="Times New Roman" w:hAnsi="Times New Roman" w:cs="Times New Roman"/>
          <w:sz w:val="24"/>
          <w:szCs w:val="24"/>
        </w:rPr>
        <w:t xml:space="preserve"> do</w:t>
      </w:r>
      <w:r w:rsidR="00BB187D" w:rsidRPr="00E558AE">
        <w:rPr>
          <w:rStyle w:val="FootnoteReference"/>
          <w:rFonts w:ascii="Times New Roman" w:hAnsi="Times New Roman" w:cs="Times New Roman"/>
          <w:sz w:val="24"/>
          <w:szCs w:val="24"/>
        </w:rPr>
        <w:footnoteReference w:id="21"/>
      </w:r>
      <w:r w:rsidR="007C2B84" w:rsidRPr="00E558AE">
        <w:rPr>
          <w:rFonts w:ascii="Times New Roman" w:hAnsi="Times New Roman" w:cs="Times New Roman"/>
          <w:sz w:val="24"/>
          <w:szCs w:val="24"/>
        </w:rPr>
        <w:t>.</w:t>
      </w:r>
      <w:r w:rsidR="00366918" w:rsidRPr="00E558AE">
        <w:rPr>
          <w:rFonts w:ascii="Times New Roman" w:hAnsi="Times New Roman" w:cs="Times New Roman"/>
          <w:sz w:val="24"/>
          <w:szCs w:val="24"/>
        </w:rPr>
        <w:t xml:space="preserve"> </w:t>
      </w:r>
      <w:r w:rsidR="007C2B84" w:rsidRPr="00E558AE">
        <w:rPr>
          <w:rFonts w:ascii="Times New Roman" w:hAnsi="Times New Roman" w:cs="Times New Roman"/>
          <w:sz w:val="24"/>
          <w:szCs w:val="24"/>
        </w:rPr>
        <w:t>As such,</w:t>
      </w:r>
      <w:r w:rsidR="00366918" w:rsidRPr="00E558AE">
        <w:rPr>
          <w:rFonts w:ascii="Times New Roman" w:hAnsi="Times New Roman" w:cs="Times New Roman"/>
          <w:sz w:val="24"/>
          <w:szCs w:val="24"/>
        </w:rPr>
        <w:t xml:space="preserve"> they are much harder hit </w:t>
      </w:r>
      <w:r w:rsidR="007C2B84" w:rsidRPr="00E558AE">
        <w:rPr>
          <w:rFonts w:ascii="Times New Roman" w:hAnsi="Times New Roman" w:cs="Times New Roman"/>
          <w:sz w:val="24"/>
          <w:szCs w:val="24"/>
        </w:rPr>
        <w:t xml:space="preserve">by the problems of tax fraud, tax evasion and tax avoidance. </w:t>
      </w:r>
      <w:r w:rsidR="0057239C" w:rsidRPr="00E558AE">
        <w:rPr>
          <w:rFonts w:ascii="Times New Roman" w:hAnsi="Times New Roman" w:cs="Times New Roman"/>
          <w:sz w:val="24"/>
          <w:szCs w:val="24"/>
        </w:rPr>
        <w:t xml:space="preserve">Likewise, they are </w:t>
      </w:r>
      <w:r w:rsidR="000A67EC" w:rsidRPr="00E558AE">
        <w:rPr>
          <w:rFonts w:ascii="Times New Roman" w:hAnsi="Times New Roman" w:cs="Times New Roman"/>
          <w:sz w:val="24"/>
          <w:szCs w:val="24"/>
        </w:rPr>
        <w:t xml:space="preserve">likely to benefit from EU and international efforts to raise global standards and curb aggressive tax planning worldwide. </w:t>
      </w:r>
      <w:r w:rsidR="00BB187D" w:rsidRPr="00E558AE">
        <w:rPr>
          <w:rFonts w:ascii="Times New Roman" w:hAnsi="Times New Roman" w:cs="Times New Roman"/>
          <w:sz w:val="24"/>
          <w:szCs w:val="24"/>
        </w:rPr>
        <w:t xml:space="preserve"> </w:t>
      </w:r>
    </w:p>
    <w:p w:rsidR="0057239C" w:rsidRPr="00E558AE" w:rsidRDefault="007C2B84" w:rsidP="001C00DE">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 xml:space="preserve">The 2016 External Strategy underlined the need for greater coherence between EU tax policy and its international development objectives. </w:t>
      </w:r>
      <w:r w:rsidR="00BB187D" w:rsidRPr="00E558AE">
        <w:rPr>
          <w:rFonts w:ascii="Times New Roman" w:hAnsi="Times New Roman" w:cs="Times New Roman"/>
          <w:sz w:val="24"/>
          <w:szCs w:val="24"/>
        </w:rPr>
        <w:t>Th</w:t>
      </w:r>
      <w:r w:rsidR="00B27E01" w:rsidRPr="00E558AE">
        <w:rPr>
          <w:rFonts w:ascii="Times New Roman" w:hAnsi="Times New Roman" w:cs="Times New Roman"/>
          <w:sz w:val="24"/>
          <w:szCs w:val="24"/>
        </w:rPr>
        <w:t>e Commission, th</w:t>
      </w:r>
      <w:r w:rsidR="00BB187D" w:rsidRPr="00E558AE">
        <w:rPr>
          <w:rFonts w:ascii="Times New Roman" w:hAnsi="Times New Roman" w:cs="Times New Roman"/>
          <w:sz w:val="24"/>
          <w:szCs w:val="24"/>
        </w:rPr>
        <w:t>rough its “Collect More – Spend Better” initiative</w:t>
      </w:r>
      <w:r w:rsidR="009B6733">
        <w:rPr>
          <w:rStyle w:val="FootnoteReference"/>
          <w:rFonts w:ascii="Times New Roman" w:hAnsi="Times New Roman" w:cs="Times New Roman"/>
          <w:sz w:val="24"/>
          <w:szCs w:val="24"/>
        </w:rPr>
        <w:footnoteReference w:id="22"/>
      </w:r>
      <w:r w:rsidR="00BB187D" w:rsidRPr="00E558AE">
        <w:rPr>
          <w:rFonts w:ascii="Times New Roman" w:hAnsi="Times New Roman" w:cs="Times New Roman"/>
          <w:sz w:val="24"/>
          <w:szCs w:val="24"/>
        </w:rPr>
        <w:t xml:space="preserve">, set out </w:t>
      </w:r>
      <w:r w:rsidR="00B27E01" w:rsidRPr="00E558AE">
        <w:rPr>
          <w:rFonts w:ascii="Times New Roman" w:hAnsi="Times New Roman" w:cs="Times New Roman"/>
          <w:sz w:val="24"/>
          <w:szCs w:val="24"/>
        </w:rPr>
        <w:t>clear</w:t>
      </w:r>
      <w:r w:rsidR="000A67EC" w:rsidRPr="00E558AE">
        <w:rPr>
          <w:rFonts w:ascii="Times New Roman" w:hAnsi="Times New Roman" w:cs="Times New Roman"/>
          <w:sz w:val="24"/>
          <w:szCs w:val="24"/>
        </w:rPr>
        <w:t xml:space="preserve"> </w:t>
      </w:r>
      <w:r w:rsidR="00BB187D" w:rsidRPr="00E558AE">
        <w:rPr>
          <w:rFonts w:ascii="Times New Roman" w:hAnsi="Times New Roman" w:cs="Times New Roman"/>
          <w:sz w:val="24"/>
          <w:szCs w:val="24"/>
        </w:rPr>
        <w:t xml:space="preserve">measures to help partner countries </w:t>
      </w:r>
      <w:r w:rsidR="000A67EC" w:rsidRPr="00E558AE">
        <w:rPr>
          <w:rFonts w:ascii="Times New Roman" w:hAnsi="Times New Roman" w:cs="Times New Roman"/>
          <w:sz w:val="24"/>
          <w:szCs w:val="24"/>
        </w:rPr>
        <w:t>to</w:t>
      </w:r>
      <w:r w:rsidRPr="00E558AE">
        <w:rPr>
          <w:rFonts w:ascii="Times New Roman" w:hAnsi="Times New Roman" w:cs="Times New Roman"/>
          <w:sz w:val="24"/>
          <w:szCs w:val="24"/>
        </w:rPr>
        <w:t xml:space="preserve"> improv</w:t>
      </w:r>
      <w:r w:rsidR="000A67EC" w:rsidRPr="00E558AE">
        <w:rPr>
          <w:rFonts w:ascii="Times New Roman" w:hAnsi="Times New Roman" w:cs="Times New Roman"/>
          <w:sz w:val="24"/>
          <w:szCs w:val="24"/>
        </w:rPr>
        <w:t>e</w:t>
      </w:r>
      <w:r w:rsidRPr="00E558AE">
        <w:rPr>
          <w:rFonts w:ascii="Times New Roman" w:hAnsi="Times New Roman" w:cs="Times New Roman"/>
          <w:sz w:val="24"/>
          <w:szCs w:val="24"/>
        </w:rPr>
        <w:t xml:space="preserve"> </w:t>
      </w:r>
      <w:r w:rsidR="00E82FB1">
        <w:rPr>
          <w:rFonts w:ascii="Times New Roman" w:hAnsi="Times New Roman" w:cs="Times New Roman"/>
          <w:sz w:val="24"/>
          <w:szCs w:val="24"/>
        </w:rPr>
        <w:t>and</w:t>
      </w:r>
      <w:r w:rsidRPr="00E558AE">
        <w:rPr>
          <w:rFonts w:ascii="Times New Roman" w:hAnsi="Times New Roman" w:cs="Times New Roman"/>
          <w:sz w:val="24"/>
          <w:szCs w:val="24"/>
        </w:rPr>
        <w:t xml:space="preserve"> protect their tax bases</w:t>
      </w:r>
      <w:r w:rsidR="00EF12BB" w:rsidRPr="00E558AE">
        <w:rPr>
          <w:rFonts w:ascii="Times New Roman" w:hAnsi="Times New Roman" w:cs="Times New Roman"/>
          <w:sz w:val="24"/>
          <w:szCs w:val="24"/>
        </w:rPr>
        <w:t>,</w:t>
      </w:r>
      <w:r w:rsidRPr="00E558AE">
        <w:rPr>
          <w:rFonts w:ascii="Times New Roman" w:hAnsi="Times New Roman" w:cs="Times New Roman"/>
          <w:sz w:val="24"/>
          <w:szCs w:val="24"/>
        </w:rPr>
        <w:t xml:space="preserve"> raise sustainable revenues</w:t>
      </w:r>
      <w:r w:rsidR="00EF12BB" w:rsidRPr="00E558AE">
        <w:rPr>
          <w:rFonts w:ascii="Times New Roman" w:hAnsi="Times New Roman" w:cs="Times New Roman"/>
          <w:sz w:val="24"/>
          <w:szCs w:val="24"/>
        </w:rPr>
        <w:t xml:space="preserve"> and improve the efficiency of government spending</w:t>
      </w:r>
      <w:r w:rsidRPr="00E558AE">
        <w:rPr>
          <w:rFonts w:ascii="Times New Roman" w:hAnsi="Times New Roman" w:cs="Times New Roman"/>
          <w:sz w:val="24"/>
          <w:szCs w:val="24"/>
        </w:rPr>
        <w:t xml:space="preserve">. </w:t>
      </w:r>
      <w:r w:rsidR="001C00DE" w:rsidRPr="00E558AE">
        <w:rPr>
          <w:rFonts w:ascii="Times New Roman" w:hAnsi="Times New Roman" w:cs="Times New Roman"/>
          <w:sz w:val="24"/>
          <w:szCs w:val="24"/>
        </w:rPr>
        <w:t xml:space="preserve">Since then, the EU has been </w:t>
      </w:r>
      <w:r w:rsidR="001C00DE">
        <w:rPr>
          <w:rFonts w:ascii="Times New Roman" w:hAnsi="Times New Roman" w:cs="Times New Roman"/>
          <w:sz w:val="24"/>
          <w:szCs w:val="24"/>
        </w:rPr>
        <w:t xml:space="preserve">supporting partner countries to improve their domestic resource mobilisation and to implement fair, transparent and effective tax systems. This is in keeping with the EU’s </w:t>
      </w:r>
      <w:r w:rsidR="001C00DE" w:rsidRPr="00E558AE">
        <w:rPr>
          <w:rFonts w:ascii="Times New Roman" w:hAnsi="Times New Roman" w:cs="Times New Roman"/>
          <w:sz w:val="24"/>
          <w:szCs w:val="24"/>
        </w:rPr>
        <w:t>commitments under the Addis Tax Initiative</w:t>
      </w:r>
      <w:r w:rsidR="001C00DE" w:rsidRPr="00E558AE">
        <w:rPr>
          <w:rStyle w:val="FootnoteReference"/>
          <w:rFonts w:ascii="Times New Roman" w:hAnsi="Times New Roman" w:cs="Times New Roman"/>
          <w:sz w:val="24"/>
          <w:szCs w:val="24"/>
        </w:rPr>
        <w:footnoteReference w:id="23"/>
      </w:r>
      <w:r w:rsidR="001C00DE" w:rsidRPr="00E558AE">
        <w:rPr>
          <w:rFonts w:ascii="Times New Roman" w:hAnsi="Times New Roman" w:cs="Times New Roman"/>
          <w:sz w:val="24"/>
          <w:szCs w:val="24"/>
        </w:rPr>
        <w:t>, where it pledged to increase both technical and financial support for domestic revenue mobilization in developing countries.</w:t>
      </w:r>
    </w:p>
    <w:p w:rsidR="0057239C" w:rsidRDefault="0057239C" w:rsidP="0057239C">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In line with its commitment</w:t>
      </w:r>
      <w:r w:rsidR="00BB187D" w:rsidRPr="00E558AE">
        <w:rPr>
          <w:rFonts w:ascii="Times New Roman" w:hAnsi="Times New Roman" w:cs="Times New Roman"/>
          <w:sz w:val="24"/>
          <w:szCs w:val="24"/>
        </w:rPr>
        <w:t>s</w:t>
      </w:r>
      <w:r w:rsidRPr="00E558AE">
        <w:rPr>
          <w:rFonts w:ascii="Times New Roman" w:hAnsi="Times New Roman" w:cs="Times New Roman"/>
          <w:sz w:val="24"/>
          <w:szCs w:val="24"/>
        </w:rPr>
        <w:t xml:space="preserve">, the EU is on track to double </w:t>
      </w:r>
      <w:r w:rsidR="00BB187D" w:rsidRPr="00E558AE">
        <w:rPr>
          <w:rFonts w:ascii="Times New Roman" w:hAnsi="Times New Roman" w:cs="Times New Roman"/>
          <w:sz w:val="24"/>
          <w:szCs w:val="24"/>
        </w:rPr>
        <w:t xml:space="preserve">the </w:t>
      </w:r>
      <w:r w:rsidR="00B27E01" w:rsidRPr="00E558AE">
        <w:rPr>
          <w:rFonts w:ascii="Times New Roman" w:hAnsi="Times New Roman" w:cs="Times New Roman"/>
          <w:sz w:val="24"/>
          <w:szCs w:val="24"/>
        </w:rPr>
        <w:t>support for</w:t>
      </w:r>
      <w:r w:rsidRPr="00E558AE">
        <w:rPr>
          <w:rFonts w:ascii="Times New Roman" w:hAnsi="Times New Roman" w:cs="Times New Roman"/>
          <w:sz w:val="24"/>
          <w:szCs w:val="24"/>
        </w:rPr>
        <w:t xml:space="preserve"> </w:t>
      </w:r>
      <w:r w:rsidR="002A1EE6">
        <w:rPr>
          <w:rFonts w:ascii="Times New Roman" w:hAnsi="Times New Roman" w:cs="Times New Roman"/>
          <w:sz w:val="24"/>
          <w:szCs w:val="24"/>
        </w:rPr>
        <w:t>developing countries in the area of</w:t>
      </w:r>
      <w:r w:rsidRPr="00E558AE">
        <w:rPr>
          <w:rFonts w:ascii="Times New Roman" w:hAnsi="Times New Roman" w:cs="Times New Roman"/>
          <w:sz w:val="24"/>
          <w:szCs w:val="24"/>
        </w:rPr>
        <w:t xml:space="preserve"> domestic resource mobilisation. Since </w:t>
      </w:r>
      <w:r w:rsidR="000A67EC" w:rsidRPr="00E558AE">
        <w:rPr>
          <w:rFonts w:ascii="Times New Roman" w:hAnsi="Times New Roman" w:cs="Times New Roman"/>
          <w:sz w:val="24"/>
          <w:szCs w:val="24"/>
        </w:rPr>
        <w:t>2015</w:t>
      </w:r>
      <w:r w:rsidR="00E96B61" w:rsidRPr="00E558AE">
        <w:rPr>
          <w:rFonts w:ascii="Times New Roman" w:hAnsi="Times New Roman" w:cs="Times New Roman"/>
          <w:sz w:val="24"/>
          <w:szCs w:val="24"/>
        </w:rPr>
        <w:t xml:space="preserve">, </w:t>
      </w:r>
      <w:r w:rsidR="007C2B84" w:rsidRPr="00E558AE">
        <w:rPr>
          <w:rFonts w:ascii="Times New Roman" w:hAnsi="Times New Roman" w:cs="Times New Roman"/>
          <w:sz w:val="24"/>
          <w:szCs w:val="24"/>
        </w:rPr>
        <w:t xml:space="preserve">the Commission has steadily increased </w:t>
      </w:r>
      <w:r w:rsidR="00023FC9">
        <w:rPr>
          <w:rFonts w:ascii="Times New Roman" w:hAnsi="Times New Roman" w:cs="Times New Roman"/>
          <w:sz w:val="24"/>
          <w:szCs w:val="24"/>
        </w:rPr>
        <w:t>support</w:t>
      </w:r>
      <w:r w:rsidR="00023FC9" w:rsidRPr="00E558AE">
        <w:rPr>
          <w:rFonts w:ascii="Times New Roman" w:hAnsi="Times New Roman" w:cs="Times New Roman"/>
          <w:sz w:val="24"/>
          <w:szCs w:val="24"/>
        </w:rPr>
        <w:t xml:space="preserve"> </w:t>
      </w:r>
      <w:r w:rsidR="007C2B84" w:rsidRPr="00E558AE">
        <w:rPr>
          <w:rFonts w:ascii="Times New Roman" w:hAnsi="Times New Roman" w:cs="Times New Roman"/>
          <w:sz w:val="24"/>
          <w:szCs w:val="24"/>
        </w:rPr>
        <w:t>in this area</w:t>
      </w:r>
      <w:r w:rsidR="00023FC9">
        <w:rPr>
          <w:rFonts w:ascii="Times New Roman" w:hAnsi="Times New Roman" w:cs="Times New Roman"/>
          <w:sz w:val="24"/>
          <w:szCs w:val="24"/>
        </w:rPr>
        <w:t xml:space="preserve"> having reached</w:t>
      </w:r>
      <w:r w:rsidR="007C2B84" w:rsidRPr="00E558AE">
        <w:rPr>
          <w:rFonts w:ascii="Times New Roman" w:hAnsi="Times New Roman" w:cs="Times New Roman"/>
          <w:sz w:val="24"/>
          <w:szCs w:val="24"/>
        </w:rPr>
        <w:t xml:space="preserve"> approximately EUR </w:t>
      </w:r>
      <w:r w:rsidR="00023FC9">
        <w:rPr>
          <w:rFonts w:ascii="Times New Roman" w:hAnsi="Times New Roman" w:cs="Times New Roman"/>
          <w:sz w:val="24"/>
          <w:szCs w:val="24"/>
        </w:rPr>
        <w:t>100</w:t>
      </w:r>
      <w:r w:rsidR="007C2B84" w:rsidRPr="00E558AE">
        <w:rPr>
          <w:rFonts w:ascii="Times New Roman" w:hAnsi="Times New Roman" w:cs="Times New Roman"/>
          <w:sz w:val="24"/>
          <w:szCs w:val="24"/>
        </w:rPr>
        <w:t xml:space="preserve">0 million </w:t>
      </w:r>
      <w:r w:rsidR="00023FC9">
        <w:rPr>
          <w:rFonts w:ascii="Times New Roman" w:hAnsi="Times New Roman" w:cs="Times New Roman"/>
          <w:sz w:val="24"/>
          <w:szCs w:val="24"/>
        </w:rPr>
        <w:t xml:space="preserve">commitments </w:t>
      </w:r>
      <w:r w:rsidR="007C2B84" w:rsidRPr="00E558AE">
        <w:rPr>
          <w:rFonts w:ascii="Times New Roman" w:hAnsi="Times New Roman" w:cs="Times New Roman"/>
          <w:sz w:val="24"/>
          <w:szCs w:val="24"/>
        </w:rPr>
        <w:t>in 201</w:t>
      </w:r>
      <w:r w:rsidR="00023FC9">
        <w:rPr>
          <w:rFonts w:ascii="Times New Roman" w:hAnsi="Times New Roman" w:cs="Times New Roman"/>
          <w:sz w:val="24"/>
          <w:szCs w:val="24"/>
        </w:rPr>
        <w:t>9</w:t>
      </w:r>
      <w:r w:rsidRPr="00E558AE">
        <w:rPr>
          <w:rFonts w:ascii="Times New Roman" w:hAnsi="Times New Roman" w:cs="Times New Roman"/>
          <w:sz w:val="24"/>
          <w:szCs w:val="24"/>
        </w:rPr>
        <w:t xml:space="preserve"> and has co-financed a tool</w:t>
      </w:r>
      <w:r w:rsidRPr="00E558AE">
        <w:rPr>
          <w:rStyle w:val="FootnoteReference"/>
          <w:rFonts w:ascii="Times New Roman" w:hAnsi="Times New Roman" w:cs="Times New Roman"/>
          <w:sz w:val="24"/>
          <w:szCs w:val="24"/>
        </w:rPr>
        <w:footnoteReference w:id="24"/>
      </w:r>
      <w:r w:rsidRPr="00E558AE">
        <w:rPr>
          <w:rFonts w:ascii="Times New Roman" w:hAnsi="Times New Roman" w:cs="Times New Roman"/>
          <w:sz w:val="24"/>
          <w:szCs w:val="24"/>
        </w:rPr>
        <w:t xml:space="preserve"> to assist with reforms in </w:t>
      </w:r>
      <w:r w:rsidR="00023FC9">
        <w:rPr>
          <w:rFonts w:ascii="Times New Roman" w:hAnsi="Times New Roman" w:cs="Times New Roman"/>
          <w:sz w:val="24"/>
          <w:szCs w:val="24"/>
        </w:rPr>
        <w:t>94</w:t>
      </w:r>
      <w:r w:rsidRPr="00E558AE">
        <w:rPr>
          <w:rFonts w:ascii="Times New Roman" w:hAnsi="Times New Roman" w:cs="Times New Roman"/>
          <w:sz w:val="24"/>
          <w:szCs w:val="24"/>
        </w:rPr>
        <w:t xml:space="preserve"> tax administrations worldwide, amongst other things.</w:t>
      </w:r>
      <w:r w:rsidR="00E96B61" w:rsidRPr="00E558AE">
        <w:rPr>
          <w:rFonts w:ascii="Times New Roman" w:hAnsi="Times New Roman" w:cs="Times New Roman"/>
          <w:sz w:val="24"/>
          <w:szCs w:val="24"/>
        </w:rPr>
        <w:t xml:space="preserve"> </w:t>
      </w:r>
      <w:r w:rsidRPr="00E558AE">
        <w:rPr>
          <w:rFonts w:ascii="Times New Roman" w:hAnsi="Times New Roman" w:cs="Times New Roman"/>
          <w:sz w:val="24"/>
          <w:szCs w:val="24"/>
        </w:rPr>
        <w:t xml:space="preserve">Bilateral budget support operations </w:t>
      </w:r>
      <w:r w:rsidR="00023FC9">
        <w:rPr>
          <w:rFonts w:ascii="Times New Roman" w:hAnsi="Times New Roman" w:cs="Times New Roman"/>
          <w:sz w:val="24"/>
          <w:szCs w:val="24"/>
        </w:rPr>
        <w:t>increasingly</w:t>
      </w:r>
      <w:r w:rsidR="00023FC9" w:rsidRPr="00E558AE">
        <w:rPr>
          <w:rFonts w:ascii="Times New Roman" w:hAnsi="Times New Roman" w:cs="Times New Roman"/>
          <w:sz w:val="24"/>
          <w:szCs w:val="24"/>
        </w:rPr>
        <w:t xml:space="preserve"> </w:t>
      </w:r>
      <w:r w:rsidRPr="00E558AE">
        <w:rPr>
          <w:rFonts w:ascii="Times New Roman" w:hAnsi="Times New Roman" w:cs="Times New Roman"/>
          <w:sz w:val="24"/>
          <w:szCs w:val="24"/>
        </w:rPr>
        <w:t>include assistance to mobili</w:t>
      </w:r>
      <w:r w:rsidR="00313FD4">
        <w:rPr>
          <w:rFonts w:ascii="Times New Roman" w:hAnsi="Times New Roman" w:cs="Times New Roman"/>
          <w:sz w:val="24"/>
          <w:szCs w:val="24"/>
        </w:rPr>
        <w:t>s</w:t>
      </w:r>
      <w:r w:rsidR="00C938DA" w:rsidRPr="00B017BE">
        <w:rPr>
          <w:rFonts w:ascii="Times New Roman" w:hAnsi="Times New Roman" w:cs="Times New Roman"/>
          <w:sz w:val="24"/>
          <w:szCs w:val="24"/>
        </w:rPr>
        <w:t>e</w:t>
      </w:r>
      <w:r w:rsidRPr="00E558AE">
        <w:rPr>
          <w:rFonts w:ascii="Times New Roman" w:hAnsi="Times New Roman" w:cs="Times New Roman"/>
          <w:sz w:val="24"/>
          <w:szCs w:val="24"/>
        </w:rPr>
        <w:t xml:space="preserve"> domestic revenues and implement tax good governance standards. This financial and technical support remains crucial in helping countries with limited administrative and financial capacities and the EU will continue to invest heavily in this a</w:t>
      </w:r>
      <w:r w:rsidR="00E96B61" w:rsidRPr="00E558AE">
        <w:rPr>
          <w:rFonts w:ascii="Times New Roman" w:hAnsi="Times New Roman" w:cs="Times New Roman"/>
          <w:sz w:val="24"/>
          <w:szCs w:val="24"/>
        </w:rPr>
        <w:t>rea</w:t>
      </w:r>
      <w:r w:rsidRPr="00E558AE">
        <w:rPr>
          <w:rFonts w:ascii="Times New Roman" w:hAnsi="Times New Roman" w:cs="Times New Roman"/>
          <w:sz w:val="24"/>
          <w:szCs w:val="24"/>
        </w:rPr>
        <w:t>.</w:t>
      </w:r>
    </w:p>
    <w:p w:rsidR="00F14182" w:rsidRPr="00E558AE" w:rsidRDefault="003844F7" w:rsidP="00F14182">
      <w:pPr>
        <w:spacing w:line="276"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In addition, </w:t>
      </w:r>
      <w:r w:rsidR="00F14182">
        <w:rPr>
          <w:rFonts w:ascii="Times New Roman" w:hAnsi="Times New Roman" w:cs="Times New Roman"/>
          <w:sz w:val="24"/>
          <w:szCs w:val="24"/>
        </w:rPr>
        <w:t xml:space="preserve">the Commission </w:t>
      </w:r>
      <w:r w:rsidR="00F14182" w:rsidRPr="00C474A2">
        <w:rPr>
          <w:rFonts w:ascii="Times New Roman" w:hAnsi="Times New Roman" w:cs="Times New Roman"/>
          <w:sz w:val="24"/>
          <w:szCs w:val="24"/>
        </w:rPr>
        <w:t>has</w:t>
      </w:r>
      <w:r w:rsidR="00A0406E">
        <w:rPr>
          <w:rFonts w:ascii="Times New Roman" w:hAnsi="Times New Roman" w:cs="Times New Roman"/>
          <w:sz w:val="24"/>
          <w:szCs w:val="24"/>
        </w:rPr>
        <w:t xml:space="preserve"> also analysed possible </w:t>
      </w:r>
      <w:proofErr w:type="spellStart"/>
      <w:r w:rsidR="004510A7">
        <w:rPr>
          <w:rFonts w:ascii="Times New Roman" w:hAnsi="Times New Roman" w:cs="Times New Roman"/>
          <w:sz w:val="24"/>
          <w:szCs w:val="24"/>
        </w:rPr>
        <w:t>spillover</w:t>
      </w:r>
      <w:proofErr w:type="spellEnd"/>
      <w:r w:rsidR="00F14182">
        <w:rPr>
          <w:rFonts w:ascii="Times New Roman" w:hAnsi="Times New Roman" w:cs="Times New Roman"/>
          <w:sz w:val="24"/>
          <w:szCs w:val="24"/>
        </w:rPr>
        <w:t xml:space="preserve"> effects of double tax treaties signed by Member States with developing countries, in particular with the poorest countries. The Commission developed a toolbox</w:t>
      </w:r>
      <w:r w:rsidR="00F14182">
        <w:rPr>
          <w:rStyle w:val="FootnoteReference"/>
          <w:rFonts w:ascii="Times New Roman" w:hAnsi="Times New Roman" w:cs="Times New Roman"/>
          <w:sz w:val="24"/>
          <w:szCs w:val="24"/>
        </w:rPr>
        <w:footnoteReference w:id="25"/>
      </w:r>
      <w:r w:rsidR="00F14182">
        <w:rPr>
          <w:rFonts w:ascii="Times New Roman" w:hAnsi="Times New Roman" w:cs="Times New Roman"/>
          <w:sz w:val="24"/>
          <w:szCs w:val="24"/>
        </w:rPr>
        <w:t xml:space="preserve"> that the Member States could take into account when negotiating double tax treaties with developing countries to support their domestic revenue mobilisation.</w:t>
      </w:r>
      <w:r>
        <w:rPr>
          <w:rFonts w:ascii="Times New Roman" w:hAnsi="Times New Roman" w:cs="Times New Roman"/>
          <w:sz w:val="24"/>
          <w:szCs w:val="24"/>
        </w:rPr>
        <w:t xml:space="preserve"> The issue of </w:t>
      </w:r>
      <w:proofErr w:type="spellStart"/>
      <w:r w:rsidR="004510A7">
        <w:rPr>
          <w:rFonts w:ascii="Times New Roman" w:hAnsi="Times New Roman" w:cs="Times New Roman"/>
          <w:sz w:val="24"/>
          <w:szCs w:val="24"/>
        </w:rPr>
        <w:t>spillovers</w:t>
      </w:r>
      <w:proofErr w:type="spellEnd"/>
      <w:r>
        <w:rPr>
          <w:rFonts w:ascii="Times New Roman" w:hAnsi="Times New Roman" w:cs="Times New Roman"/>
          <w:sz w:val="24"/>
          <w:szCs w:val="24"/>
        </w:rPr>
        <w:t xml:space="preserve"> was looked at in detail by the Platform on Tax Good Governance and the Commission organised an expert-level seminar on the issue in 2018. Work will continue on this issue under the new mandate of the Platform on Tax Good Governance.  </w:t>
      </w:r>
    </w:p>
    <w:p w:rsidR="00F14182" w:rsidRPr="00E558AE" w:rsidRDefault="00F14182" w:rsidP="0057239C">
      <w:pPr>
        <w:spacing w:line="276" w:lineRule="auto"/>
        <w:jc w:val="both"/>
        <w:rPr>
          <w:rFonts w:ascii="Times New Roman" w:hAnsi="Times New Roman" w:cs="Times New Roman"/>
          <w:b/>
          <w:bCs/>
          <w:i/>
          <w:iCs/>
          <w:sz w:val="24"/>
          <w:szCs w:val="24"/>
        </w:rPr>
      </w:pPr>
    </w:p>
    <w:p w:rsidR="00E96B61" w:rsidRPr="009B6733" w:rsidRDefault="0067390A" w:rsidP="009149A5">
      <w:pPr>
        <w:keepNext/>
        <w:spacing w:line="276" w:lineRule="auto"/>
        <w:jc w:val="both"/>
        <w:rPr>
          <w:rFonts w:ascii="Times New Roman" w:hAnsi="Times New Roman" w:cs="Times New Roman"/>
          <w:sz w:val="24"/>
          <w:szCs w:val="24"/>
        </w:rPr>
      </w:pPr>
      <w:r>
        <w:rPr>
          <w:rFonts w:ascii="Times New Roman" w:hAnsi="Times New Roman" w:cs="Times New Roman"/>
          <w:b/>
          <w:bCs/>
          <w:i/>
          <w:iCs/>
          <w:sz w:val="24"/>
          <w:szCs w:val="24"/>
        </w:rPr>
        <w:t>5</w:t>
      </w:r>
      <w:r w:rsidR="00E96B61" w:rsidRPr="00E558AE">
        <w:rPr>
          <w:rFonts w:ascii="Times New Roman" w:hAnsi="Times New Roman" w:cs="Times New Roman"/>
          <w:b/>
          <w:bCs/>
          <w:i/>
          <w:iCs/>
          <w:sz w:val="24"/>
          <w:szCs w:val="24"/>
        </w:rPr>
        <w:t xml:space="preserve"> (a) </w:t>
      </w:r>
      <w:r w:rsidR="00C3585D" w:rsidRPr="00E558AE">
        <w:rPr>
          <w:rFonts w:ascii="Times New Roman" w:hAnsi="Times New Roman" w:cs="Times New Roman"/>
          <w:b/>
          <w:bCs/>
          <w:i/>
          <w:iCs/>
          <w:sz w:val="24"/>
          <w:szCs w:val="24"/>
        </w:rPr>
        <w:t>Strengthening partnership and cooperation internationally</w:t>
      </w:r>
    </w:p>
    <w:p w:rsidR="002A1EE6" w:rsidRDefault="00D51F3A" w:rsidP="00E96B61">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With the start of the Decade of Action to implement the Sustainable Development Goals</w:t>
      </w:r>
      <w:r w:rsidRPr="00E558AE">
        <w:rPr>
          <w:rStyle w:val="FootnoteReference"/>
          <w:rFonts w:ascii="Times New Roman" w:hAnsi="Times New Roman" w:cs="Times New Roman"/>
          <w:sz w:val="24"/>
          <w:szCs w:val="24"/>
        </w:rPr>
        <w:footnoteReference w:id="26"/>
      </w:r>
      <w:r w:rsidRPr="00E558AE">
        <w:rPr>
          <w:rFonts w:ascii="Times New Roman" w:hAnsi="Times New Roman" w:cs="Times New Roman"/>
          <w:sz w:val="24"/>
          <w:szCs w:val="24"/>
        </w:rPr>
        <w:t xml:space="preserve">, tax good governance </w:t>
      </w:r>
      <w:r w:rsidR="007C2B84" w:rsidRPr="00E558AE">
        <w:rPr>
          <w:rFonts w:ascii="Times New Roman" w:hAnsi="Times New Roman" w:cs="Times New Roman"/>
          <w:sz w:val="24"/>
          <w:szCs w:val="24"/>
        </w:rPr>
        <w:t>remains</w:t>
      </w:r>
      <w:r w:rsidRPr="00E558AE">
        <w:rPr>
          <w:rFonts w:ascii="Times New Roman" w:hAnsi="Times New Roman" w:cs="Times New Roman"/>
          <w:sz w:val="24"/>
          <w:szCs w:val="24"/>
        </w:rPr>
        <w:t xml:space="preserve"> a key issue </w:t>
      </w:r>
      <w:r w:rsidR="00C3585D" w:rsidRPr="00E558AE">
        <w:rPr>
          <w:rFonts w:ascii="Times New Roman" w:hAnsi="Times New Roman" w:cs="Times New Roman"/>
          <w:sz w:val="24"/>
          <w:szCs w:val="24"/>
        </w:rPr>
        <w:t xml:space="preserve">on which all </w:t>
      </w:r>
      <w:r w:rsidR="00C3585D" w:rsidRPr="00B017BE">
        <w:rPr>
          <w:rFonts w:ascii="Times New Roman" w:hAnsi="Times New Roman" w:cs="Times New Roman"/>
          <w:sz w:val="24"/>
          <w:szCs w:val="24"/>
        </w:rPr>
        <w:t>countries have to act</w:t>
      </w:r>
      <w:r w:rsidRPr="00E558AE">
        <w:rPr>
          <w:rFonts w:ascii="Times New Roman" w:hAnsi="Times New Roman" w:cs="Times New Roman"/>
          <w:sz w:val="24"/>
          <w:szCs w:val="24"/>
        </w:rPr>
        <w:t xml:space="preserve">. </w:t>
      </w:r>
      <w:r w:rsidR="003844F7">
        <w:rPr>
          <w:rFonts w:ascii="Times New Roman" w:hAnsi="Times New Roman" w:cs="Times New Roman"/>
          <w:sz w:val="24"/>
          <w:szCs w:val="24"/>
        </w:rPr>
        <w:t xml:space="preserve">This is also in line with the principle of policy coherence for development. </w:t>
      </w:r>
      <w:r w:rsidR="00E96B61" w:rsidRPr="00E558AE">
        <w:rPr>
          <w:rFonts w:ascii="Times New Roman" w:hAnsi="Times New Roman" w:cs="Times New Roman"/>
          <w:sz w:val="24"/>
          <w:szCs w:val="24"/>
        </w:rPr>
        <w:t>T</w:t>
      </w:r>
      <w:r w:rsidR="3C502593" w:rsidRPr="00E558AE">
        <w:rPr>
          <w:rFonts w:ascii="Times New Roman" w:hAnsi="Times New Roman" w:cs="Times New Roman"/>
          <w:sz w:val="24"/>
          <w:szCs w:val="24"/>
        </w:rPr>
        <w:t>he Commission</w:t>
      </w:r>
      <w:r w:rsidR="00E96B61" w:rsidRPr="00E558AE">
        <w:rPr>
          <w:rFonts w:ascii="Times New Roman" w:hAnsi="Times New Roman" w:cs="Times New Roman"/>
          <w:sz w:val="24"/>
          <w:szCs w:val="24"/>
        </w:rPr>
        <w:t xml:space="preserve"> is therefore determined to </w:t>
      </w:r>
      <w:r w:rsidR="3C502593" w:rsidRPr="00E558AE">
        <w:rPr>
          <w:rFonts w:ascii="Times New Roman" w:hAnsi="Times New Roman" w:cs="Times New Roman"/>
          <w:sz w:val="24"/>
          <w:szCs w:val="24"/>
        </w:rPr>
        <w:t xml:space="preserve">give </w:t>
      </w:r>
      <w:r w:rsidR="00E96B61" w:rsidRPr="00E558AE">
        <w:rPr>
          <w:rFonts w:ascii="Times New Roman" w:hAnsi="Times New Roman" w:cs="Times New Roman"/>
          <w:sz w:val="24"/>
          <w:szCs w:val="24"/>
        </w:rPr>
        <w:t>even greater</w:t>
      </w:r>
      <w:r w:rsidR="3C502593" w:rsidRPr="00E558AE">
        <w:rPr>
          <w:rFonts w:ascii="Times New Roman" w:hAnsi="Times New Roman" w:cs="Times New Roman"/>
          <w:sz w:val="24"/>
          <w:szCs w:val="24"/>
        </w:rPr>
        <w:t xml:space="preserve"> impetus to t</w:t>
      </w:r>
      <w:r w:rsidR="00C3585D" w:rsidRPr="00E558AE">
        <w:rPr>
          <w:rFonts w:ascii="Times New Roman" w:hAnsi="Times New Roman" w:cs="Times New Roman"/>
          <w:sz w:val="24"/>
          <w:szCs w:val="24"/>
        </w:rPr>
        <w:t>ax good governance measures and</w:t>
      </w:r>
      <w:r w:rsidR="00E96B61" w:rsidRPr="00E558AE">
        <w:rPr>
          <w:rFonts w:ascii="Times New Roman" w:hAnsi="Times New Roman" w:cs="Times New Roman"/>
          <w:sz w:val="24"/>
          <w:szCs w:val="24"/>
        </w:rPr>
        <w:t xml:space="preserve"> initiatives to boost domestic revenue mobili</w:t>
      </w:r>
      <w:r w:rsidR="00DB732D">
        <w:rPr>
          <w:rFonts w:ascii="Times New Roman" w:hAnsi="Times New Roman" w:cs="Times New Roman"/>
          <w:sz w:val="24"/>
          <w:szCs w:val="24"/>
        </w:rPr>
        <w:t>s</w:t>
      </w:r>
      <w:r w:rsidR="00E96B61" w:rsidRPr="00E558AE">
        <w:rPr>
          <w:rFonts w:ascii="Times New Roman" w:hAnsi="Times New Roman" w:cs="Times New Roman"/>
          <w:sz w:val="24"/>
          <w:szCs w:val="24"/>
        </w:rPr>
        <w:t>ation amongst the EU’s developing partners</w:t>
      </w:r>
      <w:r w:rsidR="3C502593" w:rsidRPr="00E558AE">
        <w:rPr>
          <w:rFonts w:ascii="Times New Roman" w:hAnsi="Times New Roman" w:cs="Times New Roman"/>
          <w:sz w:val="24"/>
          <w:szCs w:val="24"/>
        </w:rPr>
        <w:t>.</w:t>
      </w:r>
      <w:r w:rsidR="003844F7">
        <w:rPr>
          <w:rFonts w:ascii="Times New Roman" w:hAnsi="Times New Roman" w:cs="Times New Roman"/>
          <w:sz w:val="24"/>
          <w:szCs w:val="24"/>
        </w:rPr>
        <w:t xml:space="preserve"> </w:t>
      </w:r>
    </w:p>
    <w:p w:rsidR="00D51F3A" w:rsidRPr="00E558AE" w:rsidRDefault="002A1EE6" w:rsidP="002A1EE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Addis Tax Initiative was supposed to end in 2020. However, the signatories of this Initiative agreed to prolong the work, given the positive contribution it can make to countries’ long-term sustainable development. The Commission is actively contributing to defining the plan for the next phase of work under the Addis Tax Initiative, post-2020. It firmly believes that the work in this area should </w:t>
      </w:r>
      <w:r w:rsidR="000B7217" w:rsidRPr="00E558AE">
        <w:rPr>
          <w:rFonts w:ascii="Times New Roman" w:hAnsi="Times New Roman" w:cs="Times New Roman"/>
          <w:sz w:val="24"/>
          <w:szCs w:val="24"/>
        </w:rPr>
        <w:t xml:space="preserve">be fully aligned to the Sustainable Development Goals, </w:t>
      </w:r>
      <w:r>
        <w:rPr>
          <w:rFonts w:ascii="Times New Roman" w:hAnsi="Times New Roman" w:cs="Times New Roman"/>
          <w:sz w:val="24"/>
          <w:szCs w:val="24"/>
        </w:rPr>
        <w:t xml:space="preserve">and that </w:t>
      </w:r>
      <w:r w:rsidR="000B7217" w:rsidRPr="00E558AE">
        <w:rPr>
          <w:rFonts w:ascii="Times New Roman" w:hAnsi="Times New Roman" w:cs="Times New Roman"/>
          <w:sz w:val="24"/>
          <w:szCs w:val="24"/>
        </w:rPr>
        <w:t>work on domestic revenue mobili</w:t>
      </w:r>
      <w:r w:rsidR="00DB732D">
        <w:rPr>
          <w:rFonts w:ascii="Times New Roman" w:hAnsi="Times New Roman" w:cs="Times New Roman"/>
          <w:sz w:val="24"/>
          <w:szCs w:val="24"/>
        </w:rPr>
        <w:t>s</w:t>
      </w:r>
      <w:r w:rsidR="000B7217" w:rsidRPr="00E558AE">
        <w:rPr>
          <w:rFonts w:ascii="Times New Roman" w:hAnsi="Times New Roman" w:cs="Times New Roman"/>
          <w:sz w:val="24"/>
          <w:szCs w:val="24"/>
        </w:rPr>
        <w:t xml:space="preserve">ation </w:t>
      </w:r>
      <w:r>
        <w:rPr>
          <w:rFonts w:ascii="Times New Roman" w:hAnsi="Times New Roman" w:cs="Times New Roman"/>
          <w:sz w:val="24"/>
          <w:szCs w:val="24"/>
        </w:rPr>
        <w:t>at international level should be accelerated</w:t>
      </w:r>
      <w:r w:rsidR="000B7217" w:rsidRPr="00E558AE">
        <w:rPr>
          <w:rFonts w:ascii="Times New Roman" w:hAnsi="Times New Roman" w:cs="Times New Roman"/>
          <w:sz w:val="24"/>
          <w:szCs w:val="24"/>
        </w:rPr>
        <w:t xml:space="preserve">. </w:t>
      </w:r>
    </w:p>
    <w:p w:rsidR="00662FEC" w:rsidRPr="00E558AE" w:rsidRDefault="000B7217" w:rsidP="00536099">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T</w:t>
      </w:r>
      <w:r w:rsidR="3C502593" w:rsidRPr="00E558AE">
        <w:rPr>
          <w:rFonts w:ascii="Times New Roman" w:hAnsi="Times New Roman" w:cs="Times New Roman"/>
          <w:sz w:val="24"/>
          <w:szCs w:val="24"/>
        </w:rPr>
        <w:t>he EU cannot work</w:t>
      </w:r>
      <w:r w:rsidR="005A6798" w:rsidRPr="00B017BE">
        <w:rPr>
          <w:rFonts w:ascii="Times New Roman" w:hAnsi="Times New Roman" w:cs="Times New Roman"/>
          <w:sz w:val="24"/>
          <w:szCs w:val="24"/>
        </w:rPr>
        <w:t xml:space="preserve"> in isolation on </w:t>
      </w:r>
      <w:r w:rsidRPr="00E558AE">
        <w:rPr>
          <w:rFonts w:ascii="Times New Roman" w:hAnsi="Times New Roman" w:cs="Times New Roman"/>
          <w:sz w:val="24"/>
          <w:szCs w:val="24"/>
        </w:rPr>
        <w:t>tax good governance and its implementation in developing countries</w:t>
      </w:r>
      <w:r w:rsidR="3C502593" w:rsidRPr="00E558AE">
        <w:rPr>
          <w:rFonts w:ascii="Times New Roman" w:hAnsi="Times New Roman" w:cs="Times New Roman"/>
          <w:sz w:val="24"/>
          <w:szCs w:val="24"/>
        </w:rPr>
        <w:t xml:space="preserve">. </w:t>
      </w:r>
      <w:r w:rsidR="00E96B61" w:rsidRPr="00E558AE">
        <w:rPr>
          <w:rFonts w:ascii="Times New Roman" w:hAnsi="Times New Roman" w:cs="Times New Roman"/>
          <w:sz w:val="24"/>
          <w:szCs w:val="24"/>
        </w:rPr>
        <w:t>S</w:t>
      </w:r>
      <w:r w:rsidR="3C502593" w:rsidRPr="00E558AE">
        <w:rPr>
          <w:rFonts w:ascii="Times New Roman" w:hAnsi="Times New Roman" w:cs="Times New Roman"/>
          <w:sz w:val="24"/>
          <w:szCs w:val="24"/>
        </w:rPr>
        <w:t xml:space="preserve">trong collaboration with the OECD, the UN, the IMF and other international actors </w:t>
      </w:r>
      <w:r w:rsidR="00C3585D" w:rsidRPr="00E558AE">
        <w:rPr>
          <w:rFonts w:ascii="Times New Roman" w:hAnsi="Times New Roman" w:cs="Times New Roman"/>
          <w:sz w:val="24"/>
          <w:szCs w:val="24"/>
        </w:rPr>
        <w:t>is essential</w:t>
      </w:r>
      <w:r w:rsidR="00E96B61" w:rsidRPr="00E558AE">
        <w:rPr>
          <w:rFonts w:ascii="Times New Roman" w:hAnsi="Times New Roman" w:cs="Times New Roman"/>
          <w:sz w:val="24"/>
          <w:szCs w:val="24"/>
        </w:rPr>
        <w:t>,</w:t>
      </w:r>
      <w:r w:rsidR="3C502593" w:rsidRPr="00E558AE">
        <w:rPr>
          <w:rFonts w:ascii="Times New Roman" w:hAnsi="Times New Roman" w:cs="Times New Roman"/>
          <w:sz w:val="24"/>
          <w:szCs w:val="24"/>
        </w:rPr>
        <w:t xml:space="preserve"> to coordinate </w:t>
      </w:r>
      <w:r w:rsidR="00C3585D" w:rsidRPr="00E558AE">
        <w:rPr>
          <w:rFonts w:ascii="Times New Roman" w:hAnsi="Times New Roman" w:cs="Times New Roman"/>
          <w:sz w:val="24"/>
          <w:szCs w:val="24"/>
        </w:rPr>
        <w:t xml:space="preserve">effective </w:t>
      </w:r>
      <w:r w:rsidR="3C502593" w:rsidRPr="00E558AE">
        <w:rPr>
          <w:rFonts w:ascii="Times New Roman" w:hAnsi="Times New Roman" w:cs="Times New Roman"/>
          <w:sz w:val="24"/>
          <w:szCs w:val="24"/>
        </w:rPr>
        <w:t>assistance</w:t>
      </w:r>
      <w:r w:rsidR="00E96B61" w:rsidRPr="00E558AE">
        <w:rPr>
          <w:rFonts w:ascii="Times New Roman" w:hAnsi="Times New Roman" w:cs="Times New Roman"/>
          <w:sz w:val="24"/>
          <w:szCs w:val="24"/>
        </w:rPr>
        <w:t xml:space="preserve"> and support</w:t>
      </w:r>
      <w:r w:rsidR="3C502593" w:rsidRPr="00E558AE">
        <w:rPr>
          <w:rFonts w:ascii="Times New Roman" w:hAnsi="Times New Roman" w:cs="Times New Roman"/>
          <w:sz w:val="24"/>
          <w:szCs w:val="24"/>
        </w:rPr>
        <w:t>. For example, Integrated National Financi</w:t>
      </w:r>
      <w:r w:rsidR="00C0316A">
        <w:rPr>
          <w:rFonts w:ascii="Times New Roman" w:hAnsi="Times New Roman" w:cs="Times New Roman"/>
          <w:sz w:val="24"/>
          <w:szCs w:val="24"/>
        </w:rPr>
        <w:t>ng</w:t>
      </w:r>
      <w:r w:rsidR="3C502593" w:rsidRPr="00E558AE">
        <w:rPr>
          <w:rFonts w:ascii="Times New Roman" w:hAnsi="Times New Roman" w:cs="Times New Roman"/>
          <w:sz w:val="24"/>
          <w:szCs w:val="24"/>
        </w:rPr>
        <w:t xml:space="preserve"> Frameworks (INFF)</w:t>
      </w:r>
      <w:r w:rsidR="00E96B61" w:rsidRPr="00E558AE">
        <w:rPr>
          <w:rFonts w:ascii="Times New Roman" w:hAnsi="Times New Roman" w:cs="Times New Roman"/>
          <w:sz w:val="24"/>
          <w:szCs w:val="24"/>
        </w:rPr>
        <w:t xml:space="preserve"> – </w:t>
      </w:r>
      <w:r w:rsidR="00536099">
        <w:rPr>
          <w:rFonts w:ascii="Times New Roman" w:hAnsi="Times New Roman" w:cs="Times New Roman"/>
          <w:sz w:val="24"/>
          <w:szCs w:val="24"/>
        </w:rPr>
        <w:t xml:space="preserve">which identify how each country’s sustainable development strategy will be financed </w:t>
      </w:r>
      <w:r w:rsidR="00CC4EA7">
        <w:rPr>
          <w:rFonts w:ascii="Times New Roman" w:hAnsi="Times New Roman" w:cs="Times New Roman"/>
          <w:sz w:val="24"/>
          <w:szCs w:val="24"/>
        </w:rPr>
        <w:t xml:space="preserve">from all sources of finance (public/private, domestic/international) </w:t>
      </w:r>
      <w:r w:rsidR="00536099">
        <w:rPr>
          <w:rFonts w:ascii="Times New Roman" w:hAnsi="Times New Roman" w:cs="Times New Roman"/>
          <w:sz w:val="24"/>
          <w:szCs w:val="24"/>
        </w:rPr>
        <w:t xml:space="preserve">- </w:t>
      </w:r>
      <w:r w:rsidR="3C502593" w:rsidRPr="00E558AE">
        <w:rPr>
          <w:rFonts w:ascii="Times New Roman" w:hAnsi="Times New Roman" w:cs="Times New Roman"/>
          <w:sz w:val="24"/>
          <w:szCs w:val="24"/>
        </w:rPr>
        <w:t xml:space="preserve"> </w:t>
      </w:r>
      <w:r w:rsidR="00E96B61" w:rsidRPr="00E558AE">
        <w:rPr>
          <w:rFonts w:ascii="Times New Roman" w:hAnsi="Times New Roman" w:cs="Times New Roman"/>
          <w:sz w:val="24"/>
          <w:szCs w:val="24"/>
        </w:rPr>
        <w:t>would be an ideal framework to</w:t>
      </w:r>
      <w:r w:rsidR="005A6798" w:rsidRPr="00E558AE">
        <w:rPr>
          <w:rFonts w:ascii="Times New Roman" w:hAnsi="Times New Roman" w:cs="Times New Roman"/>
          <w:sz w:val="24"/>
          <w:szCs w:val="24"/>
        </w:rPr>
        <w:t xml:space="preserve"> </w:t>
      </w:r>
      <w:r w:rsidR="00536099">
        <w:rPr>
          <w:rFonts w:ascii="Times New Roman" w:hAnsi="Times New Roman" w:cs="Times New Roman"/>
          <w:sz w:val="24"/>
          <w:szCs w:val="24"/>
        </w:rPr>
        <w:t>discuss how to best target funding</w:t>
      </w:r>
      <w:r w:rsidR="3C502593" w:rsidRPr="00E558AE">
        <w:rPr>
          <w:rFonts w:ascii="Times New Roman" w:hAnsi="Times New Roman" w:cs="Times New Roman"/>
          <w:sz w:val="24"/>
          <w:szCs w:val="24"/>
        </w:rPr>
        <w:t xml:space="preserve">. </w:t>
      </w:r>
      <w:r w:rsidR="00C3585D" w:rsidRPr="00E558AE">
        <w:rPr>
          <w:rFonts w:ascii="Times New Roman" w:hAnsi="Times New Roman" w:cs="Times New Roman"/>
          <w:sz w:val="24"/>
          <w:szCs w:val="24"/>
        </w:rPr>
        <w:t>T</w:t>
      </w:r>
      <w:r w:rsidR="3C502593" w:rsidRPr="00E558AE">
        <w:rPr>
          <w:rFonts w:ascii="Times New Roman" w:hAnsi="Times New Roman" w:cs="Times New Roman"/>
          <w:sz w:val="24"/>
          <w:szCs w:val="24"/>
        </w:rPr>
        <w:t xml:space="preserve">he Commission </w:t>
      </w:r>
      <w:r w:rsidR="00C3585D" w:rsidRPr="00E558AE">
        <w:rPr>
          <w:rFonts w:ascii="Times New Roman" w:hAnsi="Times New Roman" w:cs="Times New Roman"/>
          <w:sz w:val="24"/>
          <w:szCs w:val="24"/>
        </w:rPr>
        <w:t>will also continue to encourage and support Member States in providing technical expertise on tax matters to the EU’s developing country partners</w:t>
      </w:r>
      <w:r w:rsidR="00DB732D">
        <w:rPr>
          <w:rFonts w:ascii="Times New Roman" w:hAnsi="Times New Roman" w:cs="Times New Roman"/>
          <w:sz w:val="24"/>
          <w:szCs w:val="24"/>
        </w:rPr>
        <w:t>, via existing EU tools such as twinning and the technical assistance and information exchange instrument (TAIEX)</w:t>
      </w:r>
      <w:r w:rsidR="00C3585D" w:rsidRPr="00E558AE">
        <w:rPr>
          <w:rFonts w:ascii="Times New Roman" w:hAnsi="Times New Roman" w:cs="Times New Roman"/>
          <w:sz w:val="24"/>
          <w:szCs w:val="24"/>
        </w:rPr>
        <w:t xml:space="preserve">. </w:t>
      </w:r>
    </w:p>
    <w:p w:rsidR="00E96B61" w:rsidRPr="00E558AE" w:rsidRDefault="0067390A" w:rsidP="00C3585D">
      <w:pPr>
        <w:spacing w:line="276"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5</w:t>
      </w:r>
      <w:r w:rsidR="00E96B61" w:rsidRPr="00E558AE">
        <w:rPr>
          <w:rFonts w:ascii="Times New Roman" w:hAnsi="Times New Roman" w:cs="Times New Roman"/>
          <w:b/>
          <w:bCs/>
          <w:i/>
          <w:iCs/>
          <w:sz w:val="24"/>
          <w:szCs w:val="24"/>
        </w:rPr>
        <w:t xml:space="preserve"> (b) </w:t>
      </w:r>
      <w:r w:rsidR="00C3585D" w:rsidRPr="00E558AE">
        <w:rPr>
          <w:rFonts w:ascii="Times New Roman" w:hAnsi="Times New Roman" w:cs="Times New Roman"/>
          <w:b/>
          <w:bCs/>
          <w:i/>
          <w:iCs/>
          <w:sz w:val="24"/>
          <w:szCs w:val="24"/>
        </w:rPr>
        <w:t>Integrating developing countries into the global tax framework</w:t>
      </w:r>
    </w:p>
    <w:p w:rsidR="004510A7" w:rsidRDefault="00CE3312" w:rsidP="00CE3312">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 xml:space="preserve">EU efforts to help developing countries fight tax abuse and mobilise domestic revenues can only be effective if there is a strong sense of ownership in the jurisdictions themselves. The global work to improve good governance requires a fully inclusive and collaborative global approach. </w:t>
      </w:r>
      <w:r w:rsidR="0077013E" w:rsidRPr="00E558AE">
        <w:rPr>
          <w:rFonts w:ascii="Times New Roman" w:hAnsi="Times New Roman" w:cs="Times New Roman"/>
          <w:sz w:val="24"/>
          <w:szCs w:val="24"/>
        </w:rPr>
        <w:t>For that reason, the EU has</w:t>
      </w:r>
      <w:r w:rsidR="00D51F3A" w:rsidRPr="00E558AE">
        <w:rPr>
          <w:rFonts w:ascii="Times New Roman" w:hAnsi="Times New Roman" w:cs="Times New Roman"/>
          <w:sz w:val="24"/>
          <w:szCs w:val="24"/>
        </w:rPr>
        <w:t xml:space="preserve"> </w:t>
      </w:r>
      <w:r w:rsidRPr="00E558AE">
        <w:rPr>
          <w:rFonts w:ascii="Times New Roman" w:hAnsi="Times New Roman" w:cs="Times New Roman"/>
          <w:sz w:val="24"/>
          <w:szCs w:val="24"/>
        </w:rPr>
        <w:t>actively</w:t>
      </w:r>
      <w:r w:rsidR="0077013E" w:rsidRPr="00E558AE">
        <w:rPr>
          <w:rFonts w:ascii="Times New Roman" w:hAnsi="Times New Roman" w:cs="Times New Roman"/>
          <w:sz w:val="24"/>
          <w:szCs w:val="24"/>
        </w:rPr>
        <w:t xml:space="preserve"> </w:t>
      </w:r>
      <w:r w:rsidR="00D51F3A" w:rsidRPr="00E558AE">
        <w:rPr>
          <w:rFonts w:ascii="Times New Roman" w:hAnsi="Times New Roman" w:cs="Times New Roman"/>
          <w:sz w:val="24"/>
          <w:szCs w:val="24"/>
        </w:rPr>
        <w:t xml:space="preserve">supported the participation of developing countries in international tax </w:t>
      </w:r>
      <w:r w:rsidRPr="00E558AE">
        <w:rPr>
          <w:rFonts w:ascii="Times New Roman" w:hAnsi="Times New Roman" w:cs="Times New Roman"/>
          <w:sz w:val="24"/>
          <w:szCs w:val="24"/>
        </w:rPr>
        <w:t>fora, where standards are set and peer reviews are conducted</w:t>
      </w:r>
      <w:r w:rsidR="00D51F3A" w:rsidRPr="00E558AE">
        <w:rPr>
          <w:rFonts w:ascii="Times New Roman" w:hAnsi="Times New Roman" w:cs="Times New Roman"/>
          <w:sz w:val="24"/>
          <w:szCs w:val="24"/>
        </w:rPr>
        <w:t>.</w:t>
      </w:r>
    </w:p>
    <w:p w:rsidR="00CE3312" w:rsidRPr="00E558AE" w:rsidRDefault="00D51F3A" w:rsidP="00CE3312">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Th</w:t>
      </w:r>
      <w:r w:rsidR="00CE3312" w:rsidRPr="00E558AE">
        <w:rPr>
          <w:rFonts w:ascii="Times New Roman" w:hAnsi="Times New Roman" w:cs="Times New Roman"/>
          <w:sz w:val="24"/>
          <w:szCs w:val="24"/>
        </w:rPr>
        <w:t>rough th</w:t>
      </w:r>
      <w:r w:rsidRPr="00E558AE">
        <w:rPr>
          <w:rFonts w:ascii="Times New Roman" w:hAnsi="Times New Roman" w:cs="Times New Roman"/>
          <w:sz w:val="24"/>
          <w:szCs w:val="24"/>
        </w:rPr>
        <w:t>e EU listing process</w:t>
      </w:r>
      <w:r w:rsidR="00CE3312" w:rsidRPr="00E558AE">
        <w:rPr>
          <w:rFonts w:ascii="Times New Roman" w:hAnsi="Times New Roman" w:cs="Times New Roman"/>
          <w:sz w:val="24"/>
          <w:szCs w:val="24"/>
        </w:rPr>
        <w:t>, all countries were</w:t>
      </w:r>
      <w:r w:rsidRPr="00E558AE">
        <w:rPr>
          <w:rFonts w:ascii="Times New Roman" w:hAnsi="Times New Roman" w:cs="Times New Roman"/>
          <w:sz w:val="24"/>
          <w:szCs w:val="24"/>
        </w:rPr>
        <w:t xml:space="preserve"> </w:t>
      </w:r>
      <w:r w:rsidR="00CE3312" w:rsidRPr="00E558AE">
        <w:rPr>
          <w:rFonts w:ascii="Times New Roman" w:hAnsi="Times New Roman" w:cs="Times New Roman"/>
          <w:sz w:val="24"/>
          <w:szCs w:val="24"/>
        </w:rPr>
        <w:t>encouraged</w:t>
      </w:r>
      <w:r w:rsidRPr="00E558AE">
        <w:rPr>
          <w:rFonts w:ascii="Times New Roman" w:hAnsi="Times New Roman" w:cs="Times New Roman"/>
          <w:sz w:val="24"/>
          <w:szCs w:val="24"/>
        </w:rPr>
        <w:t xml:space="preserve"> to join the </w:t>
      </w:r>
      <w:r w:rsidR="0077013E" w:rsidRPr="00E558AE">
        <w:rPr>
          <w:rFonts w:ascii="Times New Roman" w:hAnsi="Times New Roman" w:cs="Times New Roman"/>
          <w:sz w:val="24"/>
          <w:szCs w:val="24"/>
        </w:rPr>
        <w:t xml:space="preserve">OECD’s </w:t>
      </w:r>
      <w:r w:rsidRPr="00E558AE">
        <w:rPr>
          <w:rFonts w:ascii="Times New Roman" w:hAnsi="Times New Roman" w:cs="Times New Roman"/>
          <w:sz w:val="24"/>
          <w:szCs w:val="24"/>
        </w:rPr>
        <w:t>Inclusive Framework</w:t>
      </w:r>
      <w:r w:rsidR="00CE3312" w:rsidRPr="00E558AE">
        <w:rPr>
          <w:rFonts w:ascii="Times New Roman" w:hAnsi="Times New Roman" w:cs="Times New Roman"/>
          <w:sz w:val="24"/>
          <w:szCs w:val="24"/>
        </w:rPr>
        <w:t xml:space="preserve"> for Base Erosion and Profit Shifting (BEPS) </w:t>
      </w:r>
      <w:r w:rsidRPr="00E558AE">
        <w:rPr>
          <w:rFonts w:ascii="Times New Roman" w:hAnsi="Times New Roman" w:cs="Times New Roman"/>
          <w:sz w:val="24"/>
          <w:szCs w:val="24"/>
        </w:rPr>
        <w:t>and the Global Forum</w:t>
      </w:r>
      <w:r w:rsidR="00CE3312" w:rsidRPr="00E558AE">
        <w:rPr>
          <w:rFonts w:ascii="Times New Roman" w:hAnsi="Times New Roman" w:cs="Times New Roman"/>
          <w:sz w:val="24"/>
          <w:szCs w:val="24"/>
        </w:rPr>
        <w:t xml:space="preserve"> on Transparency and Information Exchange. As </w:t>
      </w:r>
      <w:r w:rsidR="00A8716C">
        <w:rPr>
          <w:rFonts w:ascii="Times New Roman" w:hAnsi="Times New Roman" w:cs="Times New Roman"/>
          <w:sz w:val="24"/>
          <w:szCs w:val="24"/>
        </w:rPr>
        <w:t>participants in those fora or</w:t>
      </w:r>
      <w:r w:rsidR="009238F6" w:rsidRPr="00E558AE">
        <w:rPr>
          <w:rFonts w:ascii="Times New Roman" w:hAnsi="Times New Roman" w:cs="Times New Roman"/>
          <w:sz w:val="24"/>
          <w:szCs w:val="24"/>
        </w:rPr>
        <w:t xml:space="preserve"> other</w:t>
      </w:r>
      <w:r w:rsidR="00CE3312" w:rsidRPr="00E558AE">
        <w:rPr>
          <w:rFonts w:ascii="Times New Roman" w:hAnsi="Times New Roman" w:cs="Times New Roman"/>
          <w:sz w:val="24"/>
          <w:szCs w:val="24"/>
        </w:rPr>
        <w:t xml:space="preserve"> organisations, developing countries have a voice around the table as new</w:t>
      </w:r>
      <w:r w:rsidR="009238F6" w:rsidRPr="00E558AE">
        <w:rPr>
          <w:rFonts w:ascii="Times New Roman" w:hAnsi="Times New Roman" w:cs="Times New Roman"/>
          <w:sz w:val="24"/>
          <w:szCs w:val="24"/>
        </w:rPr>
        <w:t xml:space="preserve"> global</w:t>
      </w:r>
      <w:r w:rsidR="00CE3312" w:rsidRPr="00E558AE">
        <w:rPr>
          <w:rFonts w:ascii="Times New Roman" w:hAnsi="Times New Roman" w:cs="Times New Roman"/>
          <w:sz w:val="24"/>
          <w:szCs w:val="24"/>
        </w:rPr>
        <w:t xml:space="preserve"> standards are set and </w:t>
      </w:r>
      <w:r w:rsidR="009238F6" w:rsidRPr="00E558AE">
        <w:rPr>
          <w:rFonts w:ascii="Times New Roman" w:hAnsi="Times New Roman" w:cs="Times New Roman"/>
          <w:sz w:val="24"/>
          <w:szCs w:val="24"/>
        </w:rPr>
        <w:t xml:space="preserve">peer reviews are carried out. </w:t>
      </w:r>
      <w:r w:rsidR="00CE3312" w:rsidRPr="00E558AE">
        <w:rPr>
          <w:rFonts w:ascii="Times New Roman" w:hAnsi="Times New Roman" w:cs="Times New Roman"/>
          <w:sz w:val="24"/>
          <w:szCs w:val="24"/>
        </w:rPr>
        <w:t xml:space="preserve">The EU also provided funding, through </w:t>
      </w:r>
      <w:r w:rsidR="009238F6" w:rsidRPr="00E558AE">
        <w:rPr>
          <w:rFonts w:ascii="Times New Roman" w:hAnsi="Times New Roman" w:cs="Times New Roman"/>
          <w:sz w:val="24"/>
          <w:szCs w:val="24"/>
        </w:rPr>
        <w:t>international organi</w:t>
      </w:r>
      <w:r w:rsidR="00DB732D">
        <w:rPr>
          <w:rFonts w:ascii="Times New Roman" w:hAnsi="Times New Roman" w:cs="Times New Roman"/>
          <w:sz w:val="24"/>
          <w:szCs w:val="24"/>
        </w:rPr>
        <w:t>s</w:t>
      </w:r>
      <w:r w:rsidR="009238F6" w:rsidRPr="00E558AE">
        <w:rPr>
          <w:rFonts w:ascii="Times New Roman" w:hAnsi="Times New Roman" w:cs="Times New Roman"/>
          <w:sz w:val="24"/>
          <w:szCs w:val="24"/>
        </w:rPr>
        <w:t>ations</w:t>
      </w:r>
      <w:r w:rsidR="00CE3312" w:rsidRPr="00E558AE">
        <w:rPr>
          <w:rFonts w:ascii="Times New Roman" w:hAnsi="Times New Roman" w:cs="Times New Roman"/>
          <w:sz w:val="24"/>
          <w:szCs w:val="24"/>
        </w:rPr>
        <w:t xml:space="preserve">, </w:t>
      </w:r>
      <w:r w:rsidR="009238F6" w:rsidRPr="00E558AE">
        <w:rPr>
          <w:rFonts w:ascii="Times New Roman" w:hAnsi="Times New Roman" w:cs="Times New Roman"/>
          <w:sz w:val="24"/>
          <w:szCs w:val="24"/>
        </w:rPr>
        <w:t>for</w:t>
      </w:r>
      <w:r w:rsidR="00CE3312" w:rsidRPr="00E558AE">
        <w:rPr>
          <w:rFonts w:ascii="Times New Roman" w:hAnsi="Times New Roman" w:cs="Times New Roman"/>
          <w:sz w:val="24"/>
          <w:szCs w:val="24"/>
        </w:rPr>
        <w:t xml:space="preserve"> technical assistance to developing countries in implementing agreed </w:t>
      </w:r>
      <w:r w:rsidR="00DB732D">
        <w:rPr>
          <w:rFonts w:ascii="Times New Roman" w:hAnsi="Times New Roman" w:cs="Times New Roman"/>
          <w:sz w:val="24"/>
          <w:szCs w:val="24"/>
        </w:rPr>
        <w:t xml:space="preserve">tax </w:t>
      </w:r>
      <w:r w:rsidR="00CE3312" w:rsidRPr="00E558AE">
        <w:rPr>
          <w:rFonts w:ascii="Times New Roman" w:hAnsi="Times New Roman" w:cs="Times New Roman"/>
          <w:sz w:val="24"/>
          <w:szCs w:val="24"/>
        </w:rPr>
        <w:t xml:space="preserve">good governance standards. </w:t>
      </w:r>
      <w:r w:rsidR="009238F6" w:rsidRPr="00E558AE">
        <w:rPr>
          <w:rFonts w:ascii="Times New Roman" w:hAnsi="Times New Roman" w:cs="Times New Roman"/>
          <w:sz w:val="24"/>
          <w:szCs w:val="24"/>
        </w:rPr>
        <w:t xml:space="preserve">This included, for example, EUR 2 million to the Global Forum in 2019, to help developing countries to improve their tax transparency measures. </w:t>
      </w:r>
      <w:r w:rsidR="00CE3312" w:rsidRPr="00E558AE">
        <w:rPr>
          <w:rFonts w:ascii="Times New Roman" w:hAnsi="Times New Roman" w:cs="Times New Roman"/>
          <w:sz w:val="24"/>
          <w:szCs w:val="24"/>
        </w:rPr>
        <w:t xml:space="preserve">The Commission will continue to support the active participation of developing countries in these </w:t>
      </w:r>
      <w:r w:rsidR="009238F6" w:rsidRPr="00E558AE">
        <w:rPr>
          <w:rFonts w:ascii="Times New Roman" w:hAnsi="Times New Roman" w:cs="Times New Roman"/>
          <w:sz w:val="24"/>
          <w:szCs w:val="24"/>
        </w:rPr>
        <w:t>bodies</w:t>
      </w:r>
      <w:r w:rsidR="00CE3312" w:rsidRPr="00E558AE">
        <w:rPr>
          <w:rFonts w:ascii="Times New Roman" w:hAnsi="Times New Roman" w:cs="Times New Roman"/>
          <w:sz w:val="24"/>
          <w:szCs w:val="24"/>
        </w:rPr>
        <w:t>,</w:t>
      </w:r>
      <w:r w:rsidR="009238F6" w:rsidRPr="00E558AE">
        <w:rPr>
          <w:rFonts w:ascii="Times New Roman" w:hAnsi="Times New Roman" w:cs="Times New Roman"/>
          <w:sz w:val="24"/>
          <w:szCs w:val="24"/>
        </w:rPr>
        <w:t xml:space="preserve"> and will work to ensure more</w:t>
      </w:r>
      <w:r w:rsidR="00CE3312" w:rsidRPr="00E558AE">
        <w:rPr>
          <w:rFonts w:ascii="Times New Roman" w:hAnsi="Times New Roman" w:cs="Times New Roman"/>
          <w:sz w:val="24"/>
          <w:szCs w:val="24"/>
        </w:rPr>
        <w:t xml:space="preserve"> targeted assistance</w:t>
      </w:r>
      <w:r w:rsidR="006C34E4">
        <w:rPr>
          <w:rStyle w:val="FootnoteReference"/>
          <w:rFonts w:ascii="Times New Roman" w:hAnsi="Times New Roman" w:cs="Times New Roman"/>
          <w:sz w:val="24"/>
          <w:szCs w:val="24"/>
        </w:rPr>
        <w:footnoteReference w:id="27"/>
      </w:r>
      <w:r w:rsidR="006C34E4">
        <w:rPr>
          <w:rFonts w:ascii="Times New Roman" w:hAnsi="Times New Roman" w:cs="Times New Roman"/>
          <w:sz w:val="24"/>
          <w:szCs w:val="24"/>
        </w:rPr>
        <w:t xml:space="preserve"> </w:t>
      </w:r>
      <w:r w:rsidR="00AE3538" w:rsidRPr="00AE3538">
        <w:rPr>
          <w:rFonts w:ascii="Times New Roman" w:hAnsi="Times New Roman" w:cs="Times New Roman"/>
          <w:sz w:val="24"/>
          <w:szCs w:val="24"/>
        </w:rPr>
        <w:t>and enhanced policy dialogue</w:t>
      </w:r>
      <w:r w:rsidR="00AE3538">
        <w:rPr>
          <w:rFonts w:ascii="Times New Roman" w:hAnsi="Times New Roman" w:cs="Times New Roman"/>
          <w:sz w:val="24"/>
          <w:szCs w:val="24"/>
        </w:rPr>
        <w:t xml:space="preserve"> </w:t>
      </w:r>
      <w:r w:rsidR="006C34E4">
        <w:rPr>
          <w:rFonts w:ascii="Times New Roman" w:hAnsi="Times New Roman" w:cs="Times New Roman"/>
          <w:sz w:val="24"/>
          <w:szCs w:val="24"/>
        </w:rPr>
        <w:t>to support their domestic revenue mobilisation</w:t>
      </w:r>
      <w:r w:rsidR="00CE3312" w:rsidRPr="00E558AE">
        <w:rPr>
          <w:rFonts w:ascii="Times New Roman" w:hAnsi="Times New Roman" w:cs="Times New Roman"/>
          <w:sz w:val="24"/>
          <w:szCs w:val="24"/>
        </w:rPr>
        <w:t xml:space="preserve">. </w:t>
      </w:r>
    </w:p>
    <w:p w:rsidR="00C3585D" w:rsidRPr="00E558AE" w:rsidRDefault="0067390A" w:rsidP="007C2B84">
      <w:pPr>
        <w:spacing w:line="276"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5</w:t>
      </w:r>
      <w:r w:rsidR="00C3585D" w:rsidRPr="00E558AE">
        <w:rPr>
          <w:rFonts w:ascii="Times New Roman" w:hAnsi="Times New Roman" w:cs="Times New Roman"/>
          <w:b/>
          <w:bCs/>
          <w:i/>
          <w:iCs/>
          <w:sz w:val="24"/>
          <w:szCs w:val="24"/>
        </w:rPr>
        <w:t xml:space="preserve"> (c) </w:t>
      </w:r>
      <w:r w:rsidR="00536099">
        <w:rPr>
          <w:rFonts w:ascii="Times New Roman" w:hAnsi="Times New Roman" w:cs="Times New Roman"/>
          <w:b/>
          <w:bCs/>
          <w:i/>
          <w:iCs/>
          <w:sz w:val="24"/>
          <w:szCs w:val="24"/>
        </w:rPr>
        <w:t>Widening the policy agenda</w:t>
      </w:r>
    </w:p>
    <w:p w:rsidR="00CA4669" w:rsidRPr="00E558AE" w:rsidRDefault="3C502593" w:rsidP="00AB4ED6">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The Commission</w:t>
      </w:r>
      <w:r w:rsidR="009C77BA">
        <w:rPr>
          <w:rFonts w:ascii="Times New Roman" w:hAnsi="Times New Roman" w:cs="Times New Roman"/>
          <w:sz w:val="24"/>
          <w:szCs w:val="24"/>
        </w:rPr>
        <w:t xml:space="preserve">, in cooperation with the </w:t>
      </w:r>
      <w:r w:rsidR="007D799E">
        <w:rPr>
          <w:rFonts w:ascii="Times New Roman" w:hAnsi="Times New Roman" w:cs="Times New Roman"/>
          <w:sz w:val="24"/>
          <w:szCs w:val="24"/>
        </w:rPr>
        <w:t xml:space="preserve">High Representative, </w:t>
      </w:r>
      <w:r w:rsidRPr="00E558AE">
        <w:rPr>
          <w:rFonts w:ascii="Times New Roman" w:hAnsi="Times New Roman" w:cs="Times New Roman"/>
          <w:sz w:val="24"/>
          <w:szCs w:val="24"/>
        </w:rPr>
        <w:t xml:space="preserve">will also reflect on how to </w:t>
      </w:r>
      <w:r w:rsidR="00C938DA" w:rsidRPr="00E558AE">
        <w:rPr>
          <w:rFonts w:ascii="Times New Roman" w:hAnsi="Times New Roman" w:cs="Times New Roman"/>
          <w:sz w:val="24"/>
          <w:szCs w:val="24"/>
        </w:rPr>
        <w:t xml:space="preserve">integrate </w:t>
      </w:r>
      <w:r w:rsidR="009238F6" w:rsidRPr="00E558AE">
        <w:rPr>
          <w:rFonts w:ascii="Times New Roman" w:hAnsi="Times New Roman" w:cs="Times New Roman"/>
          <w:sz w:val="24"/>
          <w:szCs w:val="24"/>
        </w:rPr>
        <w:t>wider tax priorities in the EU’s relations with developing countries. Certain policy priorities, while not directly linked to tax good governance, are highly relevant in support</w:t>
      </w:r>
      <w:r w:rsidR="00C938DA" w:rsidRPr="00E558AE">
        <w:rPr>
          <w:rFonts w:ascii="Times New Roman" w:hAnsi="Times New Roman" w:cs="Times New Roman"/>
          <w:sz w:val="24"/>
          <w:szCs w:val="24"/>
        </w:rPr>
        <w:t>ing</w:t>
      </w:r>
      <w:r w:rsidR="009238F6" w:rsidRPr="00E558AE">
        <w:rPr>
          <w:rFonts w:ascii="Times New Roman" w:hAnsi="Times New Roman" w:cs="Times New Roman"/>
          <w:sz w:val="24"/>
          <w:szCs w:val="24"/>
        </w:rPr>
        <w:t xml:space="preserve"> more sustainable, robust and future-proof tax systems in developing countries. This is particularly the case for green taxation, the taxation of the digital economy and possible international corporate tax reforms. </w:t>
      </w:r>
      <w:r w:rsidR="007A4650">
        <w:rPr>
          <w:rFonts w:ascii="Times New Roman" w:hAnsi="Times New Roman" w:cs="Times New Roman"/>
          <w:sz w:val="24"/>
          <w:szCs w:val="24"/>
        </w:rPr>
        <w:t>The</w:t>
      </w:r>
      <w:r w:rsidR="007A4650" w:rsidRPr="007A4650">
        <w:rPr>
          <w:rFonts w:ascii="Times New Roman" w:hAnsi="Times New Roman" w:cs="Times New Roman"/>
          <w:sz w:val="24"/>
          <w:szCs w:val="24"/>
        </w:rPr>
        <w:t xml:space="preserve"> countries</w:t>
      </w:r>
      <w:r w:rsidR="007A4650">
        <w:rPr>
          <w:rFonts w:ascii="Times New Roman" w:hAnsi="Times New Roman" w:cs="Times New Roman"/>
          <w:sz w:val="24"/>
          <w:szCs w:val="24"/>
        </w:rPr>
        <w:t xml:space="preserve"> should be encouraged to proceed</w:t>
      </w:r>
      <w:r w:rsidR="007A4650" w:rsidRPr="007A4650">
        <w:rPr>
          <w:rFonts w:ascii="Times New Roman" w:hAnsi="Times New Roman" w:cs="Times New Roman"/>
          <w:sz w:val="24"/>
          <w:szCs w:val="24"/>
        </w:rPr>
        <w:t xml:space="preserve"> in the sustainable tax shift, which has to be introduced within broader fiscal reform package</w:t>
      </w:r>
      <w:r w:rsidR="006F0951">
        <w:rPr>
          <w:rFonts w:ascii="Times New Roman" w:hAnsi="Times New Roman" w:cs="Times New Roman"/>
          <w:sz w:val="24"/>
          <w:szCs w:val="24"/>
        </w:rPr>
        <w:t>s</w:t>
      </w:r>
      <w:r w:rsidR="007A4650" w:rsidRPr="007A4650">
        <w:rPr>
          <w:rFonts w:ascii="Times New Roman" w:hAnsi="Times New Roman" w:cs="Times New Roman"/>
          <w:sz w:val="24"/>
          <w:szCs w:val="24"/>
        </w:rPr>
        <w:t xml:space="preserve"> to avoid the risk of increasing the </w:t>
      </w:r>
      <w:r w:rsidR="006F0951">
        <w:rPr>
          <w:rFonts w:ascii="Times New Roman" w:hAnsi="Times New Roman" w:cs="Times New Roman"/>
          <w:sz w:val="24"/>
          <w:szCs w:val="24"/>
        </w:rPr>
        <w:t xml:space="preserve">often </w:t>
      </w:r>
      <w:r w:rsidR="007A4650" w:rsidRPr="007A4650">
        <w:rPr>
          <w:rFonts w:ascii="Times New Roman" w:hAnsi="Times New Roman" w:cs="Times New Roman"/>
          <w:sz w:val="24"/>
          <w:szCs w:val="24"/>
        </w:rPr>
        <w:t>already large societal inequalities.</w:t>
      </w:r>
    </w:p>
    <w:p w:rsidR="00D51F3A" w:rsidRPr="00E558AE" w:rsidRDefault="00AB4ED6" w:rsidP="00536099">
      <w:pPr>
        <w:spacing w:line="276" w:lineRule="auto"/>
        <w:jc w:val="both"/>
        <w:rPr>
          <w:rFonts w:ascii="Times New Roman" w:hAnsi="Times New Roman" w:cs="Times New Roman"/>
          <w:sz w:val="24"/>
          <w:szCs w:val="24"/>
        </w:rPr>
      </w:pPr>
      <w:r w:rsidRPr="00E558AE">
        <w:rPr>
          <w:rFonts w:ascii="Times New Roman" w:hAnsi="Times New Roman" w:cs="Times New Roman"/>
          <w:sz w:val="24"/>
          <w:szCs w:val="24"/>
        </w:rPr>
        <w:t>The</w:t>
      </w:r>
      <w:r w:rsidR="009238F6" w:rsidRPr="00E558AE">
        <w:rPr>
          <w:rFonts w:ascii="Times New Roman" w:hAnsi="Times New Roman" w:cs="Times New Roman"/>
          <w:sz w:val="24"/>
          <w:szCs w:val="24"/>
        </w:rPr>
        <w:t xml:space="preserve"> link between </w:t>
      </w:r>
      <w:r w:rsidR="00F63DC6">
        <w:rPr>
          <w:rFonts w:ascii="Times New Roman" w:hAnsi="Times New Roman" w:cs="Times New Roman"/>
          <w:sz w:val="24"/>
          <w:szCs w:val="24"/>
        </w:rPr>
        <w:t xml:space="preserve">trade policies </w:t>
      </w:r>
      <w:r w:rsidR="009238F6" w:rsidRPr="00E558AE">
        <w:rPr>
          <w:rFonts w:ascii="Times New Roman" w:hAnsi="Times New Roman" w:cs="Times New Roman"/>
          <w:sz w:val="24"/>
          <w:szCs w:val="24"/>
        </w:rPr>
        <w:t xml:space="preserve">and </w:t>
      </w:r>
      <w:r w:rsidR="00536099">
        <w:rPr>
          <w:rFonts w:ascii="Times New Roman" w:hAnsi="Times New Roman" w:cs="Times New Roman"/>
          <w:sz w:val="24"/>
          <w:szCs w:val="24"/>
        </w:rPr>
        <w:t xml:space="preserve">revenue priorities in third countries </w:t>
      </w:r>
      <w:r w:rsidR="00CF0F1C">
        <w:rPr>
          <w:rFonts w:ascii="Times New Roman" w:hAnsi="Times New Roman" w:cs="Times New Roman"/>
          <w:sz w:val="24"/>
          <w:szCs w:val="24"/>
        </w:rPr>
        <w:t>and other polic</w:t>
      </w:r>
      <w:r w:rsidR="00A8716C">
        <w:rPr>
          <w:rFonts w:ascii="Times New Roman" w:hAnsi="Times New Roman" w:cs="Times New Roman"/>
          <w:sz w:val="24"/>
          <w:szCs w:val="24"/>
        </w:rPr>
        <w:t>y areas</w:t>
      </w:r>
      <w:r w:rsidR="00CF0F1C">
        <w:rPr>
          <w:rFonts w:ascii="Times New Roman" w:hAnsi="Times New Roman" w:cs="Times New Roman"/>
          <w:sz w:val="24"/>
          <w:szCs w:val="24"/>
        </w:rPr>
        <w:t xml:space="preserve"> </w:t>
      </w:r>
      <w:r w:rsidR="00536099">
        <w:rPr>
          <w:rFonts w:ascii="Times New Roman" w:hAnsi="Times New Roman" w:cs="Times New Roman"/>
          <w:sz w:val="24"/>
          <w:szCs w:val="24"/>
        </w:rPr>
        <w:t xml:space="preserve">also </w:t>
      </w:r>
      <w:r w:rsidR="003844F7">
        <w:rPr>
          <w:rFonts w:ascii="Times New Roman" w:hAnsi="Times New Roman" w:cs="Times New Roman"/>
          <w:sz w:val="24"/>
          <w:szCs w:val="24"/>
        </w:rPr>
        <w:t>requires consideration</w:t>
      </w:r>
      <w:r w:rsidR="00536099">
        <w:rPr>
          <w:rFonts w:ascii="Times New Roman" w:hAnsi="Times New Roman" w:cs="Times New Roman"/>
          <w:sz w:val="24"/>
          <w:szCs w:val="24"/>
        </w:rPr>
        <w:t xml:space="preserve">. For example, developing countries should be supported in identifying alternative sustainable tax revenues, to compensate for decreasing customs </w:t>
      </w:r>
      <w:r w:rsidR="00A0406E">
        <w:rPr>
          <w:rFonts w:ascii="Times New Roman" w:hAnsi="Times New Roman" w:cs="Times New Roman"/>
          <w:sz w:val="24"/>
          <w:szCs w:val="24"/>
        </w:rPr>
        <w:t>revenues, which</w:t>
      </w:r>
      <w:r w:rsidR="00536099">
        <w:rPr>
          <w:rFonts w:ascii="Times New Roman" w:hAnsi="Times New Roman" w:cs="Times New Roman"/>
          <w:sz w:val="24"/>
          <w:szCs w:val="24"/>
        </w:rPr>
        <w:t xml:space="preserve"> may arise due to</w:t>
      </w:r>
      <w:r w:rsidR="002240E6">
        <w:rPr>
          <w:rFonts w:ascii="Times New Roman" w:hAnsi="Times New Roman" w:cs="Times New Roman"/>
          <w:sz w:val="24"/>
          <w:szCs w:val="24"/>
        </w:rPr>
        <w:t xml:space="preserve"> their better integration into regional and international </w:t>
      </w:r>
      <w:r w:rsidR="005710BD">
        <w:rPr>
          <w:rFonts w:ascii="Times New Roman" w:hAnsi="Times New Roman" w:cs="Times New Roman"/>
          <w:sz w:val="24"/>
          <w:szCs w:val="24"/>
        </w:rPr>
        <w:t>economy</w:t>
      </w:r>
      <w:r w:rsidR="002240E6">
        <w:rPr>
          <w:rFonts w:ascii="Times New Roman" w:hAnsi="Times New Roman" w:cs="Times New Roman"/>
          <w:sz w:val="24"/>
          <w:szCs w:val="24"/>
        </w:rPr>
        <w:t xml:space="preserve"> including corresponding</w:t>
      </w:r>
      <w:r w:rsidR="00536099">
        <w:rPr>
          <w:rFonts w:ascii="Times New Roman" w:hAnsi="Times New Roman" w:cs="Times New Roman"/>
          <w:sz w:val="24"/>
          <w:szCs w:val="24"/>
        </w:rPr>
        <w:t xml:space="preserve"> </w:t>
      </w:r>
      <w:r w:rsidR="00846782">
        <w:rPr>
          <w:rFonts w:ascii="Times New Roman" w:hAnsi="Times New Roman" w:cs="Times New Roman"/>
          <w:sz w:val="24"/>
          <w:szCs w:val="24"/>
        </w:rPr>
        <w:t>tariff reductions</w:t>
      </w:r>
      <w:r w:rsidR="00536099">
        <w:rPr>
          <w:rFonts w:ascii="Times New Roman" w:hAnsi="Times New Roman" w:cs="Times New Roman"/>
          <w:sz w:val="24"/>
          <w:szCs w:val="24"/>
        </w:rPr>
        <w:t xml:space="preserve">. </w:t>
      </w:r>
      <w:r w:rsidR="009238F6" w:rsidRPr="00E558AE">
        <w:rPr>
          <w:rFonts w:ascii="Times New Roman" w:hAnsi="Times New Roman" w:cs="Times New Roman"/>
          <w:sz w:val="24"/>
          <w:szCs w:val="24"/>
        </w:rPr>
        <w:t>Th</w:t>
      </w:r>
      <w:r w:rsidR="00DB732D">
        <w:rPr>
          <w:rFonts w:ascii="Times New Roman" w:hAnsi="Times New Roman" w:cs="Times New Roman"/>
          <w:sz w:val="24"/>
          <w:szCs w:val="24"/>
        </w:rPr>
        <w:t>e</w:t>
      </w:r>
      <w:r w:rsidR="009238F6" w:rsidRPr="00E558AE">
        <w:rPr>
          <w:rFonts w:ascii="Times New Roman" w:hAnsi="Times New Roman" w:cs="Times New Roman"/>
          <w:sz w:val="24"/>
          <w:szCs w:val="24"/>
        </w:rPr>
        <w:t xml:space="preserve"> </w:t>
      </w:r>
      <w:r w:rsidR="00DB732D">
        <w:rPr>
          <w:rFonts w:ascii="Times New Roman" w:hAnsi="Times New Roman" w:cs="Times New Roman"/>
          <w:sz w:val="24"/>
          <w:szCs w:val="24"/>
        </w:rPr>
        <w:t xml:space="preserve">EU should </w:t>
      </w:r>
      <w:r w:rsidRPr="00E558AE">
        <w:rPr>
          <w:rFonts w:ascii="Times New Roman" w:hAnsi="Times New Roman" w:cs="Times New Roman"/>
          <w:sz w:val="24"/>
          <w:szCs w:val="24"/>
        </w:rPr>
        <w:t>help</w:t>
      </w:r>
      <w:r w:rsidR="009238F6" w:rsidRPr="00E558AE">
        <w:rPr>
          <w:rFonts w:ascii="Times New Roman" w:hAnsi="Times New Roman" w:cs="Times New Roman"/>
          <w:sz w:val="24"/>
          <w:szCs w:val="24"/>
        </w:rPr>
        <w:t xml:space="preserve"> </w:t>
      </w:r>
      <w:r w:rsidR="002240E6">
        <w:rPr>
          <w:rFonts w:ascii="Times New Roman" w:hAnsi="Times New Roman" w:cs="Times New Roman"/>
          <w:sz w:val="24"/>
          <w:szCs w:val="24"/>
        </w:rPr>
        <w:t xml:space="preserve">those </w:t>
      </w:r>
      <w:r w:rsidR="009238F6" w:rsidRPr="00E558AE">
        <w:rPr>
          <w:rFonts w:ascii="Times New Roman" w:hAnsi="Times New Roman" w:cs="Times New Roman"/>
          <w:sz w:val="24"/>
          <w:szCs w:val="24"/>
        </w:rPr>
        <w:t>developing countries</w:t>
      </w:r>
      <w:r w:rsidR="002240E6">
        <w:rPr>
          <w:rFonts w:ascii="Times New Roman" w:hAnsi="Times New Roman" w:cs="Times New Roman"/>
          <w:sz w:val="24"/>
          <w:szCs w:val="24"/>
        </w:rPr>
        <w:t xml:space="preserve"> that want to reduce barriers for businesses and lower tariffs</w:t>
      </w:r>
      <w:r w:rsidR="009238F6" w:rsidRPr="00E558AE">
        <w:rPr>
          <w:rFonts w:ascii="Times New Roman" w:hAnsi="Times New Roman" w:cs="Times New Roman"/>
          <w:sz w:val="24"/>
          <w:szCs w:val="24"/>
        </w:rPr>
        <w:t xml:space="preserve"> </w:t>
      </w:r>
      <w:r w:rsidR="002240E6">
        <w:rPr>
          <w:rFonts w:ascii="Times New Roman" w:hAnsi="Times New Roman" w:cs="Times New Roman"/>
          <w:sz w:val="24"/>
          <w:szCs w:val="24"/>
        </w:rPr>
        <w:t>by</w:t>
      </w:r>
      <w:r w:rsidRPr="00E558AE">
        <w:rPr>
          <w:rFonts w:ascii="Times New Roman" w:hAnsi="Times New Roman" w:cs="Times New Roman"/>
          <w:sz w:val="24"/>
          <w:szCs w:val="24"/>
        </w:rPr>
        <w:t xml:space="preserve"> identify</w:t>
      </w:r>
      <w:r w:rsidR="002240E6">
        <w:rPr>
          <w:rFonts w:ascii="Times New Roman" w:hAnsi="Times New Roman" w:cs="Times New Roman"/>
          <w:sz w:val="24"/>
          <w:szCs w:val="24"/>
        </w:rPr>
        <w:t>ing</w:t>
      </w:r>
      <w:r w:rsidR="009238F6" w:rsidRPr="00E558AE">
        <w:rPr>
          <w:rFonts w:ascii="Times New Roman" w:hAnsi="Times New Roman" w:cs="Times New Roman"/>
          <w:sz w:val="24"/>
          <w:szCs w:val="24"/>
        </w:rPr>
        <w:t xml:space="preserve"> </w:t>
      </w:r>
      <w:r w:rsidRPr="00E558AE">
        <w:rPr>
          <w:rFonts w:ascii="Times New Roman" w:hAnsi="Times New Roman" w:cs="Times New Roman"/>
          <w:sz w:val="24"/>
          <w:szCs w:val="24"/>
        </w:rPr>
        <w:t xml:space="preserve">alternative </w:t>
      </w:r>
      <w:r w:rsidR="009238F6" w:rsidRPr="00E558AE">
        <w:rPr>
          <w:rFonts w:ascii="Times New Roman" w:hAnsi="Times New Roman" w:cs="Times New Roman"/>
          <w:sz w:val="24"/>
          <w:szCs w:val="24"/>
        </w:rPr>
        <w:t xml:space="preserve">sustainable revenues </w:t>
      </w:r>
      <w:r w:rsidR="002240E6">
        <w:rPr>
          <w:rFonts w:ascii="Times New Roman" w:hAnsi="Times New Roman" w:cs="Times New Roman"/>
          <w:sz w:val="24"/>
          <w:szCs w:val="24"/>
        </w:rPr>
        <w:t>and improving administrative governance in the area of customs and taxation.</w:t>
      </w:r>
      <w:r w:rsidR="00A07A06">
        <w:rPr>
          <w:rFonts w:ascii="Times New Roman" w:hAnsi="Times New Roman" w:cs="Times New Roman"/>
          <w:sz w:val="24"/>
          <w:szCs w:val="24"/>
        </w:rPr>
        <w:t xml:space="preserve"> </w:t>
      </w:r>
      <w:r w:rsidR="001A4248">
        <w:rPr>
          <w:rFonts w:ascii="Times New Roman" w:hAnsi="Times New Roman" w:cs="Times New Roman"/>
          <w:sz w:val="24"/>
          <w:szCs w:val="24"/>
        </w:rPr>
        <w:t>This may include e</w:t>
      </w:r>
      <w:r w:rsidR="001A4248" w:rsidRPr="001A4248">
        <w:rPr>
          <w:rFonts w:ascii="Times New Roman" w:hAnsi="Times New Roman" w:cs="Times New Roman"/>
          <w:sz w:val="24"/>
          <w:szCs w:val="24"/>
        </w:rPr>
        <w:t>nvironmental taxes,</w:t>
      </w:r>
      <w:r w:rsidR="006C5FFF">
        <w:rPr>
          <w:rFonts w:ascii="Times New Roman" w:hAnsi="Times New Roman" w:cs="Times New Roman"/>
          <w:sz w:val="24"/>
          <w:szCs w:val="24"/>
        </w:rPr>
        <w:t xml:space="preserve"> many of which</w:t>
      </w:r>
      <w:r w:rsidR="001A4248" w:rsidRPr="001A4248">
        <w:rPr>
          <w:rFonts w:ascii="Times New Roman" w:hAnsi="Times New Roman" w:cs="Times New Roman"/>
          <w:sz w:val="24"/>
          <w:szCs w:val="24"/>
        </w:rPr>
        <w:t xml:space="preserve"> are </w:t>
      </w:r>
      <w:r w:rsidR="004A6EE2">
        <w:rPr>
          <w:rFonts w:ascii="Times New Roman" w:hAnsi="Times New Roman" w:cs="Times New Roman"/>
          <w:sz w:val="24"/>
          <w:szCs w:val="24"/>
        </w:rPr>
        <w:t xml:space="preserve">in principle </w:t>
      </w:r>
      <w:r w:rsidR="001A4248" w:rsidRPr="001A4248">
        <w:rPr>
          <w:rFonts w:ascii="Times New Roman" w:hAnsi="Times New Roman" w:cs="Times New Roman"/>
          <w:sz w:val="24"/>
          <w:szCs w:val="24"/>
        </w:rPr>
        <w:t>more difficult to evade</w:t>
      </w:r>
      <w:r w:rsidR="004510A7">
        <w:rPr>
          <w:rFonts w:ascii="Times New Roman" w:hAnsi="Times New Roman" w:cs="Times New Roman"/>
          <w:sz w:val="24"/>
          <w:szCs w:val="24"/>
        </w:rPr>
        <w:t xml:space="preserve"> </w:t>
      </w:r>
      <w:r w:rsidR="001A4248" w:rsidRPr="001A4248">
        <w:rPr>
          <w:rFonts w:ascii="Times New Roman" w:hAnsi="Times New Roman" w:cs="Times New Roman"/>
          <w:sz w:val="24"/>
          <w:szCs w:val="24"/>
        </w:rPr>
        <w:t xml:space="preserve">and </w:t>
      </w:r>
      <w:r w:rsidR="004A6EE2">
        <w:rPr>
          <w:rFonts w:ascii="Times New Roman" w:hAnsi="Times New Roman" w:cs="Times New Roman"/>
          <w:sz w:val="24"/>
          <w:szCs w:val="24"/>
        </w:rPr>
        <w:t xml:space="preserve">aim at </w:t>
      </w:r>
      <w:r w:rsidR="001A4248" w:rsidRPr="001A4248">
        <w:rPr>
          <w:rFonts w:ascii="Times New Roman" w:hAnsi="Times New Roman" w:cs="Times New Roman"/>
          <w:sz w:val="24"/>
          <w:szCs w:val="24"/>
        </w:rPr>
        <w:t>support</w:t>
      </w:r>
      <w:r w:rsidR="007D799E">
        <w:rPr>
          <w:rFonts w:ascii="Times New Roman" w:hAnsi="Times New Roman" w:cs="Times New Roman"/>
          <w:sz w:val="24"/>
          <w:szCs w:val="24"/>
        </w:rPr>
        <w:t>ing</w:t>
      </w:r>
      <w:r w:rsidR="001A4248" w:rsidRPr="001A4248">
        <w:rPr>
          <w:rFonts w:ascii="Times New Roman" w:hAnsi="Times New Roman" w:cs="Times New Roman"/>
          <w:sz w:val="24"/>
          <w:szCs w:val="24"/>
        </w:rPr>
        <w:t xml:space="preserve"> sustainable development</w:t>
      </w:r>
      <w:r w:rsidR="001A4248">
        <w:rPr>
          <w:rFonts w:ascii="Times New Roman" w:hAnsi="Times New Roman" w:cs="Times New Roman"/>
          <w:sz w:val="24"/>
          <w:szCs w:val="24"/>
        </w:rPr>
        <w:t>.</w:t>
      </w:r>
      <w:r w:rsidR="007D799E">
        <w:rPr>
          <w:rFonts w:ascii="Times New Roman" w:hAnsi="Times New Roman" w:cs="Times New Roman"/>
          <w:sz w:val="24"/>
          <w:szCs w:val="24"/>
        </w:rPr>
        <w:t xml:space="preserve"> </w:t>
      </w:r>
      <w:r w:rsidR="008D54A9" w:rsidRPr="008D54A9">
        <w:rPr>
          <w:rFonts w:ascii="Times New Roman" w:hAnsi="Times New Roman" w:cs="Times New Roman"/>
          <w:sz w:val="24"/>
          <w:szCs w:val="24"/>
        </w:rPr>
        <w:t xml:space="preserve">The EU has already provided support </w:t>
      </w:r>
      <w:r w:rsidR="004A6EE2">
        <w:rPr>
          <w:rFonts w:ascii="Times New Roman" w:hAnsi="Times New Roman" w:cs="Times New Roman"/>
          <w:sz w:val="24"/>
          <w:szCs w:val="24"/>
        </w:rPr>
        <w:t xml:space="preserve">in these areas </w:t>
      </w:r>
      <w:r w:rsidR="008D54A9" w:rsidRPr="008D54A9">
        <w:rPr>
          <w:rFonts w:ascii="Times New Roman" w:hAnsi="Times New Roman" w:cs="Times New Roman"/>
          <w:sz w:val="24"/>
          <w:szCs w:val="24"/>
        </w:rPr>
        <w:t>and will continue to contribute to countries’ efforts to align the</w:t>
      </w:r>
      <w:r w:rsidR="007D799E">
        <w:rPr>
          <w:rFonts w:ascii="Times New Roman" w:hAnsi="Times New Roman" w:cs="Times New Roman"/>
          <w:sz w:val="24"/>
          <w:szCs w:val="24"/>
        </w:rPr>
        <w:t>ir</w:t>
      </w:r>
      <w:r w:rsidR="008D54A9" w:rsidRPr="008D54A9">
        <w:rPr>
          <w:rFonts w:ascii="Times New Roman" w:hAnsi="Times New Roman" w:cs="Times New Roman"/>
          <w:sz w:val="24"/>
          <w:szCs w:val="24"/>
        </w:rPr>
        <w:t xml:space="preserve"> legal environment to international norms</w:t>
      </w:r>
      <w:r w:rsidR="00355076">
        <w:rPr>
          <w:rFonts w:ascii="Times New Roman" w:hAnsi="Times New Roman" w:cs="Times New Roman"/>
          <w:sz w:val="24"/>
          <w:szCs w:val="24"/>
        </w:rPr>
        <w:t xml:space="preserve"> </w:t>
      </w:r>
      <w:r w:rsidR="008D54A9" w:rsidRPr="008D54A9">
        <w:rPr>
          <w:rFonts w:ascii="Times New Roman" w:hAnsi="Times New Roman" w:cs="Times New Roman"/>
          <w:sz w:val="24"/>
          <w:szCs w:val="24"/>
        </w:rPr>
        <w:t>whe</w:t>
      </w:r>
      <w:r w:rsidR="007D799E">
        <w:rPr>
          <w:rFonts w:ascii="Times New Roman" w:hAnsi="Times New Roman" w:cs="Times New Roman"/>
          <w:sz w:val="24"/>
          <w:szCs w:val="24"/>
        </w:rPr>
        <w:t>re third countries so</w:t>
      </w:r>
      <w:r w:rsidR="008D54A9" w:rsidRPr="008D54A9">
        <w:rPr>
          <w:rFonts w:ascii="Times New Roman" w:hAnsi="Times New Roman" w:cs="Times New Roman"/>
          <w:sz w:val="24"/>
          <w:szCs w:val="24"/>
        </w:rPr>
        <w:t xml:space="preserve"> request and in </w:t>
      </w:r>
      <w:r w:rsidR="007D799E">
        <w:rPr>
          <w:rFonts w:ascii="Times New Roman" w:hAnsi="Times New Roman" w:cs="Times New Roman"/>
          <w:sz w:val="24"/>
          <w:szCs w:val="24"/>
        </w:rPr>
        <w:t>a way</w:t>
      </w:r>
      <w:r w:rsidR="008D54A9" w:rsidRPr="008D54A9">
        <w:rPr>
          <w:rFonts w:ascii="Times New Roman" w:hAnsi="Times New Roman" w:cs="Times New Roman"/>
          <w:sz w:val="24"/>
          <w:szCs w:val="24"/>
        </w:rPr>
        <w:t xml:space="preserve"> that best </w:t>
      </w:r>
      <w:r w:rsidR="007D799E" w:rsidRPr="008D54A9">
        <w:rPr>
          <w:rFonts w:ascii="Times New Roman" w:hAnsi="Times New Roman" w:cs="Times New Roman"/>
          <w:sz w:val="24"/>
          <w:szCs w:val="24"/>
        </w:rPr>
        <w:t xml:space="preserve">suits </w:t>
      </w:r>
      <w:r w:rsidR="008D54A9" w:rsidRPr="008D54A9">
        <w:rPr>
          <w:rFonts w:ascii="Times New Roman" w:hAnsi="Times New Roman" w:cs="Times New Roman"/>
          <w:sz w:val="24"/>
          <w:szCs w:val="24"/>
        </w:rPr>
        <w:t>third countries</w:t>
      </w:r>
      <w:r w:rsidR="007D799E">
        <w:rPr>
          <w:rFonts w:ascii="Times New Roman" w:hAnsi="Times New Roman" w:cs="Times New Roman"/>
          <w:sz w:val="24"/>
          <w:szCs w:val="24"/>
        </w:rPr>
        <w:t>.</w:t>
      </w:r>
    </w:p>
    <w:p w:rsidR="00AB4ED6" w:rsidRDefault="005710BD" w:rsidP="009238F6">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Pr="00472339">
        <w:rPr>
          <w:rFonts w:ascii="Times New Roman" w:hAnsi="Times New Roman" w:cs="Times New Roman"/>
          <w:sz w:val="24"/>
          <w:szCs w:val="24"/>
        </w:rPr>
        <w:t>he Commission will follow up to the proposal for a new Neighbo</w:t>
      </w:r>
      <w:r>
        <w:rPr>
          <w:rFonts w:ascii="Times New Roman" w:hAnsi="Times New Roman" w:cs="Times New Roman"/>
          <w:sz w:val="24"/>
          <w:szCs w:val="24"/>
        </w:rPr>
        <w:t>u</w:t>
      </w:r>
      <w:r w:rsidRPr="00472339">
        <w:rPr>
          <w:rFonts w:ascii="Times New Roman" w:hAnsi="Times New Roman" w:cs="Times New Roman"/>
          <w:sz w:val="24"/>
          <w:szCs w:val="24"/>
        </w:rPr>
        <w:t>rhood, Development and International Cooperation Instrument</w:t>
      </w:r>
      <w:r w:rsidR="007E3870">
        <w:rPr>
          <w:rStyle w:val="FootnoteReference"/>
          <w:rFonts w:ascii="Times New Roman" w:hAnsi="Times New Roman" w:cs="Times New Roman"/>
          <w:sz w:val="24"/>
          <w:szCs w:val="24"/>
        </w:rPr>
        <w:footnoteReference w:id="28"/>
      </w:r>
      <w:r w:rsidRPr="00472339">
        <w:rPr>
          <w:rFonts w:ascii="Times New Roman" w:hAnsi="Times New Roman" w:cs="Times New Roman"/>
          <w:sz w:val="24"/>
          <w:szCs w:val="24"/>
        </w:rPr>
        <w:t xml:space="preserve">, which foresees that </w:t>
      </w:r>
      <w:r w:rsidRPr="00472339">
        <w:rPr>
          <w:rFonts w:ascii="Times New Roman" w:hAnsi="Times New Roman" w:cs="Times New Roman"/>
          <w:i/>
          <w:iCs/>
          <w:sz w:val="24"/>
          <w:szCs w:val="24"/>
        </w:rPr>
        <w:t>“taxes, duties and charges imposed by partner countries may be eligible for financing”</w:t>
      </w:r>
      <w:r>
        <w:rPr>
          <w:rFonts w:ascii="Times New Roman" w:hAnsi="Times New Roman" w:cs="Times New Roman"/>
          <w:sz w:val="24"/>
          <w:szCs w:val="24"/>
        </w:rPr>
        <w:t>.</w:t>
      </w:r>
      <w:r w:rsidRPr="00E558AE">
        <w:rPr>
          <w:rFonts w:ascii="Times New Roman" w:hAnsi="Times New Roman" w:cs="Times New Roman"/>
          <w:sz w:val="24"/>
          <w:szCs w:val="24"/>
        </w:rPr>
        <w:t xml:space="preserve"> </w:t>
      </w:r>
    </w:p>
    <w:p w:rsidR="007E1D71" w:rsidRPr="00E558AE" w:rsidRDefault="007E1D71" w:rsidP="009238F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 holistic and cross-sector policy approach </w:t>
      </w:r>
      <w:r w:rsidR="003844F7">
        <w:rPr>
          <w:rFonts w:ascii="Times New Roman" w:hAnsi="Times New Roman" w:cs="Times New Roman"/>
          <w:sz w:val="24"/>
          <w:szCs w:val="24"/>
        </w:rPr>
        <w:t xml:space="preserve">will be applied in taking forward the abovementioned actions, </w:t>
      </w:r>
      <w:r>
        <w:rPr>
          <w:rFonts w:ascii="Times New Roman" w:hAnsi="Times New Roman" w:cs="Times New Roman"/>
          <w:sz w:val="24"/>
          <w:szCs w:val="24"/>
        </w:rPr>
        <w:t xml:space="preserve">in accordance with the principle of Policy Coherence for Development. </w:t>
      </w:r>
    </w:p>
    <w:p w:rsidR="00AB4ED6" w:rsidRPr="00E558AE" w:rsidRDefault="00746D68" w:rsidP="00700971">
      <w:pPr>
        <w:pStyle w:val="Heading2"/>
      </w:pPr>
      <w:r>
        <w:t xml:space="preserve">6. </w:t>
      </w:r>
      <w:r w:rsidR="00AB4ED6" w:rsidRPr="00E558AE">
        <w:t>CONCLUSION</w:t>
      </w:r>
    </w:p>
    <w:p w:rsidR="00880D2C" w:rsidRPr="004B34FD" w:rsidRDefault="00880D2C" w:rsidP="00880D2C">
      <w:pPr>
        <w:pStyle w:val="Normal1"/>
        <w:spacing w:before="0" w:beforeAutospacing="0" w:after="0" w:afterAutospacing="0" w:line="276" w:lineRule="auto"/>
        <w:jc w:val="both"/>
      </w:pPr>
      <w:r w:rsidRPr="00147418">
        <w:t xml:space="preserve">Fair taxation and tax good governance – within the EU and beyond - remain core objectives of the Commission’s work over the coming years. This Communication responds to demands from the European Parliament, </w:t>
      </w:r>
      <w:r w:rsidR="005F15BE">
        <w:t>Council</w:t>
      </w:r>
      <w:r w:rsidRPr="004B34FD">
        <w:t xml:space="preserve"> and civil society for a review of the EU measures to ensure the proper good governance, fair competition and a level playing field in the Single Market and globally. It also acknowledges the important role that taxation has to play in delivering on </w:t>
      </w:r>
      <w:r w:rsidR="003E5F8E" w:rsidRPr="004B34FD">
        <w:t xml:space="preserve">the implementation of the 2030 Agenda for </w:t>
      </w:r>
      <w:r w:rsidRPr="004B34FD">
        <w:t xml:space="preserve">Sustainable Development. </w:t>
      </w:r>
    </w:p>
    <w:p w:rsidR="00880D2C" w:rsidRPr="004B34FD" w:rsidRDefault="00880D2C" w:rsidP="00880D2C">
      <w:pPr>
        <w:pStyle w:val="Normal1"/>
        <w:spacing w:before="0" w:beforeAutospacing="0" w:after="0" w:afterAutospacing="0" w:line="276" w:lineRule="auto"/>
        <w:jc w:val="both"/>
      </w:pPr>
      <w:r w:rsidRPr="004B34FD">
        <w:t xml:space="preserve"> </w:t>
      </w:r>
    </w:p>
    <w:p w:rsidR="00880D2C" w:rsidRPr="004B34FD" w:rsidRDefault="00880D2C" w:rsidP="00880D2C">
      <w:pPr>
        <w:pStyle w:val="Normal1"/>
        <w:spacing w:before="0" w:beforeAutospacing="0" w:after="0" w:afterAutospacing="0" w:line="276" w:lineRule="auto"/>
        <w:jc w:val="both"/>
      </w:pPr>
      <w:r w:rsidRPr="004B34FD">
        <w:t xml:space="preserve">The measures put forward in this Communication can help to step up the level of fair taxation within the EU and contribute to a fairer tax environment internationally. The Commission calls upon </w:t>
      </w:r>
      <w:r w:rsidR="005F15BE">
        <w:t xml:space="preserve">the </w:t>
      </w:r>
      <w:r w:rsidRPr="00147418">
        <w:t xml:space="preserve">Council to give high political priority </w:t>
      </w:r>
      <w:r w:rsidR="005F15BE">
        <w:t>and to contribute</w:t>
      </w:r>
      <w:r w:rsidRPr="00DC17B8">
        <w:t xml:space="preserve"> </w:t>
      </w:r>
      <w:r w:rsidRPr="004B34FD">
        <w:t xml:space="preserve">to their implementation. </w:t>
      </w:r>
    </w:p>
    <w:p w:rsidR="00070D85" w:rsidRPr="004B34FD" w:rsidRDefault="00070D85" w:rsidP="00880D2C">
      <w:pPr>
        <w:spacing w:line="276" w:lineRule="auto"/>
        <w:jc w:val="both"/>
        <w:rPr>
          <w:rFonts w:ascii="Times New Roman" w:hAnsi="Times New Roman"/>
          <w:sz w:val="24"/>
        </w:rPr>
      </w:pPr>
    </w:p>
    <w:sectPr w:rsidR="00070D85" w:rsidRPr="004B34FD" w:rsidSect="00735DE3">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76077" w16cid:durableId="221DC11C"/>
  <w16cid:commentId w16cid:paraId="33EED4F0" w16cid:durableId="221DC23A"/>
  <w16cid:commentId w16cid:paraId="407C7DFC" w16cid:durableId="221DC11D"/>
  <w16cid:commentId w16cid:paraId="02FA14B4" w16cid:durableId="221DC11E"/>
  <w16cid:commentId w16cid:paraId="6B5EC61C" w16cid:durableId="221DCCA1"/>
  <w16cid:commentId w16cid:paraId="4EF8DCEF" w16cid:durableId="221DC11F"/>
  <w16cid:commentId w16cid:paraId="3607B052" w16cid:durableId="221DC50D"/>
  <w16cid:commentId w16cid:paraId="3FB41353" w16cid:durableId="221DC40F"/>
  <w16cid:commentId w16cid:paraId="3C40A8B9" w16cid:durableId="221DC120"/>
  <w16cid:commentId w16cid:paraId="0165D851" w16cid:durableId="221DC121"/>
  <w16cid:commentId w16cid:paraId="121EEBEB" w16cid:durableId="221DC6B2"/>
  <w16cid:commentId w16cid:paraId="5B68377B" w16cid:durableId="221DD419"/>
  <w16cid:commentId w16cid:paraId="47F62F02" w16cid:durableId="221DC1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917" w:rsidRDefault="00D83917" w:rsidP="00E80FDC">
      <w:pPr>
        <w:spacing w:after="0" w:line="240" w:lineRule="auto"/>
      </w:pPr>
      <w:r>
        <w:separator/>
      </w:r>
    </w:p>
  </w:endnote>
  <w:endnote w:type="continuationSeparator" w:id="0">
    <w:p w:rsidR="00D83917" w:rsidRDefault="00D83917" w:rsidP="00E80FDC">
      <w:pPr>
        <w:spacing w:after="0" w:line="240" w:lineRule="auto"/>
      </w:pPr>
      <w:r>
        <w:continuationSeparator/>
      </w:r>
    </w:p>
  </w:endnote>
  <w:endnote w:type="continuationNotice" w:id="1">
    <w:p w:rsidR="00D83917" w:rsidRDefault="00D839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DengXian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88" w:rsidRPr="00140688" w:rsidRDefault="00140688" w:rsidP="00140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88" w:rsidRPr="00140688" w:rsidRDefault="00140688" w:rsidP="00140688">
    <w:pPr>
      <w:pStyle w:val="FooterCoverPage"/>
      <w:rPr>
        <w:rFonts w:ascii="Arial" w:hAnsi="Arial" w:cs="Arial"/>
        <w:b/>
        <w:sz w:val="48"/>
      </w:rPr>
    </w:pPr>
    <w:r w:rsidRPr="00140688">
      <w:rPr>
        <w:rFonts w:ascii="Arial" w:hAnsi="Arial" w:cs="Arial"/>
        <w:b/>
        <w:sz w:val="48"/>
      </w:rPr>
      <w:t>EN</w:t>
    </w:r>
    <w:r w:rsidRPr="00140688">
      <w:rPr>
        <w:rFonts w:ascii="Arial" w:hAnsi="Arial" w:cs="Arial"/>
        <w:b/>
        <w:sz w:val="48"/>
      </w:rPr>
      <w:tab/>
    </w:r>
    <w:r w:rsidRPr="00140688">
      <w:rPr>
        <w:rFonts w:ascii="Arial" w:hAnsi="Arial" w:cs="Arial"/>
        <w:b/>
        <w:sz w:val="48"/>
      </w:rPr>
      <w:tab/>
    </w:r>
    <w:r w:rsidRPr="00140688">
      <w:tab/>
    </w:r>
    <w:proofErr w:type="spellStart"/>
    <w:r w:rsidRPr="00140688">
      <w:rPr>
        <w:rFonts w:ascii="Arial" w:hAnsi="Arial" w:cs="Arial"/>
        <w:b/>
        <w:sz w:val="48"/>
      </w:rPr>
      <w:t>EN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88" w:rsidRPr="00140688" w:rsidRDefault="00140688" w:rsidP="0014068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100" w:rsidRDefault="001211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896931"/>
      <w:docPartObj>
        <w:docPartGallery w:val="Page Numbers (Bottom of Page)"/>
        <w:docPartUnique/>
      </w:docPartObj>
    </w:sdtPr>
    <w:sdtEndPr>
      <w:rPr>
        <w:noProof/>
      </w:rPr>
    </w:sdtEndPr>
    <w:sdtContent>
      <w:p w:rsidR="00121100" w:rsidRDefault="00121100">
        <w:pPr>
          <w:pStyle w:val="Footer"/>
          <w:jc w:val="center"/>
        </w:pPr>
        <w:r>
          <w:fldChar w:fldCharType="begin"/>
        </w:r>
        <w:r>
          <w:instrText xml:space="preserve"> PAGE   \* MERGEFORMAT </w:instrText>
        </w:r>
        <w:r>
          <w:fldChar w:fldCharType="separate"/>
        </w:r>
        <w:r w:rsidR="00140688">
          <w:rPr>
            <w:noProof/>
          </w:rPr>
          <w:t>14</w:t>
        </w:r>
        <w:r>
          <w:rPr>
            <w:noProof/>
          </w:rPr>
          <w:fldChar w:fldCharType="end"/>
        </w:r>
      </w:p>
    </w:sdtContent>
  </w:sdt>
  <w:p w:rsidR="00121100" w:rsidRDefault="001211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100" w:rsidRDefault="00121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917" w:rsidRDefault="00D83917" w:rsidP="00E80FDC">
      <w:pPr>
        <w:spacing w:after="0" w:line="240" w:lineRule="auto"/>
      </w:pPr>
      <w:r>
        <w:separator/>
      </w:r>
    </w:p>
  </w:footnote>
  <w:footnote w:type="continuationSeparator" w:id="0">
    <w:p w:rsidR="00D83917" w:rsidRDefault="00D83917" w:rsidP="00E80FDC">
      <w:pPr>
        <w:spacing w:after="0" w:line="240" w:lineRule="auto"/>
      </w:pPr>
      <w:r>
        <w:continuationSeparator/>
      </w:r>
    </w:p>
  </w:footnote>
  <w:footnote w:type="continuationNotice" w:id="1">
    <w:p w:rsidR="00D83917" w:rsidRDefault="00D83917">
      <w:pPr>
        <w:spacing w:after="0" w:line="240" w:lineRule="auto"/>
      </w:pPr>
    </w:p>
  </w:footnote>
  <w:footnote w:id="2">
    <w:p w:rsidR="00121100" w:rsidRPr="00326269" w:rsidRDefault="00121100" w:rsidP="00D40014">
      <w:pPr>
        <w:pStyle w:val="FootnoteText"/>
        <w:jc w:val="both"/>
        <w:rPr>
          <w:rFonts w:ascii="Times New Roman" w:hAnsi="Times New Roman" w:cs="Times New Roman"/>
          <w:lang w:val="en-IE"/>
        </w:rPr>
      </w:pPr>
      <w:r w:rsidRPr="00326269">
        <w:rPr>
          <w:rStyle w:val="FootnoteReference"/>
          <w:rFonts w:ascii="Times New Roman" w:hAnsi="Times New Roman" w:cs="Times New Roman"/>
        </w:rPr>
        <w:footnoteRef/>
      </w:r>
      <w:r w:rsidRPr="00326269">
        <w:rPr>
          <w:rFonts w:ascii="Times New Roman" w:hAnsi="Times New Roman" w:cs="Times New Roman"/>
        </w:rPr>
        <w:t xml:space="preserve"> </w:t>
      </w:r>
      <w:proofErr w:type="gramStart"/>
      <w:r w:rsidRPr="00326269">
        <w:rPr>
          <w:rFonts w:ascii="Times New Roman" w:hAnsi="Times New Roman" w:cs="Times New Roman"/>
        </w:rPr>
        <w:t>TAXE committee resolution of 25 November 2015 on tax rulings and other measures similar in nature or effect; TAX2 committee resolution of 6 July 2016 on tax rulings and other measures similar in nature or effect, PANA committee recommendation of 13 December 2017 following the inquiry into money laundering, tax avoidance and tax evasion, TAX3 resolution of 26 March 2019 on financial crimes, tax evasion and tax avoidance</w:t>
      </w:r>
      <w:r w:rsidR="00084496" w:rsidRPr="00326269">
        <w:rPr>
          <w:rFonts w:ascii="Times New Roman" w:hAnsi="Times New Roman" w:cs="Times New Roman"/>
        </w:rPr>
        <w:t>.</w:t>
      </w:r>
      <w:proofErr w:type="gramEnd"/>
      <w:r w:rsidR="00084496" w:rsidRPr="00326269">
        <w:rPr>
          <w:rFonts w:ascii="Times New Roman" w:hAnsi="Times New Roman" w:cs="Times New Roman"/>
        </w:rPr>
        <w:t xml:space="preserve"> </w:t>
      </w:r>
    </w:p>
  </w:footnote>
  <w:footnote w:id="3">
    <w:p w:rsidR="007A6AFA" w:rsidRPr="004B34FD" w:rsidRDefault="007A6AFA">
      <w:pPr>
        <w:pStyle w:val="FootnoteText"/>
        <w:rPr>
          <w:rFonts w:ascii="Times New Roman" w:hAnsi="Times New Roman" w:cs="Times New Roman"/>
        </w:rPr>
      </w:pPr>
      <w:r w:rsidRPr="00326269">
        <w:rPr>
          <w:rStyle w:val="FootnoteReference"/>
          <w:rFonts w:ascii="Times New Roman" w:hAnsi="Times New Roman" w:cs="Times New Roman"/>
        </w:rPr>
        <w:footnoteRef/>
      </w:r>
      <w:r w:rsidRPr="00326269">
        <w:rPr>
          <w:rFonts w:ascii="Times New Roman" w:hAnsi="Times New Roman" w:cs="Times New Roman"/>
        </w:rPr>
        <w:t xml:space="preserve"> </w:t>
      </w:r>
      <w:proofErr w:type="gramStart"/>
      <w:r w:rsidRPr="00326269">
        <w:rPr>
          <w:rFonts w:ascii="Times New Roman" w:hAnsi="Times New Roman" w:cs="Times New Roman"/>
        </w:rPr>
        <w:t>COM(</w:t>
      </w:r>
      <w:proofErr w:type="gramEnd"/>
      <w:r w:rsidRPr="00326269">
        <w:rPr>
          <w:rFonts w:ascii="Times New Roman" w:hAnsi="Times New Roman" w:cs="Times New Roman"/>
        </w:rPr>
        <w:t>2020)456 final.</w:t>
      </w:r>
    </w:p>
  </w:footnote>
  <w:footnote w:id="4">
    <w:p w:rsidR="00121100" w:rsidRPr="00326269" w:rsidRDefault="00121100" w:rsidP="004B34FD">
      <w:pPr>
        <w:pStyle w:val="FootnoteText"/>
        <w:contextualSpacing/>
        <w:jc w:val="both"/>
        <w:rPr>
          <w:rFonts w:ascii="Times New Roman" w:hAnsi="Times New Roman" w:cs="Times New Roman"/>
          <w:lang w:val="en-IE"/>
        </w:rPr>
      </w:pPr>
      <w:r w:rsidRPr="00326269">
        <w:rPr>
          <w:rStyle w:val="FootnoteReference"/>
          <w:rFonts w:ascii="Times New Roman" w:hAnsi="Times New Roman" w:cs="Times New Roman"/>
        </w:rPr>
        <w:footnoteRef/>
      </w:r>
      <w:r w:rsidRPr="00326269">
        <w:rPr>
          <w:rFonts w:ascii="Times New Roman" w:hAnsi="Times New Roman" w:cs="Times New Roman"/>
        </w:rPr>
        <w:t xml:space="preserve"> </w:t>
      </w:r>
      <w:proofErr w:type="gramStart"/>
      <w:r w:rsidRPr="00326269">
        <w:rPr>
          <w:rFonts w:ascii="Times New Roman" w:hAnsi="Times New Roman"/>
        </w:rPr>
        <w:t>COM(</w:t>
      </w:r>
      <w:proofErr w:type="gramEnd"/>
      <w:r w:rsidRPr="00326269">
        <w:rPr>
          <w:rFonts w:ascii="Times New Roman" w:hAnsi="Times New Roman"/>
        </w:rPr>
        <w:t>2016) 24 final</w:t>
      </w:r>
      <w:r w:rsidR="00084496" w:rsidRPr="00326269">
        <w:rPr>
          <w:rFonts w:ascii="Times New Roman" w:hAnsi="Times New Roman"/>
        </w:rPr>
        <w:t xml:space="preserve">. </w:t>
      </w:r>
    </w:p>
  </w:footnote>
  <w:footnote w:id="5">
    <w:p w:rsidR="00121100" w:rsidRPr="00326269" w:rsidRDefault="00121100" w:rsidP="004B34FD">
      <w:pPr>
        <w:pStyle w:val="FootnoteText"/>
        <w:contextualSpacing/>
        <w:rPr>
          <w:rFonts w:ascii="Times New Roman" w:hAnsi="Times New Roman" w:cs="Times New Roman"/>
        </w:rPr>
      </w:pPr>
      <w:r w:rsidRPr="00326269">
        <w:rPr>
          <w:rStyle w:val="FootnoteReference"/>
          <w:rFonts w:ascii="Times New Roman" w:hAnsi="Times New Roman" w:cs="Times New Roman"/>
        </w:rPr>
        <w:footnoteRef/>
      </w:r>
      <w:r w:rsidRPr="00326269">
        <w:rPr>
          <w:rFonts w:ascii="Times New Roman" w:hAnsi="Times New Roman" w:cs="Times New Roman"/>
        </w:rPr>
        <w:t xml:space="preserve"> </w:t>
      </w:r>
      <w:proofErr w:type="gramStart"/>
      <w:r w:rsidR="00F435A3" w:rsidRPr="00326269">
        <w:rPr>
          <w:rFonts w:ascii="Times New Roman" w:hAnsi="Times New Roman" w:cs="Times New Roman"/>
        </w:rPr>
        <w:t>COM(</w:t>
      </w:r>
      <w:proofErr w:type="gramEnd"/>
      <w:r w:rsidR="00F435A3" w:rsidRPr="00326269">
        <w:rPr>
          <w:rFonts w:ascii="Times New Roman" w:hAnsi="Times New Roman" w:cs="Times New Roman"/>
        </w:rPr>
        <w:t>2020) 312 final.</w:t>
      </w:r>
    </w:p>
  </w:footnote>
  <w:footnote w:id="6">
    <w:p w:rsidR="00121100" w:rsidRPr="00326269" w:rsidRDefault="00121100" w:rsidP="004B34FD">
      <w:pPr>
        <w:pStyle w:val="FootnoteText"/>
        <w:contextualSpacing/>
      </w:pPr>
      <w:r w:rsidRPr="00326269">
        <w:rPr>
          <w:rStyle w:val="FootnoteReference"/>
          <w:rFonts w:ascii="Times New Roman" w:hAnsi="Times New Roman" w:cs="Times New Roman"/>
        </w:rPr>
        <w:footnoteRef/>
      </w:r>
      <w:r w:rsidRPr="00326269">
        <w:rPr>
          <w:rFonts w:ascii="Times New Roman" w:hAnsi="Times New Roman" w:cs="Times New Roman"/>
        </w:rPr>
        <w:t xml:space="preserve"> </w:t>
      </w:r>
      <w:proofErr w:type="gramStart"/>
      <w:r w:rsidR="00F435A3" w:rsidRPr="00326269">
        <w:rPr>
          <w:rFonts w:ascii="Times New Roman" w:hAnsi="Times New Roman" w:cs="Times New Roman"/>
        </w:rPr>
        <w:t>COM(</w:t>
      </w:r>
      <w:proofErr w:type="gramEnd"/>
      <w:r w:rsidR="00F435A3" w:rsidRPr="00326269">
        <w:rPr>
          <w:rFonts w:ascii="Times New Roman" w:hAnsi="Times New Roman" w:cs="Times New Roman"/>
        </w:rPr>
        <w:t>2020) 314 final.</w:t>
      </w:r>
    </w:p>
  </w:footnote>
  <w:footnote w:id="7">
    <w:p w:rsidR="00121100" w:rsidRPr="001927DF" w:rsidRDefault="00121100" w:rsidP="004B34FD">
      <w:pPr>
        <w:pStyle w:val="NormalWeb"/>
        <w:shd w:val="clear" w:color="auto" w:fill="FFFFFF"/>
        <w:spacing w:before="0" w:beforeAutospacing="0" w:after="0" w:afterAutospacing="0"/>
        <w:contextualSpacing/>
        <w:rPr>
          <w:rFonts w:eastAsia="Arial Unicode MS" w:cs="Arial Unicode MS"/>
        </w:rPr>
      </w:pPr>
      <w:r w:rsidRPr="00326269">
        <w:rPr>
          <w:rStyle w:val="FootnoteReference"/>
          <w:sz w:val="20"/>
          <w:szCs w:val="20"/>
        </w:rPr>
        <w:footnoteRef/>
      </w:r>
      <w:r w:rsidRPr="00326269">
        <w:rPr>
          <w:sz w:val="20"/>
          <w:szCs w:val="20"/>
        </w:rPr>
        <w:t xml:space="preserve"> </w:t>
      </w:r>
      <w:r w:rsidRPr="00326269">
        <w:rPr>
          <w:rStyle w:val="Aucun"/>
          <w:rFonts w:eastAsia="Arial Unicode MS" w:cs="Arial Unicode MS"/>
          <w:color w:val="000000"/>
          <w:sz w:val="20"/>
          <w:szCs w:val="20"/>
        </w:rPr>
        <w:t>Council Directive 2011/16/EU of 15 February 2011 on administrative co-opera</w:t>
      </w:r>
      <w:proofErr w:type="spellStart"/>
      <w:r w:rsidRPr="00326269">
        <w:rPr>
          <w:rStyle w:val="Aucun"/>
          <w:rFonts w:eastAsia="Arial Unicode MS" w:cs="Arial Unicode MS"/>
          <w:color w:val="000000"/>
          <w:sz w:val="20"/>
          <w:szCs w:val="20"/>
          <w:u w:color="000000"/>
          <w:bdr w:val="nil"/>
          <w:lang w:val="en-US"/>
        </w:rPr>
        <w:t>tion</w:t>
      </w:r>
      <w:proofErr w:type="spellEnd"/>
      <w:r w:rsidRPr="00326269">
        <w:rPr>
          <w:rStyle w:val="Aucun"/>
          <w:rFonts w:eastAsia="Arial Unicode MS" w:cs="Arial Unicode MS"/>
          <w:color w:val="000000"/>
          <w:sz w:val="20"/>
          <w:szCs w:val="20"/>
          <w:u w:color="000000"/>
          <w:bdr w:val="nil"/>
          <w:lang w:val="en-US"/>
        </w:rPr>
        <w:t xml:space="preserve"> in the field of taxation, O</w:t>
      </w:r>
      <w:r w:rsidRPr="00326269">
        <w:rPr>
          <w:rStyle w:val="Aucun"/>
          <w:rFonts w:eastAsia="Arial Unicode MS" w:cs="Arial Unicode MS"/>
          <w:color w:val="000000"/>
          <w:sz w:val="20"/>
          <w:szCs w:val="20"/>
        </w:rPr>
        <w:t>J L 64, 11.3.2011, p. 1</w:t>
      </w:r>
      <w:r w:rsidRPr="00326269">
        <w:rPr>
          <w:rStyle w:val="Aucun"/>
          <w:rFonts w:eastAsia="Arial Unicode MS" w:cs="Arial Unicode MS"/>
          <w:color w:val="000000"/>
          <w:sz w:val="20"/>
          <w:szCs w:val="20"/>
          <w:u w:color="000000"/>
          <w:bdr w:val="nil"/>
          <w:lang w:val="en-US"/>
        </w:rPr>
        <w:t>.</w:t>
      </w:r>
    </w:p>
  </w:footnote>
  <w:footnote w:id="8">
    <w:p w:rsidR="00121100" w:rsidRPr="00D40014" w:rsidRDefault="00121100" w:rsidP="00D40014">
      <w:pPr>
        <w:pStyle w:val="FootnoteText"/>
        <w:jc w:val="both"/>
        <w:rPr>
          <w:rFonts w:ascii="Times New Roman" w:hAnsi="Times New Roman" w:cs="Times New Roman"/>
          <w:lang w:val="en-IE"/>
        </w:rPr>
      </w:pPr>
      <w:r w:rsidRPr="00D40014">
        <w:rPr>
          <w:rStyle w:val="FootnoteReference"/>
          <w:rFonts w:ascii="Times New Roman" w:hAnsi="Times New Roman" w:cs="Times New Roman"/>
        </w:rPr>
        <w:footnoteRef/>
      </w:r>
      <w:r w:rsidRPr="00D40014">
        <w:rPr>
          <w:rFonts w:ascii="Times New Roman" w:hAnsi="Times New Roman" w:cs="Times New Roman"/>
        </w:rPr>
        <w:t xml:space="preserve"> https://www.oecd.org/tax/automatic-exchange/crs-implementation-and-assistance/residence-citizenship-by-investment/</w:t>
      </w:r>
    </w:p>
  </w:footnote>
  <w:footnote w:id="9">
    <w:p w:rsidR="00121100" w:rsidRPr="005403C8" w:rsidRDefault="00121100">
      <w:pPr>
        <w:pStyle w:val="FootnoteText"/>
        <w:rPr>
          <w:rFonts w:ascii="Times New Roman" w:hAnsi="Times New Roman" w:cs="Times New Roman"/>
        </w:rPr>
      </w:pPr>
      <w:r w:rsidRPr="005403C8">
        <w:rPr>
          <w:rStyle w:val="FootnoteReference"/>
          <w:rFonts w:ascii="Times New Roman" w:hAnsi="Times New Roman" w:cs="Times New Roman"/>
        </w:rPr>
        <w:footnoteRef/>
      </w:r>
      <w:r w:rsidRPr="005403C8">
        <w:rPr>
          <w:rFonts w:ascii="Times New Roman" w:hAnsi="Times New Roman" w:cs="Times New Roman"/>
        </w:rPr>
        <w:t xml:space="preserve"> https://data.consilium.europa.eu/doc/document/ST-8603-2020-REV-1/en/pdf</w:t>
      </w:r>
    </w:p>
  </w:footnote>
  <w:footnote w:id="10">
    <w:p w:rsidR="00121100" w:rsidRPr="005403C8" w:rsidRDefault="00121100">
      <w:pPr>
        <w:pStyle w:val="FootnoteText"/>
        <w:rPr>
          <w:rFonts w:ascii="Times New Roman" w:hAnsi="Times New Roman" w:cs="Times New Roman"/>
        </w:rPr>
      </w:pPr>
      <w:r w:rsidRPr="005403C8">
        <w:rPr>
          <w:rStyle w:val="FootnoteReference"/>
          <w:rFonts w:ascii="Times New Roman" w:hAnsi="Times New Roman" w:cs="Times New Roman"/>
        </w:rPr>
        <w:footnoteRef/>
      </w:r>
      <w:r w:rsidRPr="005403C8">
        <w:rPr>
          <w:rFonts w:ascii="Times New Roman" w:hAnsi="Times New Roman" w:cs="Times New Roman"/>
        </w:rPr>
        <w:t xml:space="preserve"> https://ec.europa.eu/info/files/200507-anti-money-laundering-terrorism-financing-action-plan-methodology_en</w:t>
      </w:r>
    </w:p>
  </w:footnote>
  <w:footnote w:id="11">
    <w:p w:rsidR="00F45F7B" w:rsidRPr="00326269" w:rsidRDefault="00121100" w:rsidP="00D40014">
      <w:pPr>
        <w:pStyle w:val="FootnoteText"/>
        <w:jc w:val="both"/>
        <w:rPr>
          <w:rFonts w:ascii="Times New Roman" w:hAnsi="Times New Roman" w:cs="Times New Roman"/>
          <w:lang w:val="en-IE"/>
        </w:rPr>
      </w:pPr>
      <w:r w:rsidRPr="00326269">
        <w:rPr>
          <w:rStyle w:val="FootnoteReference"/>
          <w:rFonts w:ascii="Times New Roman" w:hAnsi="Times New Roman" w:cs="Times New Roman"/>
        </w:rPr>
        <w:footnoteRef/>
      </w:r>
      <w:r w:rsidRPr="00326269">
        <w:rPr>
          <w:rFonts w:ascii="Times New Roman" w:hAnsi="Times New Roman" w:cs="Times New Roman"/>
        </w:rPr>
        <w:t xml:space="preserve"> </w:t>
      </w:r>
      <w:r w:rsidRPr="00326269">
        <w:rPr>
          <w:rFonts w:ascii="Times New Roman" w:hAnsi="Times New Roman" w:cs="Times New Roman"/>
          <w:lang w:val="en-IE"/>
        </w:rPr>
        <w:t>With due regard to the work in this area at international level</w:t>
      </w:r>
      <w:r w:rsidR="00B61C56" w:rsidRPr="00326269">
        <w:rPr>
          <w:rFonts w:ascii="Times New Roman" w:hAnsi="Times New Roman" w:cs="Times New Roman"/>
          <w:lang w:val="en-IE"/>
        </w:rPr>
        <w:t xml:space="preserve">. </w:t>
      </w:r>
      <w:proofErr w:type="gramStart"/>
      <w:r w:rsidR="00B61C56" w:rsidRPr="00326269">
        <w:rPr>
          <w:rFonts w:ascii="Times New Roman" w:hAnsi="Times New Roman" w:cs="Times New Roman"/>
          <w:lang w:val="en-IE"/>
        </w:rPr>
        <w:t>In the context of</w:t>
      </w:r>
      <w:r w:rsidRPr="00326269">
        <w:rPr>
          <w:rFonts w:ascii="Times New Roman" w:hAnsi="Times New Roman" w:cs="Times New Roman"/>
          <w:lang w:val="en-IE"/>
        </w:rPr>
        <w:t xml:space="preserve"> the EU anti-money laundering/counter-terrorism financing listing process</w:t>
      </w:r>
      <w:r w:rsidR="00B61C56" w:rsidRPr="00326269">
        <w:rPr>
          <w:rFonts w:ascii="Times New Roman" w:hAnsi="Times New Roman" w:cs="Times New Roman"/>
          <w:lang w:val="en-IE"/>
        </w:rPr>
        <w:t>, which more broadly focuses on beneficial ownership</w:t>
      </w:r>
      <w:r w:rsidR="00671D9B" w:rsidRPr="00326269">
        <w:rPr>
          <w:rFonts w:ascii="Times New Roman" w:hAnsi="Times New Roman" w:cs="Times New Roman"/>
          <w:lang w:val="en-IE"/>
        </w:rPr>
        <w:t xml:space="preserve"> aspects, </w:t>
      </w:r>
      <w:r w:rsidR="00B61C56" w:rsidRPr="00326269">
        <w:rPr>
          <w:rFonts w:ascii="Times New Roman" w:hAnsi="Times New Roman" w:cs="Times New Roman"/>
          <w:lang w:val="en-IE"/>
        </w:rPr>
        <w:t xml:space="preserve">additional requirements compared to international standards could be introduced, in line with the priorities highlighted by the Commission in the </w:t>
      </w:r>
      <w:r w:rsidR="004510A7" w:rsidRPr="00326269">
        <w:rPr>
          <w:rFonts w:ascii="Times New Roman" w:hAnsi="Times New Roman" w:cs="Times New Roman"/>
          <w:lang w:val="en-IE"/>
        </w:rPr>
        <w:t>Action plan for a comprehensive Union policy on preventing money laundering and terrorism financing</w:t>
      </w:r>
      <w:r w:rsidR="00B61C56" w:rsidRPr="00326269">
        <w:rPr>
          <w:rFonts w:ascii="Times New Roman" w:hAnsi="Times New Roman" w:cs="Times New Roman"/>
          <w:lang w:val="en-IE"/>
        </w:rPr>
        <w:t xml:space="preserve"> (</w:t>
      </w:r>
      <w:r w:rsidR="004510A7" w:rsidRPr="00326269">
        <w:rPr>
          <w:rFonts w:ascii="Times New Roman" w:hAnsi="Times New Roman" w:cs="Times New Roman"/>
          <w:lang w:val="en-IE"/>
        </w:rPr>
        <w:t xml:space="preserve">See: </w:t>
      </w:r>
      <w:hyperlink r:id="rId1" w:history="1">
        <w:r w:rsidR="004510A7" w:rsidRPr="00326269">
          <w:rPr>
            <w:rStyle w:val="Hyperlink"/>
            <w:rFonts w:ascii="Times New Roman" w:hAnsi="Times New Roman" w:cs="Times New Roman"/>
            <w:lang w:val="en-IE"/>
          </w:rPr>
          <w:t>https://ec.europa.eu/finance/docs/law/200507-anti-money-laundering-terrorism-financing-action-plan_en.pdf</w:t>
        </w:r>
      </w:hyperlink>
      <w:r w:rsidR="004510A7" w:rsidRPr="00326269">
        <w:rPr>
          <w:rFonts w:ascii="Times New Roman" w:hAnsi="Times New Roman" w:cs="Times New Roman"/>
          <w:lang w:val="en-IE"/>
        </w:rPr>
        <w:t xml:space="preserve"> </w:t>
      </w:r>
      <w:r w:rsidR="00B61C56" w:rsidRPr="00326269">
        <w:rPr>
          <w:rFonts w:ascii="Times New Roman" w:hAnsi="Times New Roman" w:cs="Times New Roman"/>
          <w:lang w:val="en-IE"/>
        </w:rPr>
        <w:t>).</w:t>
      </w:r>
      <w:proofErr w:type="gramEnd"/>
    </w:p>
  </w:footnote>
  <w:footnote w:id="12">
    <w:p w:rsidR="00121100" w:rsidRPr="00D40014" w:rsidRDefault="00121100" w:rsidP="00CD7131">
      <w:pPr>
        <w:pStyle w:val="FootnoteText"/>
        <w:rPr>
          <w:rFonts w:ascii="Times New Roman" w:hAnsi="Times New Roman" w:cs="Times New Roman"/>
        </w:rPr>
      </w:pPr>
      <w:r w:rsidRPr="00D40014">
        <w:rPr>
          <w:rStyle w:val="FootnoteReference"/>
          <w:rFonts w:ascii="Times New Roman" w:hAnsi="Times New Roman" w:cs="Times New Roman"/>
        </w:rPr>
        <w:footnoteRef/>
      </w:r>
      <w:r w:rsidRPr="00D40014">
        <w:rPr>
          <w:rFonts w:ascii="Times New Roman" w:hAnsi="Times New Roman" w:cs="Times New Roman"/>
        </w:rPr>
        <w:t xml:space="preserve"> </w:t>
      </w:r>
      <w:r w:rsidRPr="00D40014">
        <w:rPr>
          <w:rFonts w:ascii="Times New Roman" w:hAnsi="Times New Roman" w:cs="Times New Roman"/>
          <w:iCs/>
          <w:lang w:val="pt-PT"/>
        </w:rPr>
        <w:t xml:space="preserve">TAXE 3 </w:t>
      </w:r>
      <w:proofErr w:type="spellStart"/>
      <w:r w:rsidRPr="00D40014">
        <w:rPr>
          <w:rFonts w:ascii="Times New Roman" w:hAnsi="Times New Roman" w:cs="Times New Roman"/>
          <w:iCs/>
          <w:lang w:val="pt-PT"/>
        </w:rPr>
        <w:t>report</w:t>
      </w:r>
      <w:proofErr w:type="spellEnd"/>
      <w:r w:rsidRPr="00D40014">
        <w:rPr>
          <w:rFonts w:ascii="Times New Roman" w:hAnsi="Times New Roman" w:cs="Times New Roman"/>
          <w:iCs/>
          <w:lang w:val="pt-PT"/>
        </w:rPr>
        <w:t>, 26/03/2019</w:t>
      </w:r>
    </w:p>
  </w:footnote>
  <w:footnote w:id="13">
    <w:p w:rsidR="001561F1" w:rsidRPr="001561F1" w:rsidRDefault="001561F1" w:rsidP="009149A5">
      <w:pPr>
        <w:pStyle w:val="FootnoteText"/>
        <w:jc w:val="both"/>
      </w:pPr>
      <w:r>
        <w:rPr>
          <w:rStyle w:val="FootnoteReference"/>
        </w:rPr>
        <w:footnoteRef/>
      </w:r>
      <w:r>
        <w:t xml:space="preserve"> </w:t>
      </w:r>
      <w:r w:rsidRPr="000220FA">
        <w:rPr>
          <w:rFonts w:ascii="Times New Roman" w:hAnsi="Times New Roman" w:cs="Times New Roman"/>
          <w:iCs/>
        </w:rPr>
        <w:t xml:space="preserve">These include the current EU Financial Regulation (FR), Regulation (EU) 2017/16013 on a European Fund for Sustainable Development (EFSD), Decision 466/2014/EU on the  </w:t>
      </w:r>
      <w:r w:rsidR="002260AD">
        <w:rPr>
          <w:rFonts w:ascii="Times New Roman" w:hAnsi="Times New Roman" w:cs="Times New Roman"/>
          <w:iCs/>
        </w:rPr>
        <w:t xml:space="preserve">External Lending </w:t>
      </w:r>
      <w:r w:rsidR="00AA5C46">
        <w:rPr>
          <w:rFonts w:ascii="Times New Roman" w:hAnsi="Times New Roman" w:cs="Times New Roman"/>
          <w:iCs/>
        </w:rPr>
        <w:t xml:space="preserve">Mandate </w:t>
      </w:r>
      <w:r w:rsidRPr="000220FA">
        <w:rPr>
          <w:rFonts w:ascii="Times New Roman" w:hAnsi="Times New Roman" w:cs="Times New Roman"/>
          <w:iCs/>
        </w:rPr>
        <w:t xml:space="preserve"> (ELM) and Regulation on a European Fund for Strategic Investments (EU) 2015/10175 (EFSI).</w:t>
      </w:r>
    </w:p>
  </w:footnote>
  <w:footnote w:id="14">
    <w:p w:rsidR="00121100" w:rsidRPr="00344757" w:rsidRDefault="00121100" w:rsidP="00344757">
      <w:pPr>
        <w:pStyle w:val="FootnoteText"/>
        <w:jc w:val="both"/>
        <w:rPr>
          <w:rFonts w:ascii="Times New Roman" w:hAnsi="Times New Roman" w:cs="Times New Roman"/>
        </w:rPr>
      </w:pPr>
      <w:r w:rsidRPr="00344757">
        <w:rPr>
          <w:rStyle w:val="FootnoteReference"/>
          <w:rFonts w:ascii="Times New Roman" w:hAnsi="Times New Roman" w:cs="Times New Roman"/>
        </w:rPr>
        <w:footnoteRef/>
      </w:r>
      <w:r w:rsidRPr="00344757">
        <w:rPr>
          <w:rFonts w:ascii="Times New Roman" w:hAnsi="Times New Roman" w:cs="Times New Roman"/>
        </w:rPr>
        <w:t xml:space="preserve"> </w:t>
      </w:r>
      <w:r w:rsidRPr="00344757">
        <w:rPr>
          <w:rFonts w:ascii="Times New Roman" w:hAnsi="Times New Roman" w:cs="Times New Roman"/>
          <w:iCs/>
        </w:rPr>
        <w:t>Financial Regulation, European Fund for Sustainable Development (EFSD), the European Fund for Strategic Investment (EFSI) and the External Lending Mandate (ELM).</w:t>
      </w:r>
    </w:p>
  </w:footnote>
  <w:footnote w:id="15">
    <w:p w:rsidR="00344757" w:rsidRPr="005403C8" w:rsidRDefault="00344757" w:rsidP="005403C8">
      <w:pPr>
        <w:pStyle w:val="FootnoteText"/>
        <w:jc w:val="both"/>
        <w:rPr>
          <w:rFonts w:ascii="Times New Roman" w:hAnsi="Times New Roman" w:cs="Times New Roman"/>
        </w:rPr>
      </w:pPr>
      <w:r w:rsidRPr="005403C8">
        <w:rPr>
          <w:rStyle w:val="FootnoteReference"/>
          <w:rFonts w:ascii="Times New Roman" w:hAnsi="Times New Roman" w:cs="Times New Roman"/>
        </w:rPr>
        <w:footnoteRef/>
      </w:r>
      <w:r w:rsidRPr="005403C8">
        <w:rPr>
          <w:rFonts w:ascii="Times New Roman" w:hAnsi="Times New Roman" w:cs="Times New Roman"/>
        </w:rPr>
        <w:t xml:space="preserve"> Commission Communication on new requirements against tax avoidance in EU legislation governing in particular financing and investment operations (</w:t>
      </w:r>
      <w:proofErr w:type="gramStart"/>
      <w:r w:rsidRPr="005403C8">
        <w:rPr>
          <w:rFonts w:ascii="Times New Roman" w:hAnsi="Times New Roman" w:cs="Times New Roman"/>
        </w:rPr>
        <w:t>C(</w:t>
      </w:r>
      <w:proofErr w:type="gramEnd"/>
      <w:r w:rsidRPr="005403C8">
        <w:rPr>
          <w:rFonts w:ascii="Times New Roman" w:hAnsi="Times New Roman" w:cs="Times New Roman"/>
        </w:rPr>
        <w:t xml:space="preserve">2018)1756, </w:t>
      </w:r>
      <w:r w:rsidR="004F1FB9">
        <w:rPr>
          <w:rFonts w:ascii="Times New Roman" w:hAnsi="Times New Roman" w:cs="Times New Roman"/>
        </w:rPr>
        <w:t>18.03</w:t>
      </w:r>
      <w:r w:rsidRPr="005403C8">
        <w:rPr>
          <w:rFonts w:ascii="Times New Roman" w:hAnsi="Times New Roman" w:cs="Times New Roman"/>
        </w:rPr>
        <w:t>.2018)</w:t>
      </w:r>
      <w:r w:rsidR="00326269">
        <w:rPr>
          <w:rFonts w:ascii="Times New Roman" w:hAnsi="Times New Roman" w:cs="Times New Roman"/>
        </w:rPr>
        <w:t>.</w:t>
      </w:r>
    </w:p>
  </w:footnote>
  <w:footnote w:id="16">
    <w:p w:rsidR="00121100" w:rsidRPr="005146FA" w:rsidRDefault="00121100" w:rsidP="00344757">
      <w:pPr>
        <w:pStyle w:val="FootnoteText"/>
        <w:jc w:val="both"/>
      </w:pPr>
      <w:r w:rsidRPr="00344757">
        <w:rPr>
          <w:rStyle w:val="FootnoteReference"/>
          <w:rFonts w:ascii="Times New Roman" w:hAnsi="Times New Roman" w:cs="Times New Roman"/>
        </w:rPr>
        <w:footnoteRef/>
      </w:r>
      <w:r w:rsidRPr="00344757">
        <w:rPr>
          <w:rFonts w:ascii="Times New Roman" w:hAnsi="Times New Roman" w:cs="Times New Roman"/>
        </w:rPr>
        <w:t xml:space="preserve"> See </w:t>
      </w:r>
      <w:hyperlink r:id="rId2" w:history="1">
        <w:r w:rsidRPr="00344757">
          <w:rPr>
            <w:rStyle w:val="Hyperlink"/>
            <w:rFonts w:ascii="Times New Roman" w:hAnsi="Times New Roman" w:cs="Times New Roman"/>
          </w:rPr>
          <w:t>Domiciliation of EBRD clients</w:t>
        </w:r>
      </w:hyperlink>
      <w:r w:rsidRPr="00344757">
        <w:rPr>
          <w:rFonts w:ascii="Times New Roman" w:hAnsi="Times New Roman" w:cs="Times New Roman"/>
        </w:rPr>
        <w:t xml:space="preserve"> and </w:t>
      </w:r>
      <w:hyperlink r:id="rId3" w:history="1">
        <w:r w:rsidRPr="00344757">
          <w:rPr>
            <w:rStyle w:val="Hyperlink"/>
            <w:rFonts w:ascii="Times New Roman" w:hAnsi="Times New Roman" w:cs="Times New Roman"/>
          </w:rPr>
          <w:t>EIB Group policy towards weakly regulated, non-transparent and noon-cooperative jurisdictions and tax good governance</w:t>
        </w:r>
      </w:hyperlink>
      <w:r w:rsidRPr="00344757">
        <w:rPr>
          <w:rFonts w:ascii="Times New Roman" w:hAnsi="Times New Roman" w:cs="Times New Roman"/>
        </w:rPr>
        <w:t xml:space="preserve"> (2019)</w:t>
      </w:r>
      <w:r w:rsidR="00B3699A">
        <w:rPr>
          <w:rFonts w:ascii="Times New Roman" w:hAnsi="Times New Roman" w:cs="Times New Roman"/>
        </w:rPr>
        <w:t>.</w:t>
      </w:r>
    </w:p>
  </w:footnote>
  <w:footnote w:id="17">
    <w:p w:rsidR="00DA6CAA" w:rsidRPr="00700971" w:rsidRDefault="00DA6CAA">
      <w:pPr>
        <w:pStyle w:val="FootnoteText"/>
        <w:rPr>
          <w:rFonts w:ascii="Times New Roman" w:hAnsi="Times New Roman" w:cs="Times New Roman"/>
        </w:rPr>
      </w:pPr>
      <w:r w:rsidRPr="00326269">
        <w:rPr>
          <w:rStyle w:val="FootnoteReference"/>
          <w:rFonts w:ascii="Times New Roman" w:hAnsi="Times New Roman" w:cs="Times New Roman"/>
        </w:rPr>
        <w:footnoteRef/>
      </w:r>
      <w:r w:rsidR="009149A5" w:rsidRPr="00326269">
        <w:rPr>
          <w:rFonts w:ascii="Times New Roman" w:hAnsi="Times New Roman" w:cs="Times New Roman"/>
        </w:rPr>
        <w:t xml:space="preserve"> </w:t>
      </w:r>
      <w:proofErr w:type="gramStart"/>
      <w:r w:rsidR="009149A5" w:rsidRPr="00326269">
        <w:rPr>
          <w:rFonts w:ascii="Times New Roman" w:hAnsi="Times New Roman" w:cs="Times New Roman"/>
        </w:rPr>
        <w:t>C(</w:t>
      </w:r>
      <w:proofErr w:type="gramEnd"/>
      <w:r w:rsidR="009149A5" w:rsidRPr="00326269">
        <w:rPr>
          <w:rFonts w:ascii="Times New Roman" w:hAnsi="Times New Roman" w:cs="Times New Roman"/>
        </w:rPr>
        <w:t>2020) 4885 final.</w:t>
      </w:r>
    </w:p>
  </w:footnote>
  <w:footnote w:id="18">
    <w:p w:rsidR="002307CE" w:rsidRPr="005403C8" w:rsidRDefault="002307CE" w:rsidP="00B3699A">
      <w:pPr>
        <w:pStyle w:val="FootnoteText"/>
        <w:jc w:val="both"/>
        <w:rPr>
          <w:rFonts w:ascii="Times New Roman" w:hAnsi="Times New Roman" w:cs="Times New Roman"/>
          <w:lang w:val="en-US"/>
        </w:rPr>
      </w:pPr>
      <w:r w:rsidRPr="005403C8">
        <w:rPr>
          <w:rStyle w:val="FootnoteReference"/>
          <w:rFonts w:ascii="Times New Roman" w:hAnsi="Times New Roman" w:cs="Times New Roman"/>
        </w:rPr>
        <w:footnoteRef/>
      </w:r>
      <w:r w:rsidRPr="005403C8">
        <w:rPr>
          <w:rFonts w:ascii="Times New Roman" w:hAnsi="Times New Roman" w:cs="Times New Roman"/>
        </w:rPr>
        <w:t xml:space="preserve"> See Annex III of the Council conclusions on the EU list of non-cooperative jurisdictions for tax purposes (https://www.consilium.europa.eu/media/31945/st15429en17.pdf)</w:t>
      </w:r>
    </w:p>
  </w:footnote>
  <w:footnote w:id="19">
    <w:p w:rsidR="002307CE" w:rsidRPr="005403C8" w:rsidRDefault="002307CE" w:rsidP="00B3699A">
      <w:pPr>
        <w:pStyle w:val="FootnoteText"/>
        <w:jc w:val="both"/>
        <w:rPr>
          <w:lang w:val="en-US"/>
        </w:rPr>
      </w:pPr>
      <w:r w:rsidRPr="005403C8">
        <w:rPr>
          <w:rStyle w:val="FootnoteReference"/>
          <w:rFonts w:ascii="Times New Roman" w:hAnsi="Times New Roman" w:cs="Times New Roman"/>
        </w:rPr>
        <w:footnoteRef/>
      </w:r>
      <w:r w:rsidRPr="005403C8">
        <w:rPr>
          <w:rFonts w:ascii="Times New Roman" w:hAnsi="Times New Roman" w:cs="Times New Roman"/>
        </w:rPr>
        <w:t xml:space="preserve"> See Annex IV of the Report from the Code of Conduct Group (Business Taxation) to the Council (https://data.consilium.europa.eu/doc/document/ST-14114-2019-INIT/en/pdf)</w:t>
      </w:r>
    </w:p>
  </w:footnote>
  <w:footnote w:id="20">
    <w:p w:rsidR="00121100" w:rsidRPr="00AD4C1E" w:rsidRDefault="00121100" w:rsidP="00C938DA">
      <w:pPr>
        <w:pStyle w:val="FootnoteText"/>
        <w:rPr>
          <w:rFonts w:ascii="Times New Roman" w:hAnsi="Times New Roman" w:cs="Times New Roman"/>
        </w:rPr>
      </w:pPr>
      <w:r w:rsidRPr="00AD4C1E">
        <w:rPr>
          <w:rStyle w:val="FootnoteReference"/>
          <w:rFonts w:ascii="Times New Roman" w:hAnsi="Times New Roman" w:cs="Times New Roman"/>
        </w:rPr>
        <w:footnoteRef/>
      </w:r>
      <w:r w:rsidRPr="00AD4C1E">
        <w:rPr>
          <w:rFonts w:ascii="Times New Roman" w:hAnsi="Times New Roman" w:cs="Times New Roman"/>
        </w:rPr>
        <w:t xml:space="preserve"> According to OECD revenue statistics</w:t>
      </w:r>
    </w:p>
  </w:footnote>
  <w:footnote w:id="21">
    <w:p w:rsidR="00121100" w:rsidRPr="00326269" w:rsidRDefault="00121100" w:rsidP="00BB187D">
      <w:pPr>
        <w:pStyle w:val="FootnoteText"/>
        <w:rPr>
          <w:rFonts w:ascii="Times New Roman" w:hAnsi="Times New Roman" w:cs="Times New Roman"/>
          <w:lang w:val="en-IE"/>
        </w:rPr>
      </w:pPr>
      <w:r w:rsidRPr="00326269">
        <w:rPr>
          <w:rStyle w:val="FootnoteReference"/>
          <w:rFonts w:ascii="Times New Roman" w:hAnsi="Times New Roman" w:cs="Times New Roman"/>
        </w:rPr>
        <w:footnoteRef/>
      </w:r>
      <w:r w:rsidRPr="00326269">
        <w:rPr>
          <w:rFonts w:ascii="Times New Roman" w:hAnsi="Times New Roman" w:cs="Times New Roman"/>
        </w:rPr>
        <w:t xml:space="preserve"> Corporate income tax accounts for 16% of total tax revenues in low and middle-income economies, compared to 8% for developed countries.</w:t>
      </w:r>
    </w:p>
  </w:footnote>
  <w:footnote w:id="22">
    <w:p w:rsidR="00121100" w:rsidRPr="00326269" w:rsidRDefault="00121100">
      <w:pPr>
        <w:pStyle w:val="FootnoteText"/>
        <w:rPr>
          <w:rFonts w:ascii="Times New Roman" w:hAnsi="Times New Roman" w:cs="Times New Roman"/>
        </w:rPr>
      </w:pPr>
      <w:r w:rsidRPr="00326269">
        <w:rPr>
          <w:rStyle w:val="FootnoteReference"/>
          <w:rFonts w:ascii="Times New Roman" w:hAnsi="Times New Roman" w:cs="Times New Roman"/>
        </w:rPr>
        <w:footnoteRef/>
      </w:r>
      <w:r w:rsidRPr="00326269">
        <w:rPr>
          <w:rFonts w:ascii="Times New Roman" w:hAnsi="Times New Roman" w:cs="Times New Roman"/>
        </w:rPr>
        <w:t xml:space="preserve"> </w:t>
      </w:r>
      <w:hyperlink r:id="rId4" w:history="1">
        <w:r w:rsidRPr="00326269">
          <w:rPr>
            <w:rStyle w:val="Hyperlink"/>
            <w:rFonts w:ascii="Times New Roman" w:hAnsi="Times New Roman" w:cs="Times New Roman"/>
          </w:rPr>
          <w:t>https://ec.europa.eu/international-partnerships/system/files/swd-collect-more-spend-better_en.pdf</w:t>
        </w:r>
      </w:hyperlink>
      <w:r w:rsidRPr="00326269">
        <w:rPr>
          <w:rFonts w:ascii="Times New Roman" w:hAnsi="Times New Roman" w:cs="Times New Roman"/>
        </w:rPr>
        <w:t xml:space="preserve">  </w:t>
      </w:r>
    </w:p>
  </w:footnote>
  <w:footnote w:id="23">
    <w:p w:rsidR="00121100" w:rsidRPr="00326269" w:rsidRDefault="00121100" w:rsidP="00590EEC">
      <w:pPr>
        <w:pStyle w:val="FootnoteText"/>
        <w:jc w:val="both"/>
        <w:rPr>
          <w:rFonts w:ascii="Times New Roman" w:hAnsi="Times New Roman" w:cs="Times New Roman"/>
        </w:rPr>
      </w:pPr>
      <w:r w:rsidRPr="00326269">
        <w:rPr>
          <w:rStyle w:val="FootnoteReference"/>
          <w:rFonts w:ascii="Times New Roman" w:hAnsi="Times New Roman" w:cs="Times New Roman"/>
        </w:rPr>
        <w:footnoteRef/>
      </w:r>
      <w:r w:rsidRPr="00326269">
        <w:rPr>
          <w:rFonts w:ascii="Times New Roman" w:hAnsi="Times New Roman" w:cs="Times New Roman"/>
        </w:rPr>
        <w:t xml:space="preserve"> A specific initiative within in the framework of the Addis Ababa Action Agenda, focussed on increasing development assistance for tax capacity and promoting policy coherence for development</w:t>
      </w:r>
      <w:r w:rsidR="0031601C" w:rsidRPr="00326269">
        <w:rPr>
          <w:rFonts w:ascii="Times New Roman" w:hAnsi="Times New Roman" w:cs="Times New Roman"/>
        </w:rPr>
        <w:t>. See: http://www.addistaxinitiative.net</w:t>
      </w:r>
      <w:r w:rsidR="00B3699A" w:rsidRPr="00326269">
        <w:rPr>
          <w:rFonts w:ascii="Times New Roman" w:hAnsi="Times New Roman" w:cs="Times New Roman"/>
        </w:rPr>
        <w:t>/.</w:t>
      </w:r>
    </w:p>
  </w:footnote>
  <w:footnote w:id="24">
    <w:p w:rsidR="00121100" w:rsidRPr="00326269" w:rsidRDefault="00121100">
      <w:pPr>
        <w:pStyle w:val="FootnoteText"/>
        <w:rPr>
          <w:rFonts w:ascii="Times New Roman" w:hAnsi="Times New Roman" w:cs="Times New Roman"/>
        </w:rPr>
      </w:pPr>
      <w:r w:rsidRPr="00326269">
        <w:rPr>
          <w:rStyle w:val="FootnoteReference"/>
          <w:rFonts w:ascii="Times New Roman" w:hAnsi="Times New Roman" w:cs="Times New Roman"/>
        </w:rPr>
        <w:footnoteRef/>
      </w:r>
      <w:r w:rsidRPr="00326269">
        <w:rPr>
          <w:rFonts w:ascii="Times New Roman" w:hAnsi="Times New Roman" w:cs="Times New Roman"/>
        </w:rPr>
        <w:t xml:space="preserve"> Tax Administration Diagnostic Assessment Tool (TADAT)</w:t>
      </w:r>
    </w:p>
  </w:footnote>
  <w:footnote w:id="25">
    <w:p w:rsidR="00121100" w:rsidRPr="00326269" w:rsidRDefault="00121100" w:rsidP="00F14182">
      <w:pPr>
        <w:pStyle w:val="FootnoteText"/>
        <w:rPr>
          <w:rFonts w:ascii="Times New Roman" w:hAnsi="Times New Roman" w:cs="Times New Roman"/>
        </w:rPr>
      </w:pPr>
      <w:r w:rsidRPr="00326269">
        <w:rPr>
          <w:rStyle w:val="FootnoteReference"/>
          <w:rFonts w:ascii="Times New Roman" w:hAnsi="Times New Roman" w:cs="Times New Roman"/>
        </w:rPr>
        <w:footnoteRef/>
      </w:r>
      <w:r w:rsidRPr="00326269">
        <w:rPr>
          <w:rFonts w:ascii="Times New Roman" w:hAnsi="Times New Roman" w:cs="Times New Roman"/>
        </w:rPr>
        <w:t xml:space="preserve"> </w:t>
      </w:r>
      <w:hyperlink r:id="rId5" w:history="1">
        <w:r w:rsidRPr="00326269">
          <w:rPr>
            <w:rStyle w:val="Hyperlink"/>
            <w:rFonts w:ascii="Times New Roman" w:hAnsi="Times New Roman" w:cs="Times New Roman"/>
          </w:rPr>
          <w:t>https://ec.europa.eu/taxation_customs/sites/taxation/files/toolbox_dtas_spill_overs_en.pdf</w:t>
        </w:r>
      </w:hyperlink>
      <w:r w:rsidRPr="00326269">
        <w:rPr>
          <w:rFonts w:ascii="Times New Roman" w:hAnsi="Times New Roman" w:cs="Times New Roman"/>
        </w:rPr>
        <w:t xml:space="preserve">  </w:t>
      </w:r>
    </w:p>
  </w:footnote>
  <w:footnote w:id="26">
    <w:p w:rsidR="00121100" w:rsidRPr="00CD467B" w:rsidRDefault="00121100" w:rsidP="00D51F3A">
      <w:pPr>
        <w:pStyle w:val="FootnoteText"/>
        <w:jc w:val="both"/>
        <w:rPr>
          <w:rFonts w:ascii="Times New Roman" w:hAnsi="Times New Roman" w:cs="Times New Roman"/>
        </w:rPr>
      </w:pPr>
      <w:r w:rsidRPr="00326269">
        <w:rPr>
          <w:rStyle w:val="FootnoteReference"/>
          <w:rFonts w:ascii="Times New Roman" w:hAnsi="Times New Roman" w:cs="Times New Roman"/>
        </w:rPr>
        <w:footnoteRef/>
      </w:r>
      <w:r w:rsidR="00B3699A" w:rsidRPr="00326269">
        <w:rPr>
          <w:rFonts w:ascii="Times New Roman" w:hAnsi="Times New Roman" w:cs="Times New Roman"/>
        </w:rPr>
        <w:t xml:space="preserve"> </w:t>
      </w:r>
      <w:hyperlink r:id="rId6" w:history="1">
        <w:r w:rsidRPr="00326269">
          <w:rPr>
            <w:rStyle w:val="Hyperlink"/>
            <w:rFonts w:ascii="Times New Roman" w:hAnsi="Times New Roman" w:cs="Times New Roman"/>
          </w:rPr>
          <w:t>https://www.un.org/sustainabledevelopment/decade-of-action/</w:t>
        </w:r>
      </w:hyperlink>
      <w:r w:rsidRPr="00AD4C1E">
        <w:rPr>
          <w:rFonts w:ascii="Times New Roman" w:hAnsi="Times New Roman" w:cs="Times New Roman"/>
        </w:rPr>
        <w:t xml:space="preserve">  </w:t>
      </w:r>
    </w:p>
  </w:footnote>
  <w:footnote w:id="27">
    <w:p w:rsidR="006C34E4" w:rsidRPr="008D54A9" w:rsidRDefault="006C34E4" w:rsidP="00B3699A">
      <w:pPr>
        <w:pStyle w:val="FootnoteText"/>
        <w:jc w:val="both"/>
        <w:rPr>
          <w:rFonts w:ascii="Times New Roman" w:hAnsi="Times New Roman" w:cs="Times New Roman"/>
          <w:lang w:val="en-US"/>
        </w:rPr>
      </w:pPr>
      <w:r w:rsidRPr="008D54A9">
        <w:rPr>
          <w:rStyle w:val="FootnoteReference"/>
          <w:rFonts w:ascii="Times New Roman" w:hAnsi="Times New Roman" w:cs="Times New Roman"/>
        </w:rPr>
        <w:footnoteRef/>
      </w:r>
      <w:r w:rsidRPr="008D54A9">
        <w:rPr>
          <w:rFonts w:ascii="Times New Roman" w:hAnsi="Times New Roman" w:cs="Times New Roman"/>
        </w:rPr>
        <w:t xml:space="preserve"> </w:t>
      </w:r>
      <w:r w:rsidRPr="008D54A9">
        <w:rPr>
          <w:rFonts w:ascii="Times New Roman" w:hAnsi="Times New Roman" w:cs="Times New Roman"/>
          <w:lang w:val="en-US"/>
        </w:rPr>
        <w:t>The Commission</w:t>
      </w:r>
      <w:r w:rsidR="00AE3538">
        <w:rPr>
          <w:rFonts w:ascii="Times New Roman" w:hAnsi="Times New Roman" w:cs="Times New Roman"/>
          <w:lang w:val="en-US"/>
        </w:rPr>
        <w:t>, together with</w:t>
      </w:r>
      <w:r w:rsidRPr="008D54A9">
        <w:rPr>
          <w:rFonts w:ascii="Times New Roman" w:hAnsi="Times New Roman" w:cs="Times New Roman"/>
          <w:lang w:val="en-US"/>
        </w:rPr>
        <w:t xml:space="preserve"> several EU Member States and other international donors supports and streamlines the OECD Global Relation and development </w:t>
      </w:r>
      <w:proofErr w:type="spellStart"/>
      <w:r w:rsidRPr="008D54A9">
        <w:rPr>
          <w:rFonts w:ascii="Times New Roman" w:hAnsi="Times New Roman" w:cs="Times New Roman"/>
          <w:lang w:val="en-US"/>
        </w:rPr>
        <w:t>programme</w:t>
      </w:r>
      <w:proofErr w:type="spellEnd"/>
      <w:r w:rsidRPr="008D54A9">
        <w:rPr>
          <w:rFonts w:ascii="Times New Roman" w:hAnsi="Times New Roman" w:cs="Times New Roman"/>
          <w:lang w:val="en-US"/>
        </w:rPr>
        <w:t xml:space="preserve">. See: </w:t>
      </w:r>
      <w:hyperlink r:id="rId7" w:history="1">
        <w:r w:rsidRPr="008D54A9">
          <w:rPr>
            <w:rStyle w:val="Hyperlink"/>
            <w:rFonts w:ascii="Times New Roman" w:hAnsi="Times New Roman" w:cs="Times New Roman"/>
            <w:lang w:val="en-US"/>
          </w:rPr>
          <w:t>https://www.oecd.org/ctp/tax-global/</w:t>
        </w:r>
      </w:hyperlink>
      <w:r w:rsidRPr="008D54A9">
        <w:rPr>
          <w:rFonts w:ascii="Times New Roman" w:hAnsi="Times New Roman" w:cs="Times New Roman"/>
          <w:lang w:val="en-US"/>
        </w:rPr>
        <w:t xml:space="preserve"> </w:t>
      </w:r>
    </w:p>
  </w:footnote>
  <w:footnote w:id="28">
    <w:p w:rsidR="007E3870" w:rsidRPr="004B34FD" w:rsidRDefault="007E3870">
      <w:pPr>
        <w:pStyle w:val="FootnoteText"/>
        <w:rPr>
          <w:rFonts w:ascii="Times New Roman" w:hAnsi="Times New Roman" w:cs="Times New Roman"/>
          <w:lang w:val="en-US"/>
        </w:rPr>
      </w:pPr>
      <w:r w:rsidRPr="004B34FD">
        <w:rPr>
          <w:rStyle w:val="FootnoteReference"/>
          <w:rFonts w:ascii="Times New Roman" w:hAnsi="Times New Roman" w:cs="Times New Roman"/>
        </w:rPr>
        <w:footnoteRef/>
      </w:r>
      <w:r w:rsidRPr="004B34FD">
        <w:rPr>
          <w:rFonts w:ascii="Times New Roman" w:hAnsi="Times New Roman" w:cs="Times New Roman"/>
        </w:rPr>
        <w:t xml:space="preserve"> </w:t>
      </w:r>
      <w:hyperlink r:id="rId8" w:history="1">
        <w:r w:rsidRPr="004B34FD">
          <w:rPr>
            <w:rStyle w:val="Hyperlink"/>
            <w:rFonts w:ascii="Times New Roman" w:hAnsi="Times New Roman" w:cs="Times New Roman"/>
          </w:rPr>
          <w:t>https://eur-lex.europa.eu/legal-content/EN/TXT/?uri=COM%3A2018%3A460%3AFIN</w:t>
        </w:r>
      </w:hyperlink>
      <w:r w:rsidRPr="004B34FD">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88" w:rsidRPr="00140688" w:rsidRDefault="00140688" w:rsidP="00140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88" w:rsidRPr="00140688" w:rsidRDefault="00140688" w:rsidP="0014068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88" w:rsidRPr="00140688" w:rsidRDefault="00140688" w:rsidP="0014068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100" w:rsidRDefault="001211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100" w:rsidRDefault="001211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100" w:rsidRDefault="00121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1742"/>
    <w:multiLevelType w:val="hybridMultilevel"/>
    <w:tmpl w:val="F4DC4A62"/>
    <w:lvl w:ilvl="0" w:tplc="C882D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E34A5"/>
    <w:multiLevelType w:val="hybridMultilevel"/>
    <w:tmpl w:val="BE0A1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B6CE5"/>
    <w:multiLevelType w:val="hybridMultilevel"/>
    <w:tmpl w:val="D6A87120"/>
    <w:lvl w:ilvl="0" w:tplc="C53E6D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21953"/>
    <w:multiLevelType w:val="hybridMultilevel"/>
    <w:tmpl w:val="CA98D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924259"/>
    <w:multiLevelType w:val="hybridMultilevel"/>
    <w:tmpl w:val="363E7170"/>
    <w:lvl w:ilvl="0" w:tplc="424E25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2621C"/>
    <w:multiLevelType w:val="hybridMultilevel"/>
    <w:tmpl w:val="D2023390"/>
    <w:lvl w:ilvl="0" w:tplc="33D61C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DB3D7D"/>
    <w:multiLevelType w:val="hybridMultilevel"/>
    <w:tmpl w:val="6B80913A"/>
    <w:lvl w:ilvl="0" w:tplc="CDB676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6152C"/>
    <w:multiLevelType w:val="hybridMultilevel"/>
    <w:tmpl w:val="C9DA2A04"/>
    <w:lvl w:ilvl="0" w:tplc="68A4F71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1420B8"/>
    <w:multiLevelType w:val="hybridMultilevel"/>
    <w:tmpl w:val="B98A691C"/>
    <w:lvl w:ilvl="0" w:tplc="FA46E2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2A72FF"/>
    <w:multiLevelType w:val="hybridMultilevel"/>
    <w:tmpl w:val="DAE8778C"/>
    <w:lvl w:ilvl="0" w:tplc="44CA70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9F2FF9"/>
    <w:multiLevelType w:val="hybridMultilevel"/>
    <w:tmpl w:val="45E86BE2"/>
    <w:lvl w:ilvl="0" w:tplc="DC32FF4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B3309D"/>
    <w:multiLevelType w:val="hybridMultilevel"/>
    <w:tmpl w:val="55B4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6017E1"/>
    <w:multiLevelType w:val="hybridMultilevel"/>
    <w:tmpl w:val="6B760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3D5C2D"/>
    <w:multiLevelType w:val="hybridMultilevel"/>
    <w:tmpl w:val="E0ACD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6F43F9"/>
    <w:multiLevelType w:val="hybridMultilevel"/>
    <w:tmpl w:val="AA16A1E4"/>
    <w:lvl w:ilvl="0" w:tplc="3266EDE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
  </w:num>
  <w:num w:numId="3">
    <w:abstractNumId w:val="3"/>
  </w:num>
  <w:num w:numId="4">
    <w:abstractNumId w:val="12"/>
  </w:num>
  <w:num w:numId="5">
    <w:abstractNumId w:val="14"/>
  </w:num>
  <w:num w:numId="6">
    <w:abstractNumId w:val="5"/>
  </w:num>
  <w:num w:numId="7">
    <w:abstractNumId w:val="8"/>
  </w:num>
  <w:num w:numId="8">
    <w:abstractNumId w:val="2"/>
  </w:num>
  <w:num w:numId="9">
    <w:abstractNumId w:val="6"/>
  </w:num>
  <w:num w:numId="10">
    <w:abstractNumId w:val="4"/>
  </w:num>
  <w:num w:numId="11">
    <w:abstractNumId w:val="9"/>
  </w:num>
  <w:num w:numId="12">
    <w:abstractNumId w:val="13"/>
  </w:num>
  <w:num w:numId="13">
    <w:abstractNumId w:val="0"/>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C8ED0975-6360-4E3F-A53D-41F8EBB88B9F"/>
    <w:docVar w:name="LW_COVERPAGE_TYPE" w:val="1"/>
    <w:docVar w:name="LW_CROSSREFERENCE" w:val="&lt;UNUSED&gt;"/>
    <w:docVar w:name="LW_DocType" w:val="NORMAL"/>
    <w:docVar w:name="LW_EMISSION" w:val="15.7.2020"/>
    <w:docVar w:name="LW_EMISSION_ISODATE" w:val="2020-07-15"/>
    <w:docVar w:name="LW_EMISSION_LOCATION" w:val="BRX"/>
    <w:docVar w:name="LW_EMISSION_PREFIX" w:val="Brussels, "/>
    <w:docVar w:name="LW_EMISSION_SUFFIX" w:val=" "/>
    <w:docVar w:name="LW_ID_DOCTYPE_NONLW" w:val="CP-012"/>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lt;EMPTY&gt;"/>
    <w:docVar w:name="LW_REF.INST.NEW_TEXT" w:val="(2020) 313 final"/>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n Tax Good Governance in the EU and beyond&lt;/FMT&gt;"/>
    <w:docVar w:name="LW_TYPE.DOC.CP" w:val="COMMUNICATION FROM THE COMMISSION TO THE EUROPEAN PARLIAMENT AND THE COUNCIL"/>
    <w:docVar w:name="LW_TYPE.DOC.CP.USERTEXT" w:val="&lt;EMPTY&gt;"/>
  </w:docVars>
  <w:rsids>
    <w:rsidRoot w:val="002241B6"/>
    <w:rsid w:val="000013D8"/>
    <w:rsid w:val="0000427F"/>
    <w:rsid w:val="00006652"/>
    <w:rsid w:val="00012385"/>
    <w:rsid w:val="00017FDB"/>
    <w:rsid w:val="000220FA"/>
    <w:rsid w:val="00023FC9"/>
    <w:rsid w:val="00024F9F"/>
    <w:rsid w:val="000353EC"/>
    <w:rsid w:val="000454AE"/>
    <w:rsid w:val="00047B33"/>
    <w:rsid w:val="000500DF"/>
    <w:rsid w:val="00056413"/>
    <w:rsid w:val="000603B3"/>
    <w:rsid w:val="00060C54"/>
    <w:rsid w:val="00062F83"/>
    <w:rsid w:val="00070D85"/>
    <w:rsid w:val="00071988"/>
    <w:rsid w:val="00077BBA"/>
    <w:rsid w:val="00084496"/>
    <w:rsid w:val="00084AA1"/>
    <w:rsid w:val="000A4C80"/>
    <w:rsid w:val="000A5BEB"/>
    <w:rsid w:val="000A5D78"/>
    <w:rsid w:val="000A67EC"/>
    <w:rsid w:val="000B3230"/>
    <w:rsid w:val="000B5E0C"/>
    <w:rsid w:val="000B7217"/>
    <w:rsid w:val="000C1739"/>
    <w:rsid w:val="000D11D3"/>
    <w:rsid w:val="000D1D02"/>
    <w:rsid w:val="000D416B"/>
    <w:rsid w:val="000D6E94"/>
    <w:rsid w:val="000D74A9"/>
    <w:rsid w:val="000F3F85"/>
    <w:rsid w:val="00103866"/>
    <w:rsid w:val="00104100"/>
    <w:rsid w:val="00104D92"/>
    <w:rsid w:val="00106C34"/>
    <w:rsid w:val="00107394"/>
    <w:rsid w:val="00107815"/>
    <w:rsid w:val="0011570D"/>
    <w:rsid w:val="00121100"/>
    <w:rsid w:val="001224F5"/>
    <w:rsid w:val="001235A5"/>
    <w:rsid w:val="00127954"/>
    <w:rsid w:val="001343DC"/>
    <w:rsid w:val="00140688"/>
    <w:rsid w:val="00147418"/>
    <w:rsid w:val="00151BEA"/>
    <w:rsid w:val="001561F1"/>
    <w:rsid w:val="00157E40"/>
    <w:rsid w:val="001615AA"/>
    <w:rsid w:val="00161FA0"/>
    <w:rsid w:val="0016253E"/>
    <w:rsid w:val="00166511"/>
    <w:rsid w:val="001734EE"/>
    <w:rsid w:val="00187679"/>
    <w:rsid w:val="0019242D"/>
    <w:rsid w:val="00193B7B"/>
    <w:rsid w:val="00197F91"/>
    <w:rsid w:val="001A09A5"/>
    <w:rsid w:val="001A4248"/>
    <w:rsid w:val="001A5E24"/>
    <w:rsid w:val="001B7804"/>
    <w:rsid w:val="001C00DE"/>
    <w:rsid w:val="001C153B"/>
    <w:rsid w:val="001C16AC"/>
    <w:rsid w:val="001C6B7D"/>
    <w:rsid w:val="001C73B5"/>
    <w:rsid w:val="001D0120"/>
    <w:rsid w:val="001D3AB0"/>
    <w:rsid w:val="001D4DB5"/>
    <w:rsid w:val="001D7BAE"/>
    <w:rsid w:val="001D7DEF"/>
    <w:rsid w:val="001D7EC6"/>
    <w:rsid w:val="001E0843"/>
    <w:rsid w:val="001E0BD4"/>
    <w:rsid w:val="001E22B2"/>
    <w:rsid w:val="001E25B2"/>
    <w:rsid w:val="001E2B04"/>
    <w:rsid w:val="001F2BB8"/>
    <w:rsid w:val="001F46F4"/>
    <w:rsid w:val="00201BAD"/>
    <w:rsid w:val="00204318"/>
    <w:rsid w:val="00211AFE"/>
    <w:rsid w:val="00211C0D"/>
    <w:rsid w:val="00214D5E"/>
    <w:rsid w:val="0022274D"/>
    <w:rsid w:val="002240E6"/>
    <w:rsid w:val="002241B6"/>
    <w:rsid w:val="002241EB"/>
    <w:rsid w:val="00225611"/>
    <w:rsid w:val="002260AD"/>
    <w:rsid w:val="002307CE"/>
    <w:rsid w:val="00230D55"/>
    <w:rsid w:val="00236830"/>
    <w:rsid w:val="002372D7"/>
    <w:rsid w:val="0024670D"/>
    <w:rsid w:val="00246F10"/>
    <w:rsid w:val="0024751F"/>
    <w:rsid w:val="002536F1"/>
    <w:rsid w:val="00260539"/>
    <w:rsid w:val="002755D0"/>
    <w:rsid w:val="002774D8"/>
    <w:rsid w:val="002820B0"/>
    <w:rsid w:val="00282E8A"/>
    <w:rsid w:val="00286779"/>
    <w:rsid w:val="00290B6F"/>
    <w:rsid w:val="00293212"/>
    <w:rsid w:val="002937ED"/>
    <w:rsid w:val="002957F9"/>
    <w:rsid w:val="0029710D"/>
    <w:rsid w:val="002A1EE6"/>
    <w:rsid w:val="002A21C5"/>
    <w:rsid w:val="002A48F0"/>
    <w:rsid w:val="002A6E8F"/>
    <w:rsid w:val="002B4E42"/>
    <w:rsid w:val="002B7BDA"/>
    <w:rsid w:val="002C0B54"/>
    <w:rsid w:val="002C1A62"/>
    <w:rsid w:val="002C4189"/>
    <w:rsid w:val="002C62CA"/>
    <w:rsid w:val="002D01C8"/>
    <w:rsid w:val="002D6381"/>
    <w:rsid w:val="002E3EC8"/>
    <w:rsid w:val="002E421A"/>
    <w:rsid w:val="002E4DF8"/>
    <w:rsid w:val="002E4FC7"/>
    <w:rsid w:val="002E551B"/>
    <w:rsid w:val="002E6908"/>
    <w:rsid w:val="002E6987"/>
    <w:rsid w:val="002F4ADB"/>
    <w:rsid w:val="002F70D5"/>
    <w:rsid w:val="00300AAE"/>
    <w:rsid w:val="003113E4"/>
    <w:rsid w:val="0031325F"/>
    <w:rsid w:val="00313FD4"/>
    <w:rsid w:val="0031475A"/>
    <w:rsid w:val="0031601C"/>
    <w:rsid w:val="0031605C"/>
    <w:rsid w:val="0031669F"/>
    <w:rsid w:val="00316AA6"/>
    <w:rsid w:val="00316FBC"/>
    <w:rsid w:val="00320E34"/>
    <w:rsid w:val="00326269"/>
    <w:rsid w:val="00327F06"/>
    <w:rsid w:val="00333FBF"/>
    <w:rsid w:val="00336143"/>
    <w:rsid w:val="00337910"/>
    <w:rsid w:val="0034396B"/>
    <w:rsid w:val="00344757"/>
    <w:rsid w:val="003511F9"/>
    <w:rsid w:val="00355076"/>
    <w:rsid w:val="00366918"/>
    <w:rsid w:val="00366AE3"/>
    <w:rsid w:val="00372BC0"/>
    <w:rsid w:val="00374BCE"/>
    <w:rsid w:val="003844F7"/>
    <w:rsid w:val="003947DE"/>
    <w:rsid w:val="003961B2"/>
    <w:rsid w:val="00397263"/>
    <w:rsid w:val="003A08C4"/>
    <w:rsid w:val="003A50C3"/>
    <w:rsid w:val="003A7954"/>
    <w:rsid w:val="003B7600"/>
    <w:rsid w:val="003C2F92"/>
    <w:rsid w:val="003C34B6"/>
    <w:rsid w:val="003C5591"/>
    <w:rsid w:val="003D0A47"/>
    <w:rsid w:val="003E1AF8"/>
    <w:rsid w:val="003E2F66"/>
    <w:rsid w:val="003E440F"/>
    <w:rsid w:val="003E5F8E"/>
    <w:rsid w:val="003F6AFE"/>
    <w:rsid w:val="00400F73"/>
    <w:rsid w:val="0040273F"/>
    <w:rsid w:val="00411DBB"/>
    <w:rsid w:val="0041466D"/>
    <w:rsid w:val="00416F70"/>
    <w:rsid w:val="0042063A"/>
    <w:rsid w:val="00420963"/>
    <w:rsid w:val="00420B70"/>
    <w:rsid w:val="004222A9"/>
    <w:rsid w:val="00430698"/>
    <w:rsid w:val="00435CD5"/>
    <w:rsid w:val="00436FC4"/>
    <w:rsid w:val="004400E8"/>
    <w:rsid w:val="004510A7"/>
    <w:rsid w:val="0045658E"/>
    <w:rsid w:val="00457769"/>
    <w:rsid w:val="00465CCE"/>
    <w:rsid w:val="00472339"/>
    <w:rsid w:val="004732EA"/>
    <w:rsid w:val="00477767"/>
    <w:rsid w:val="004821C5"/>
    <w:rsid w:val="00490EE4"/>
    <w:rsid w:val="00492094"/>
    <w:rsid w:val="0049331B"/>
    <w:rsid w:val="00494825"/>
    <w:rsid w:val="00497E40"/>
    <w:rsid w:val="004A4D06"/>
    <w:rsid w:val="004A6EE2"/>
    <w:rsid w:val="004A703E"/>
    <w:rsid w:val="004B01FA"/>
    <w:rsid w:val="004B34FD"/>
    <w:rsid w:val="004B35A1"/>
    <w:rsid w:val="004B571A"/>
    <w:rsid w:val="004E1EDC"/>
    <w:rsid w:val="004E41D4"/>
    <w:rsid w:val="004E67E6"/>
    <w:rsid w:val="004F1F5D"/>
    <w:rsid w:val="004F1FB9"/>
    <w:rsid w:val="004F60D8"/>
    <w:rsid w:val="00502011"/>
    <w:rsid w:val="005146FA"/>
    <w:rsid w:val="00515DEB"/>
    <w:rsid w:val="00516A15"/>
    <w:rsid w:val="00527CD6"/>
    <w:rsid w:val="00536099"/>
    <w:rsid w:val="005403C8"/>
    <w:rsid w:val="00545A75"/>
    <w:rsid w:val="005473CE"/>
    <w:rsid w:val="00547563"/>
    <w:rsid w:val="00551C5B"/>
    <w:rsid w:val="0055242E"/>
    <w:rsid w:val="00552D82"/>
    <w:rsid w:val="005575E1"/>
    <w:rsid w:val="005577C3"/>
    <w:rsid w:val="00561A6D"/>
    <w:rsid w:val="00566DDA"/>
    <w:rsid w:val="00567EA1"/>
    <w:rsid w:val="005710BD"/>
    <w:rsid w:val="0057239C"/>
    <w:rsid w:val="00573D93"/>
    <w:rsid w:val="00574963"/>
    <w:rsid w:val="00590EEC"/>
    <w:rsid w:val="005A0CBD"/>
    <w:rsid w:val="005A6798"/>
    <w:rsid w:val="005B2BAE"/>
    <w:rsid w:val="005B70A5"/>
    <w:rsid w:val="005C005D"/>
    <w:rsid w:val="005C6C9B"/>
    <w:rsid w:val="005D0D9E"/>
    <w:rsid w:val="005D4DB2"/>
    <w:rsid w:val="005D78A5"/>
    <w:rsid w:val="005E383C"/>
    <w:rsid w:val="005F079A"/>
    <w:rsid w:val="005F15BE"/>
    <w:rsid w:val="005F6F8C"/>
    <w:rsid w:val="006072F0"/>
    <w:rsid w:val="00611C13"/>
    <w:rsid w:val="006169FD"/>
    <w:rsid w:val="0061747F"/>
    <w:rsid w:val="0062111E"/>
    <w:rsid w:val="00632CF6"/>
    <w:rsid w:val="00633DBF"/>
    <w:rsid w:val="0063494B"/>
    <w:rsid w:val="00634F6C"/>
    <w:rsid w:val="006412FC"/>
    <w:rsid w:val="00641FAF"/>
    <w:rsid w:val="006427CE"/>
    <w:rsid w:val="006507D8"/>
    <w:rsid w:val="00652A1E"/>
    <w:rsid w:val="00654AC9"/>
    <w:rsid w:val="0065569D"/>
    <w:rsid w:val="00657873"/>
    <w:rsid w:val="00661772"/>
    <w:rsid w:val="00661B87"/>
    <w:rsid w:val="00662FEC"/>
    <w:rsid w:val="00663F5D"/>
    <w:rsid w:val="0066662F"/>
    <w:rsid w:val="0066764C"/>
    <w:rsid w:val="006677BB"/>
    <w:rsid w:val="006709D1"/>
    <w:rsid w:val="00671D74"/>
    <w:rsid w:val="00671D9B"/>
    <w:rsid w:val="0067390A"/>
    <w:rsid w:val="006754F0"/>
    <w:rsid w:val="00680601"/>
    <w:rsid w:val="00687519"/>
    <w:rsid w:val="00691C8E"/>
    <w:rsid w:val="00695B51"/>
    <w:rsid w:val="00697028"/>
    <w:rsid w:val="006A13A4"/>
    <w:rsid w:val="006A2804"/>
    <w:rsid w:val="006A3101"/>
    <w:rsid w:val="006A63F2"/>
    <w:rsid w:val="006A640C"/>
    <w:rsid w:val="006A71F1"/>
    <w:rsid w:val="006B03B3"/>
    <w:rsid w:val="006B0D83"/>
    <w:rsid w:val="006B31BF"/>
    <w:rsid w:val="006B3B9B"/>
    <w:rsid w:val="006B56C9"/>
    <w:rsid w:val="006B68D0"/>
    <w:rsid w:val="006C051B"/>
    <w:rsid w:val="006C1863"/>
    <w:rsid w:val="006C2AC3"/>
    <w:rsid w:val="006C34E4"/>
    <w:rsid w:val="006C513C"/>
    <w:rsid w:val="006C5FFF"/>
    <w:rsid w:val="006D4B19"/>
    <w:rsid w:val="006E1981"/>
    <w:rsid w:val="006E373E"/>
    <w:rsid w:val="006E3C52"/>
    <w:rsid w:val="006F0951"/>
    <w:rsid w:val="006F0E7B"/>
    <w:rsid w:val="006F320D"/>
    <w:rsid w:val="006F4ED6"/>
    <w:rsid w:val="006F5348"/>
    <w:rsid w:val="006F548D"/>
    <w:rsid w:val="006F56FA"/>
    <w:rsid w:val="00700971"/>
    <w:rsid w:val="00703ED9"/>
    <w:rsid w:val="00706E61"/>
    <w:rsid w:val="00711243"/>
    <w:rsid w:val="00712570"/>
    <w:rsid w:val="007132C8"/>
    <w:rsid w:val="00714753"/>
    <w:rsid w:val="00721042"/>
    <w:rsid w:val="00721C55"/>
    <w:rsid w:val="00725458"/>
    <w:rsid w:val="007258D6"/>
    <w:rsid w:val="00730271"/>
    <w:rsid w:val="007305B0"/>
    <w:rsid w:val="0073124E"/>
    <w:rsid w:val="00732D94"/>
    <w:rsid w:val="00735DE3"/>
    <w:rsid w:val="00740AF1"/>
    <w:rsid w:val="0074315F"/>
    <w:rsid w:val="00745E70"/>
    <w:rsid w:val="00746D68"/>
    <w:rsid w:val="00747E09"/>
    <w:rsid w:val="00750D30"/>
    <w:rsid w:val="007529CD"/>
    <w:rsid w:val="00756D86"/>
    <w:rsid w:val="00756F45"/>
    <w:rsid w:val="00757304"/>
    <w:rsid w:val="00761192"/>
    <w:rsid w:val="00761668"/>
    <w:rsid w:val="0077013E"/>
    <w:rsid w:val="00770DCC"/>
    <w:rsid w:val="00777D27"/>
    <w:rsid w:val="00777E6D"/>
    <w:rsid w:val="00777F23"/>
    <w:rsid w:val="00781AAB"/>
    <w:rsid w:val="00785C72"/>
    <w:rsid w:val="00790959"/>
    <w:rsid w:val="007A3894"/>
    <w:rsid w:val="007A3B26"/>
    <w:rsid w:val="007A4650"/>
    <w:rsid w:val="007A4F34"/>
    <w:rsid w:val="007A51D4"/>
    <w:rsid w:val="007A6AFA"/>
    <w:rsid w:val="007B0A9C"/>
    <w:rsid w:val="007B0C08"/>
    <w:rsid w:val="007B11B4"/>
    <w:rsid w:val="007B6E82"/>
    <w:rsid w:val="007C1933"/>
    <w:rsid w:val="007C25D8"/>
    <w:rsid w:val="007C2B84"/>
    <w:rsid w:val="007C7A59"/>
    <w:rsid w:val="007D03E1"/>
    <w:rsid w:val="007D2951"/>
    <w:rsid w:val="007D4C2E"/>
    <w:rsid w:val="007D799E"/>
    <w:rsid w:val="007E1D71"/>
    <w:rsid w:val="007E3870"/>
    <w:rsid w:val="007E5D74"/>
    <w:rsid w:val="007F4CD6"/>
    <w:rsid w:val="00806244"/>
    <w:rsid w:val="008074E7"/>
    <w:rsid w:val="0081602C"/>
    <w:rsid w:val="00822036"/>
    <w:rsid w:val="008254FE"/>
    <w:rsid w:val="00825F4B"/>
    <w:rsid w:val="00831766"/>
    <w:rsid w:val="00834CA4"/>
    <w:rsid w:val="00837C30"/>
    <w:rsid w:val="0084557B"/>
    <w:rsid w:val="00846782"/>
    <w:rsid w:val="008525EC"/>
    <w:rsid w:val="008567F5"/>
    <w:rsid w:val="00857AB2"/>
    <w:rsid w:val="00861632"/>
    <w:rsid w:val="008639EB"/>
    <w:rsid w:val="00864490"/>
    <w:rsid w:val="00865565"/>
    <w:rsid w:val="00867717"/>
    <w:rsid w:val="00873C51"/>
    <w:rsid w:val="00874B6E"/>
    <w:rsid w:val="00877F7B"/>
    <w:rsid w:val="008802A7"/>
    <w:rsid w:val="00880D2C"/>
    <w:rsid w:val="00882C78"/>
    <w:rsid w:val="00883805"/>
    <w:rsid w:val="008910D5"/>
    <w:rsid w:val="00891FB8"/>
    <w:rsid w:val="00893E12"/>
    <w:rsid w:val="00895AD2"/>
    <w:rsid w:val="00895D93"/>
    <w:rsid w:val="008A0372"/>
    <w:rsid w:val="008B228E"/>
    <w:rsid w:val="008B2E3C"/>
    <w:rsid w:val="008B3CD7"/>
    <w:rsid w:val="008B7556"/>
    <w:rsid w:val="008C00B8"/>
    <w:rsid w:val="008C3C60"/>
    <w:rsid w:val="008D0E5C"/>
    <w:rsid w:val="008D54A9"/>
    <w:rsid w:val="008D6ED1"/>
    <w:rsid w:val="008D7577"/>
    <w:rsid w:val="008D7DF8"/>
    <w:rsid w:val="008E42EE"/>
    <w:rsid w:val="008E51B8"/>
    <w:rsid w:val="00900239"/>
    <w:rsid w:val="00901C30"/>
    <w:rsid w:val="009025C5"/>
    <w:rsid w:val="00904C5C"/>
    <w:rsid w:val="009118ED"/>
    <w:rsid w:val="0091238D"/>
    <w:rsid w:val="00912EA3"/>
    <w:rsid w:val="00913DAE"/>
    <w:rsid w:val="009149A5"/>
    <w:rsid w:val="0091662F"/>
    <w:rsid w:val="00921102"/>
    <w:rsid w:val="009238F6"/>
    <w:rsid w:val="00926563"/>
    <w:rsid w:val="00927B4A"/>
    <w:rsid w:val="00927D8F"/>
    <w:rsid w:val="00935366"/>
    <w:rsid w:val="0093701D"/>
    <w:rsid w:val="009375B6"/>
    <w:rsid w:val="00941999"/>
    <w:rsid w:val="00944FA6"/>
    <w:rsid w:val="00944FD2"/>
    <w:rsid w:val="00945D4F"/>
    <w:rsid w:val="00952AB0"/>
    <w:rsid w:val="0095331F"/>
    <w:rsid w:val="00954A9D"/>
    <w:rsid w:val="00956A34"/>
    <w:rsid w:val="00961EE9"/>
    <w:rsid w:val="00970E81"/>
    <w:rsid w:val="00972141"/>
    <w:rsid w:val="00974F6C"/>
    <w:rsid w:val="0097651A"/>
    <w:rsid w:val="009801A1"/>
    <w:rsid w:val="009862F9"/>
    <w:rsid w:val="009865AD"/>
    <w:rsid w:val="009A162C"/>
    <w:rsid w:val="009A2916"/>
    <w:rsid w:val="009A4D45"/>
    <w:rsid w:val="009B01FF"/>
    <w:rsid w:val="009B3973"/>
    <w:rsid w:val="009B4DBF"/>
    <w:rsid w:val="009B6733"/>
    <w:rsid w:val="009C2F65"/>
    <w:rsid w:val="009C7122"/>
    <w:rsid w:val="009C77BA"/>
    <w:rsid w:val="009D1892"/>
    <w:rsid w:val="009D2D05"/>
    <w:rsid w:val="009D5CC3"/>
    <w:rsid w:val="009E52A8"/>
    <w:rsid w:val="009F0BA2"/>
    <w:rsid w:val="009F19CE"/>
    <w:rsid w:val="009F320B"/>
    <w:rsid w:val="00A00AAC"/>
    <w:rsid w:val="00A0263B"/>
    <w:rsid w:val="00A0406E"/>
    <w:rsid w:val="00A07A06"/>
    <w:rsid w:val="00A13CDB"/>
    <w:rsid w:val="00A23EBB"/>
    <w:rsid w:val="00A360B0"/>
    <w:rsid w:val="00A361E0"/>
    <w:rsid w:val="00A437FC"/>
    <w:rsid w:val="00A50A45"/>
    <w:rsid w:val="00A51419"/>
    <w:rsid w:val="00A6365D"/>
    <w:rsid w:val="00A716B2"/>
    <w:rsid w:val="00A73D40"/>
    <w:rsid w:val="00A76112"/>
    <w:rsid w:val="00A8716C"/>
    <w:rsid w:val="00A948AB"/>
    <w:rsid w:val="00AA1F42"/>
    <w:rsid w:val="00AA5C46"/>
    <w:rsid w:val="00AA6061"/>
    <w:rsid w:val="00AB4ED6"/>
    <w:rsid w:val="00AB5855"/>
    <w:rsid w:val="00AB5A43"/>
    <w:rsid w:val="00AC06BC"/>
    <w:rsid w:val="00AC1625"/>
    <w:rsid w:val="00AC17E4"/>
    <w:rsid w:val="00AC59C5"/>
    <w:rsid w:val="00AC5CA0"/>
    <w:rsid w:val="00AC7145"/>
    <w:rsid w:val="00AC71BE"/>
    <w:rsid w:val="00AC75F5"/>
    <w:rsid w:val="00AD14DD"/>
    <w:rsid w:val="00AD2767"/>
    <w:rsid w:val="00AD4C1E"/>
    <w:rsid w:val="00AD671C"/>
    <w:rsid w:val="00AE0A40"/>
    <w:rsid w:val="00AE3149"/>
    <w:rsid w:val="00AE3538"/>
    <w:rsid w:val="00AE6598"/>
    <w:rsid w:val="00AF3027"/>
    <w:rsid w:val="00AF394A"/>
    <w:rsid w:val="00AF4AD8"/>
    <w:rsid w:val="00B017BE"/>
    <w:rsid w:val="00B050DC"/>
    <w:rsid w:val="00B05EFF"/>
    <w:rsid w:val="00B06008"/>
    <w:rsid w:val="00B0769C"/>
    <w:rsid w:val="00B10187"/>
    <w:rsid w:val="00B147F2"/>
    <w:rsid w:val="00B14F42"/>
    <w:rsid w:val="00B21ECE"/>
    <w:rsid w:val="00B27E01"/>
    <w:rsid w:val="00B305F1"/>
    <w:rsid w:val="00B33708"/>
    <w:rsid w:val="00B34AE7"/>
    <w:rsid w:val="00B3699A"/>
    <w:rsid w:val="00B4071D"/>
    <w:rsid w:val="00B43521"/>
    <w:rsid w:val="00B56C74"/>
    <w:rsid w:val="00B61C56"/>
    <w:rsid w:val="00B70B52"/>
    <w:rsid w:val="00B7477C"/>
    <w:rsid w:val="00B757E0"/>
    <w:rsid w:val="00B8136E"/>
    <w:rsid w:val="00B845D8"/>
    <w:rsid w:val="00B848D9"/>
    <w:rsid w:val="00B87134"/>
    <w:rsid w:val="00B93943"/>
    <w:rsid w:val="00B95FF0"/>
    <w:rsid w:val="00B968FA"/>
    <w:rsid w:val="00BA3136"/>
    <w:rsid w:val="00BA503F"/>
    <w:rsid w:val="00BB187D"/>
    <w:rsid w:val="00BB2EC1"/>
    <w:rsid w:val="00BB3BD3"/>
    <w:rsid w:val="00BB48F2"/>
    <w:rsid w:val="00BB6F80"/>
    <w:rsid w:val="00BB7F44"/>
    <w:rsid w:val="00BC3218"/>
    <w:rsid w:val="00BC7F53"/>
    <w:rsid w:val="00BD0F0A"/>
    <w:rsid w:val="00BD4560"/>
    <w:rsid w:val="00BD47E5"/>
    <w:rsid w:val="00BE149F"/>
    <w:rsid w:val="00BE461C"/>
    <w:rsid w:val="00BF7143"/>
    <w:rsid w:val="00BF72D2"/>
    <w:rsid w:val="00C01DF5"/>
    <w:rsid w:val="00C0316A"/>
    <w:rsid w:val="00C0468B"/>
    <w:rsid w:val="00C06188"/>
    <w:rsid w:val="00C070A4"/>
    <w:rsid w:val="00C116F1"/>
    <w:rsid w:val="00C22662"/>
    <w:rsid w:val="00C27B8D"/>
    <w:rsid w:val="00C3141D"/>
    <w:rsid w:val="00C32669"/>
    <w:rsid w:val="00C3585D"/>
    <w:rsid w:val="00C359E7"/>
    <w:rsid w:val="00C40439"/>
    <w:rsid w:val="00C42FB6"/>
    <w:rsid w:val="00C44B7D"/>
    <w:rsid w:val="00C559E5"/>
    <w:rsid w:val="00C572B4"/>
    <w:rsid w:val="00C60DE2"/>
    <w:rsid w:val="00C61981"/>
    <w:rsid w:val="00C63106"/>
    <w:rsid w:val="00C64AAC"/>
    <w:rsid w:val="00C71341"/>
    <w:rsid w:val="00C71B6A"/>
    <w:rsid w:val="00C85F94"/>
    <w:rsid w:val="00C8783D"/>
    <w:rsid w:val="00C87E0A"/>
    <w:rsid w:val="00C90377"/>
    <w:rsid w:val="00C938DA"/>
    <w:rsid w:val="00C93B39"/>
    <w:rsid w:val="00C967D8"/>
    <w:rsid w:val="00C9730A"/>
    <w:rsid w:val="00CA4669"/>
    <w:rsid w:val="00CB7EB3"/>
    <w:rsid w:val="00CC4EA7"/>
    <w:rsid w:val="00CC6123"/>
    <w:rsid w:val="00CD34BA"/>
    <w:rsid w:val="00CD7131"/>
    <w:rsid w:val="00CD765E"/>
    <w:rsid w:val="00CE3312"/>
    <w:rsid w:val="00CE3778"/>
    <w:rsid w:val="00CE3F0A"/>
    <w:rsid w:val="00CE4B99"/>
    <w:rsid w:val="00CE5C20"/>
    <w:rsid w:val="00CF0F1C"/>
    <w:rsid w:val="00CF20CB"/>
    <w:rsid w:val="00CF4477"/>
    <w:rsid w:val="00CF7C1C"/>
    <w:rsid w:val="00D02220"/>
    <w:rsid w:val="00D02F5B"/>
    <w:rsid w:val="00D05264"/>
    <w:rsid w:val="00D05B5F"/>
    <w:rsid w:val="00D06083"/>
    <w:rsid w:val="00D07CE6"/>
    <w:rsid w:val="00D11D6A"/>
    <w:rsid w:val="00D12C99"/>
    <w:rsid w:val="00D153CC"/>
    <w:rsid w:val="00D16630"/>
    <w:rsid w:val="00D27190"/>
    <w:rsid w:val="00D37F6A"/>
    <w:rsid w:val="00D40014"/>
    <w:rsid w:val="00D40CBB"/>
    <w:rsid w:val="00D478DA"/>
    <w:rsid w:val="00D51F3A"/>
    <w:rsid w:val="00D55C35"/>
    <w:rsid w:val="00D616FA"/>
    <w:rsid w:val="00D70226"/>
    <w:rsid w:val="00D72180"/>
    <w:rsid w:val="00D760DB"/>
    <w:rsid w:val="00D813A4"/>
    <w:rsid w:val="00D83917"/>
    <w:rsid w:val="00D864CD"/>
    <w:rsid w:val="00D93D8B"/>
    <w:rsid w:val="00D94275"/>
    <w:rsid w:val="00DA06D9"/>
    <w:rsid w:val="00DA0708"/>
    <w:rsid w:val="00DA117A"/>
    <w:rsid w:val="00DA3D73"/>
    <w:rsid w:val="00DA6CAA"/>
    <w:rsid w:val="00DA7DDE"/>
    <w:rsid w:val="00DB017F"/>
    <w:rsid w:val="00DB05E0"/>
    <w:rsid w:val="00DB6CB5"/>
    <w:rsid w:val="00DB732D"/>
    <w:rsid w:val="00DC0175"/>
    <w:rsid w:val="00DC17B8"/>
    <w:rsid w:val="00DC2274"/>
    <w:rsid w:val="00DC3F2D"/>
    <w:rsid w:val="00DC507C"/>
    <w:rsid w:val="00DE01A9"/>
    <w:rsid w:val="00DE1587"/>
    <w:rsid w:val="00DE2DF5"/>
    <w:rsid w:val="00DE64D2"/>
    <w:rsid w:val="00DE7BD4"/>
    <w:rsid w:val="00DF66C8"/>
    <w:rsid w:val="00E0108A"/>
    <w:rsid w:val="00E1416A"/>
    <w:rsid w:val="00E20C14"/>
    <w:rsid w:val="00E32235"/>
    <w:rsid w:val="00E3626B"/>
    <w:rsid w:val="00E37EE7"/>
    <w:rsid w:val="00E42927"/>
    <w:rsid w:val="00E4342D"/>
    <w:rsid w:val="00E50720"/>
    <w:rsid w:val="00E558AE"/>
    <w:rsid w:val="00E56D99"/>
    <w:rsid w:val="00E64F4B"/>
    <w:rsid w:val="00E651DC"/>
    <w:rsid w:val="00E6641E"/>
    <w:rsid w:val="00E7612C"/>
    <w:rsid w:val="00E76199"/>
    <w:rsid w:val="00E80FDC"/>
    <w:rsid w:val="00E82FB1"/>
    <w:rsid w:val="00E86161"/>
    <w:rsid w:val="00E86C93"/>
    <w:rsid w:val="00E96B61"/>
    <w:rsid w:val="00E9791C"/>
    <w:rsid w:val="00EA7374"/>
    <w:rsid w:val="00EB65F3"/>
    <w:rsid w:val="00EC0FD0"/>
    <w:rsid w:val="00EC6916"/>
    <w:rsid w:val="00ED1410"/>
    <w:rsid w:val="00ED4DAF"/>
    <w:rsid w:val="00ED5376"/>
    <w:rsid w:val="00ED60EA"/>
    <w:rsid w:val="00EE1FEA"/>
    <w:rsid w:val="00EE202F"/>
    <w:rsid w:val="00EF0A1D"/>
    <w:rsid w:val="00EF12BB"/>
    <w:rsid w:val="00EF3D16"/>
    <w:rsid w:val="00EF64FE"/>
    <w:rsid w:val="00F0322B"/>
    <w:rsid w:val="00F067DB"/>
    <w:rsid w:val="00F075FB"/>
    <w:rsid w:val="00F10897"/>
    <w:rsid w:val="00F13B1C"/>
    <w:rsid w:val="00F13CAE"/>
    <w:rsid w:val="00F14182"/>
    <w:rsid w:val="00F16187"/>
    <w:rsid w:val="00F2215D"/>
    <w:rsid w:val="00F2316B"/>
    <w:rsid w:val="00F2350D"/>
    <w:rsid w:val="00F26A47"/>
    <w:rsid w:val="00F26B91"/>
    <w:rsid w:val="00F27524"/>
    <w:rsid w:val="00F2791E"/>
    <w:rsid w:val="00F33C23"/>
    <w:rsid w:val="00F37522"/>
    <w:rsid w:val="00F4021B"/>
    <w:rsid w:val="00F40268"/>
    <w:rsid w:val="00F4052B"/>
    <w:rsid w:val="00F435A3"/>
    <w:rsid w:val="00F45F7B"/>
    <w:rsid w:val="00F5055C"/>
    <w:rsid w:val="00F52984"/>
    <w:rsid w:val="00F60032"/>
    <w:rsid w:val="00F607F6"/>
    <w:rsid w:val="00F625FC"/>
    <w:rsid w:val="00F63DC6"/>
    <w:rsid w:val="00F709B2"/>
    <w:rsid w:val="00F71E2F"/>
    <w:rsid w:val="00F81440"/>
    <w:rsid w:val="00F86167"/>
    <w:rsid w:val="00F87283"/>
    <w:rsid w:val="00F879D1"/>
    <w:rsid w:val="00F915CB"/>
    <w:rsid w:val="00F95127"/>
    <w:rsid w:val="00FA1DD2"/>
    <w:rsid w:val="00FA3A96"/>
    <w:rsid w:val="00FA6730"/>
    <w:rsid w:val="00FB5B56"/>
    <w:rsid w:val="00FC2991"/>
    <w:rsid w:val="00FC2DDF"/>
    <w:rsid w:val="00FD0BF0"/>
    <w:rsid w:val="00FD2F69"/>
    <w:rsid w:val="00FD5007"/>
    <w:rsid w:val="00FE1A92"/>
    <w:rsid w:val="00FE36B3"/>
    <w:rsid w:val="00FE7ED5"/>
    <w:rsid w:val="00FF058D"/>
    <w:rsid w:val="00FF0A36"/>
    <w:rsid w:val="00FF371A"/>
    <w:rsid w:val="3C502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BA70F637-518C-42AB-AB85-88F646A0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qFormat/>
    <w:rsid w:val="00F37522"/>
    <w:pPr>
      <w:keepNext/>
      <w:spacing w:after="0" w:line="240" w:lineRule="auto"/>
      <w:jc w:val="both"/>
      <w:outlineLvl w:val="0"/>
    </w:pPr>
    <w:rPr>
      <w:rFonts w:ascii="Times New Roman" w:eastAsia="SimSun" w:hAnsi="Times New Roman" w:cs="Times New Roman"/>
      <w:b/>
      <w:szCs w:val="20"/>
      <w:lang w:val="en-US"/>
    </w:rPr>
  </w:style>
  <w:style w:type="paragraph" w:styleId="Heading2">
    <w:name w:val="heading 2"/>
    <w:basedOn w:val="Normal"/>
    <w:next w:val="Normal"/>
    <w:link w:val="Heading2Char"/>
    <w:uiPriority w:val="9"/>
    <w:unhideWhenUsed/>
    <w:qFormat/>
    <w:rsid w:val="00746D68"/>
    <w:pPr>
      <w:keepNext/>
      <w:spacing w:line="276" w:lineRule="auto"/>
      <w:jc w:val="both"/>
      <w:outlineLvl w:val="1"/>
    </w:pPr>
    <w:rPr>
      <w:rFonts w:ascii="Times New Roman" w:hAnsi="Times New Roman" w:cs="Times New Roman"/>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DF8"/>
    <w:pPr>
      <w:ind w:left="720"/>
      <w:contextualSpacing/>
    </w:pPr>
  </w:style>
  <w:style w:type="paragraph" w:customStyle="1" w:styleId="FootnoteText1">
    <w:name w:val="Footnote Text1"/>
    <w:basedOn w:val="Normal"/>
    <w:next w:val="FootnoteText"/>
    <w:link w:val="FootnoteTextChar"/>
    <w:uiPriority w:val="99"/>
    <w:semiHidden/>
    <w:unhideWhenUsed/>
    <w:rsid w:val="00E80FDC"/>
    <w:pPr>
      <w:spacing w:after="0" w:line="240" w:lineRule="auto"/>
    </w:pPr>
    <w:rPr>
      <w:sz w:val="20"/>
      <w:szCs w:val="20"/>
    </w:rPr>
  </w:style>
  <w:style w:type="character" w:customStyle="1" w:styleId="FootnoteTextChar">
    <w:name w:val="Footnote Text Char"/>
    <w:aliases w:val="Footnote Text Char3 Char,Footnote Text Char1 Char1 Char,Footnote Text Char2 Char Char Char,Footnote Text Char1 Char1 Char Char Char,Footnote Text Char2 Char Char Char Char Char,Footnote Text Char1 Char1 Char Char Char Char Char,f Char"/>
    <w:basedOn w:val="DefaultParagraphFont"/>
    <w:link w:val="FootnoteText1"/>
    <w:uiPriority w:val="99"/>
    <w:rsid w:val="00E80FDC"/>
    <w:rPr>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basedOn w:val="DefaultParagraphFont"/>
    <w:link w:val="ftrefCharCharCharCharCharCharCharCharChar"/>
    <w:uiPriority w:val="99"/>
    <w:unhideWhenUsed/>
    <w:qFormat/>
    <w:rsid w:val="00E80FDC"/>
    <w:rPr>
      <w:vertAlign w:val="superscript"/>
    </w:rPr>
  </w:style>
  <w:style w:type="paragraph" w:styleId="FootnoteText">
    <w:name w:val="footnote text"/>
    <w:aliases w:val="Footnote Text Char3,Footnote Text Char1 Char1,Footnote Text Char2 Char Char,Footnote Text Char1 Char1 Char Char,Footnote Text Char2 Char Char Char Char,Footnote Text Char1 Char1 Char Char Char Char,Footnote Text Char2,f,Schriftart: 9 pt,fn"/>
    <w:basedOn w:val="Normal"/>
    <w:link w:val="FootnoteTextChar1"/>
    <w:uiPriority w:val="99"/>
    <w:unhideWhenUsed/>
    <w:rsid w:val="00E80FDC"/>
    <w:pPr>
      <w:spacing w:after="0" w:line="240" w:lineRule="auto"/>
    </w:pPr>
    <w:rPr>
      <w:sz w:val="20"/>
      <w:szCs w:val="20"/>
    </w:rPr>
  </w:style>
  <w:style w:type="character" w:customStyle="1" w:styleId="FootnoteTextChar1">
    <w:name w:val="Footnote Text Char1"/>
    <w:aliases w:val="Footnote Text Char3 Char1,Footnote Text Char1 Char1 Char1,Footnote Text Char2 Char Char Char1,Footnote Text Char1 Char1 Char Char Char1,Footnote Text Char2 Char Char Char Char Char1,Footnote Text Char1 Char1 Char Char Char Char Char1"/>
    <w:basedOn w:val="DefaultParagraphFont"/>
    <w:link w:val="FootnoteText"/>
    <w:uiPriority w:val="99"/>
    <w:semiHidden/>
    <w:rsid w:val="00E80FDC"/>
    <w:rPr>
      <w:sz w:val="20"/>
      <w:szCs w:val="20"/>
    </w:rPr>
  </w:style>
  <w:style w:type="character" w:styleId="CommentReference">
    <w:name w:val="annotation reference"/>
    <w:basedOn w:val="DefaultParagraphFont"/>
    <w:uiPriority w:val="99"/>
    <w:semiHidden/>
    <w:unhideWhenUsed/>
    <w:rsid w:val="00C967D8"/>
    <w:rPr>
      <w:sz w:val="16"/>
      <w:szCs w:val="16"/>
    </w:rPr>
  </w:style>
  <w:style w:type="paragraph" w:styleId="CommentText">
    <w:name w:val="annotation text"/>
    <w:basedOn w:val="Normal"/>
    <w:link w:val="CommentTextChar"/>
    <w:uiPriority w:val="99"/>
    <w:unhideWhenUsed/>
    <w:rsid w:val="00C967D8"/>
    <w:pPr>
      <w:spacing w:line="240" w:lineRule="auto"/>
    </w:pPr>
    <w:rPr>
      <w:sz w:val="20"/>
      <w:szCs w:val="20"/>
    </w:rPr>
  </w:style>
  <w:style w:type="character" w:customStyle="1" w:styleId="CommentTextChar">
    <w:name w:val="Comment Text Char"/>
    <w:basedOn w:val="DefaultParagraphFont"/>
    <w:link w:val="CommentText"/>
    <w:uiPriority w:val="99"/>
    <w:rsid w:val="00C967D8"/>
    <w:rPr>
      <w:sz w:val="20"/>
      <w:szCs w:val="20"/>
    </w:rPr>
  </w:style>
  <w:style w:type="paragraph" w:styleId="CommentSubject">
    <w:name w:val="annotation subject"/>
    <w:basedOn w:val="CommentText"/>
    <w:next w:val="CommentText"/>
    <w:link w:val="CommentSubjectChar"/>
    <w:uiPriority w:val="99"/>
    <w:semiHidden/>
    <w:unhideWhenUsed/>
    <w:rsid w:val="00C967D8"/>
    <w:rPr>
      <w:b/>
      <w:bCs/>
    </w:rPr>
  </w:style>
  <w:style w:type="character" w:customStyle="1" w:styleId="CommentSubjectChar">
    <w:name w:val="Comment Subject Char"/>
    <w:basedOn w:val="CommentTextChar"/>
    <w:link w:val="CommentSubject"/>
    <w:uiPriority w:val="99"/>
    <w:semiHidden/>
    <w:rsid w:val="00C967D8"/>
    <w:rPr>
      <w:b/>
      <w:bCs/>
      <w:sz w:val="20"/>
      <w:szCs w:val="20"/>
    </w:rPr>
  </w:style>
  <w:style w:type="paragraph" w:styleId="BalloonText">
    <w:name w:val="Balloon Text"/>
    <w:basedOn w:val="Normal"/>
    <w:link w:val="BalloonTextChar"/>
    <w:uiPriority w:val="99"/>
    <w:semiHidden/>
    <w:unhideWhenUsed/>
    <w:rsid w:val="00C96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7D8"/>
    <w:rPr>
      <w:rFonts w:ascii="Segoe UI" w:hAnsi="Segoe UI" w:cs="Segoe UI"/>
      <w:sz w:val="18"/>
      <w:szCs w:val="18"/>
    </w:rPr>
  </w:style>
  <w:style w:type="paragraph" w:styleId="Header">
    <w:name w:val="header"/>
    <w:basedOn w:val="Normal"/>
    <w:link w:val="HeaderChar"/>
    <w:uiPriority w:val="99"/>
    <w:unhideWhenUsed/>
    <w:rsid w:val="00714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753"/>
  </w:style>
  <w:style w:type="paragraph" w:styleId="Footer">
    <w:name w:val="footer"/>
    <w:basedOn w:val="Normal"/>
    <w:link w:val="FooterChar"/>
    <w:uiPriority w:val="99"/>
    <w:unhideWhenUsed/>
    <w:rsid w:val="00714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753"/>
  </w:style>
  <w:style w:type="character" w:styleId="Hyperlink">
    <w:name w:val="Hyperlink"/>
    <w:basedOn w:val="DefaultParagraphFont"/>
    <w:uiPriority w:val="99"/>
    <w:unhideWhenUsed/>
    <w:rsid w:val="009B01FF"/>
    <w:rPr>
      <w:color w:val="0563C1" w:themeColor="hyperlink"/>
      <w:u w:val="single"/>
    </w:rPr>
  </w:style>
  <w:style w:type="character" w:styleId="FollowedHyperlink">
    <w:name w:val="FollowedHyperlink"/>
    <w:basedOn w:val="DefaultParagraphFont"/>
    <w:uiPriority w:val="99"/>
    <w:semiHidden/>
    <w:unhideWhenUsed/>
    <w:rsid w:val="009B01FF"/>
    <w:rPr>
      <w:color w:val="954F72" w:themeColor="followedHyperlink"/>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92094"/>
    <w:pPr>
      <w:spacing w:line="240" w:lineRule="exact"/>
      <w:ind w:right="-28"/>
    </w:pPr>
    <w:rPr>
      <w:vertAlign w:val="superscript"/>
    </w:rPr>
  </w:style>
  <w:style w:type="paragraph" w:customStyle="1" w:styleId="Text1">
    <w:name w:val="Text 1"/>
    <w:basedOn w:val="Normal"/>
    <w:link w:val="Text1Char"/>
    <w:rsid w:val="005E383C"/>
    <w:pPr>
      <w:spacing w:after="240" w:line="240" w:lineRule="auto"/>
      <w:ind w:left="482"/>
      <w:jc w:val="both"/>
    </w:pPr>
    <w:rPr>
      <w:rFonts w:ascii="Times New Roman" w:eastAsia="Times New Roman" w:hAnsi="Times New Roman" w:cs="Times New Roman"/>
      <w:sz w:val="24"/>
      <w:szCs w:val="20"/>
    </w:rPr>
  </w:style>
  <w:style w:type="character" w:customStyle="1" w:styleId="Text1Char">
    <w:name w:val="Text 1 Char"/>
    <w:link w:val="Text1"/>
    <w:rsid w:val="005E383C"/>
    <w:rPr>
      <w:rFonts w:ascii="Times New Roman" w:eastAsia="Times New Roman" w:hAnsi="Times New Roman" w:cs="Times New Roman"/>
      <w:sz w:val="24"/>
      <w:szCs w:val="20"/>
      <w:lang w:val="en-GB"/>
    </w:rPr>
  </w:style>
  <w:style w:type="character" w:customStyle="1" w:styleId="num">
    <w:name w:val="num"/>
    <w:basedOn w:val="DefaultParagraphFont"/>
    <w:rsid w:val="00366918"/>
  </w:style>
  <w:style w:type="character" w:customStyle="1" w:styleId="Hyperlink1">
    <w:name w:val="Hyperlink1"/>
    <w:basedOn w:val="DefaultParagraphFont"/>
    <w:rsid w:val="00366918"/>
  </w:style>
  <w:style w:type="paragraph" w:customStyle="1" w:styleId="Normal1">
    <w:name w:val="Normal1"/>
    <w:basedOn w:val="Normal"/>
    <w:rsid w:val="00880D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er">
    <w:name w:val="Marker"/>
    <w:basedOn w:val="DefaultParagraphFont"/>
    <w:rsid w:val="007C1933"/>
    <w:rPr>
      <w:color w:val="0000FF"/>
      <w:shd w:val="clear" w:color="auto" w:fill="auto"/>
    </w:rPr>
  </w:style>
  <w:style w:type="paragraph" w:customStyle="1" w:styleId="Pagedecouverture">
    <w:name w:val="Page de couverture"/>
    <w:basedOn w:val="Normal"/>
    <w:next w:val="Normal"/>
    <w:rsid w:val="007C1933"/>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7C1933"/>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7C1933"/>
    <w:rPr>
      <w:rFonts w:ascii="Times New Roman" w:hAnsi="Times New Roman" w:cs="Times New Roman"/>
      <w:sz w:val="24"/>
      <w:lang w:val="en-GB"/>
    </w:rPr>
  </w:style>
  <w:style w:type="paragraph" w:customStyle="1" w:styleId="FooterSensitivity">
    <w:name w:val="Footer Sensitivity"/>
    <w:basedOn w:val="Normal"/>
    <w:link w:val="FooterSensitivityChar"/>
    <w:rsid w:val="007C193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7C1933"/>
    <w:rPr>
      <w:rFonts w:ascii="Times New Roman" w:hAnsi="Times New Roman" w:cs="Times New Roman"/>
      <w:b/>
      <w:sz w:val="32"/>
      <w:lang w:val="en-GB"/>
    </w:rPr>
  </w:style>
  <w:style w:type="paragraph" w:customStyle="1" w:styleId="HeaderCoverPage">
    <w:name w:val="Header Cover Page"/>
    <w:basedOn w:val="Normal"/>
    <w:link w:val="HeaderCoverPageChar"/>
    <w:rsid w:val="007C1933"/>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7C1933"/>
    <w:rPr>
      <w:rFonts w:ascii="Times New Roman" w:hAnsi="Times New Roman" w:cs="Times New Roman"/>
      <w:sz w:val="24"/>
      <w:lang w:val="en-GB"/>
    </w:rPr>
  </w:style>
  <w:style w:type="paragraph" w:customStyle="1" w:styleId="HeaderSensitivity">
    <w:name w:val="Header Sensitivity"/>
    <w:basedOn w:val="Normal"/>
    <w:link w:val="HeaderSensitivityChar"/>
    <w:rsid w:val="007C193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7C1933"/>
    <w:rPr>
      <w:rFonts w:ascii="Times New Roman" w:hAnsi="Times New Roman" w:cs="Times New Roman"/>
      <w:b/>
      <w:sz w:val="32"/>
      <w:lang w:val="en-GB"/>
    </w:rPr>
  </w:style>
  <w:style w:type="paragraph" w:customStyle="1" w:styleId="HeaderSensitivityRight">
    <w:name w:val="Header Sensitivity Right"/>
    <w:basedOn w:val="Normal"/>
    <w:link w:val="HeaderSensitivityRightChar"/>
    <w:rsid w:val="007C1933"/>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7C1933"/>
    <w:rPr>
      <w:rFonts w:ascii="Times New Roman" w:hAnsi="Times New Roman" w:cs="Times New Roman"/>
      <w:sz w:val="28"/>
      <w:lang w:val="en-GB"/>
    </w:rPr>
  </w:style>
  <w:style w:type="paragraph" w:styleId="Revision">
    <w:name w:val="Revision"/>
    <w:hidden/>
    <w:uiPriority w:val="99"/>
    <w:semiHidden/>
    <w:rsid w:val="00316FBC"/>
    <w:pPr>
      <w:spacing w:after="0" w:line="240" w:lineRule="auto"/>
    </w:pPr>
    <w:rPr>
      <w:lang w:val="en-GB"/>
    </w:rPr>
  </w:style>
  <w:style w:type="character" w:customStyle="1" w:styleId="Heading1Char">
    <w:name w:val="Heading 1 Char"/>
    <w:basedOn w:val="DefaultParagraphFont"/>
    <w:link w:val="Heading1"/>
    <w:rsid w:val="00F37522"/>
    <w:rPr>
      <w:rFonts w:ascii="Times New Roman" w:eastAsia="SimSun" w:hAnsi="Times New Roman" w:cs="Times New Roman"/>
      <w:b/>
      <w:szCs w:val="20"/>
    </w:rPr>
  </w:style>
  <w:style w:type="paragraph" w:customStyle="1" w:styleId="H1">
    <w:name w:val="_ H_1"/>
    <w:basedOn w:val="Normal"/>
    <w:next w:val="Normal"/>
    <w:rsid w:val="00F3752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hanging="1267"/>
      <w:outlineLvl w:val="0"/>
    </w:pPr>
    <w:rPr>
      <w:rFonts w:ascii="Times New Roman" w:eastAsia="Calibri" w:hAnsi="Times New Roman" w:cs="Times New Roman"/>
      <w:b/>
      <w:spacing w:val="4"/>
      <w:w w:val="103"/>
      <w:kern w:val="14"/>
      <w:sz w:val="24"/>
      <w:szCs w:val="20"/>
    </w:rPr>
  </w:style>
  <w:style w:type="character" w:customStyle="1" w:styleId="Aucun">
    <w:name w:val="Aucun"/>
    <w:rsid w:val="00DC17B8"/>
  </w:style>
  <w:style w:type="paragraph" w:customStyle="1" w:styleId="Corps">
    <w:name w:val="Corps"/>
    <w:link w:val="CorpsChar"/>
    <w:rsid w:val="00DC17B8"/>
    <w:pPr>
      <w:pBdr>
        <w:top w:val="nil"/>
        <w:left w:val="nil"/>
        <w:bottom w:val="nil"/>
        <w:right w:val="nil"/>
        <w:between w:val="nil"/>
        <w:bar w:val="nil"/>
      </w:pBdr>
      <w:spacing w:after="240" w:line="240" w:lineRule="auto"/>
      <w:jc w:val="both"/>
    </w:pPr>
    <w:rPr>
      <w:rFonts w:ascii="Times New Roman" w:eastAsia="Times New Roman" w:hAnsi="Times New Roman" w:cs="Times New Roman"/>
      <w:color w:val="000000"/>
      <w:sz w:val="24"/>
      <w:szCs w:val="24"/>
      <w:u w:color="000000"/>
      <w:bdr w:val="nil"/>
      <w:lang w:val="en-GB" w:eastAsia="en-GB"/>
      <w14:textOutline w14:w="0" w14:cap="flat" w14:cmpd="sng" w14:algn="ctr">
        <w14:noFill/>
        <w14:prstDash w14:val="solid"/>
        <w14:bevel/>
      </w14:textOutline>
    </w:rPr>
  </w:style>
  <w:style w:type="character" w:customStyle="1" w:styleId="CorpsChar">
    <w:name w:val="Corps Char"/>
    <w:basedOn w:val="DefaultParagraphFont"/>
    <w:link w:val="Corps"/>
    <w:rsid w:val="00DC17B8"/>
    <w:rPr>
      <w:rFonts w:ascii="Times New Roman" w:eastAsia="Times New Roman" w:hAnsi="Times New Roman" w:cs="Times New Roman"/>
      <w:color w:val="000000"/>
      <w:sz w:val="24"/>
      <w:szCs w:val="24"/>
      <w:u w:color="000000"/>
      <w:bdr w:val="nil"/>
      <w:lang w:val="en-GB" w:eastAsia="en-GB"/>
      <w14:textOutline w14:w="0" w14:cap="flat" w14:cmpd="sng" w14:algn="ctr">
        <w14:noFill/>
        <w14:prstDash w14:val="solid"/>
        <w14:bevel/>
      </w14:textOutline>
    </w:rPr>
  </w:style>
  <w:style w:type="paragraph" w:styleId="NormalWeb">
    <w:name w:val="Normal (Web)"/>
    <w:basedOn w:val="Normal"/>
    <w:uiPriority w:val="99"/>
    <w:unhideWhenUsed/>
    <w:rsid w:val="00DC17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746D68"/>
    <w:rPr>
      <w:rFonts w:ascii="Times New Roman" w:hAnsi="Times New Roman" w:cs="Times New Roman"/>
      <w:b/>
      <w:bCs/>
      <w:i/>
      <w:i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44953">
      <w:bodyDiv w:val="1"/>
      <w:marLeft w:val="0"/>
      <w:marRight w:val="0"/>
      <w:marTop w:val="0"/>
      <w:marBottom w:val="0"/>
      <w:divBdr>
        <w:top w:val="none" w:sz="0" w:space="0" w:color="auto"/>
        <w:left w:val="none" w:sz="0" w:space="0" w:color="auto"/>
        <w:bottom w:val="none" w:sz="0" w:space="0" w:color="auto"/>
        <w:right w:val="none" w:sz="0" w:space="0" w:color="auto"/>
      </w:divBdr>
    </w:div>
    <w:div w:id="1330866299">
      <w:bodyDiv w:val="1"/>
      <w:marLeft w:val="0"/>
      <w:marRight w:val="0"/>
      <w:marTop w:val="0"/>
      <w:marBottom w:val="0"/>
      <w:divBdr>
        <w:top w:val="none" w:sz="0" w:space="0" w:color="auto"/>
        <w:left w:val="none" w:sz="0" w:space="0" w:color="auto"/>
        <w:bottom w:val="none" w:sz="0" w:space="0" w:color="auto"/>
        <w:right w:val="none" w:sz="0" w:space="0" w:color="auto"/>
      </w:divBdr>
    </w:div>
    <w:div w:id="162195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OM%3A2018%3A460%3AFIN" TargetMode="External"/><Relationship Id="rId3" Type="http://schemas.openxmlformats.org/officeDocument/2006/relationships/hyperlink" Target="https://www.eib.org/attachments/strategies/eib_group_ncj_policy_en.pdf" TargetMode="External"/><Relationship Id="rId7" Type="http://schemas.openxmlformats.org/officeDocument/2006/relationships/hyperlink" Target="https://www.oecd.org/ctp/tax-global/" TargetMode="External"/><Relationship Id="rId2" Type="http://schemas.openxmlformats.org/officeDocument/2006/relationships/hyperlink" Target="https://www.ebrd.com/what-we-do/strategies-and-policies.html" TargetMode="External"/><Relationship Id="rId1" Type="http://schemas.openxmlformats.org/officeDocument/2006/relationships/hyperlink" Target="https://ec.europa.eu/finance/docs/law/200507-anti-money-laundering-terrorism-financing-action-plan_en.pdf" TargetMode="External"/><Relationship Id="rId6" Type="http://schemas.openxmlformats.org/officeDocument/2006/relationships/hyperlink" Target="https://www.un.org/sustainabledevelopment/decade-of-action/" TargetMode="External"/><Relationship Id="rId5" Type="http://schemas.openxmlformats.org/officeDocument/2006/relationships/hyperlink" Target="https://ec.europa.eu/taxation_customs/sites/taxation/files/toolbox_dtas_spill_overs_en.pdf" TargetMode="External"/><Relationship Id="rId4" Type="http://schemas.openxmlformats.org/officeDocument/2006/relationships/hyperlink" Target="https://ec.europa.eu/international-partnerships/system/files/swd-collect-more-spend-better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854e86e4-aa1e-45db-b9e8-ab43264c33fa">EN</EC_Collab_DocumentLanguage>
    <EC_Collab_Status xmlns="854e86e4-aa1e-45db-b9e8-ab43264c33fa">Not Started</EC_Collab_Status>
    <EC_Collab_Reference xmlns="854e86e4-aa1e-45db-b9e8-ab43264c33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67EE001CA8E0A4899D01D595B590C26" ma:contentTypeVersion="4" ma:contentTypeDescription="Create a new document in this library." ma:contentTypeScope="" ma:versionID="6c36f239c72216d1e57e73ef7676e7b1">
  <xsd:schema xmlns:xsd="http://www.w3.org/2001/XMLSchema" xmlns:xs="http://www.w3.org/2001/XMLSchema" xmlns:p="http://schemas.microsoft.com/office/2006/metadata/properties" xmlns:ns3="a512c867-4806-4c0c-b1ec-a4edf6233e31" targetNamespace="http://schemas.microsoft.com/office/2006/metadata/properties" ma:root="true" ma:fieldsID="55a570639c34a996aad4d5f27036da96" ns3:_="">
    <xsd:import namespace="a512c867-4806-4c0c-b1ec-a4edf6233e31"/>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2c867-4806-4c0c-b1ec-a4edf6233e3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735F6FC079E4FA3D1715B7C735EF2" ma:contentTypeVersion="1" ma:contentTypeDescription="Create a new document in this library." ma:contentTypeScope="" ma:versionID="c60dff60fa9944708975c9241d964771">
  <xsd:schema xmlns:xsd="http://www.w3.org/2001/XMLSchema" xmlns:xs="http://www.w3.org/2001/XMLSchema" xmlns:p="http://schemas.microsoft.com/office/2006/metadata/properties" xmlns:ns3="854e86e4-aa1e-45db-b9e8-ab43264c33fa" targetNamespace="http://schemas.microsoft.com/office/2006/metadata/properties" ma:root="true" ma:fieldsID="c8b0a543e1d400058d3c599eb83784b5" ns3:_="">
    <xsd:import namespace="854e86e4-aa1e-45db-b9e8-ab43264c33fa"/>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e86e4-aa1e-45db-b9e8-ab43264c33f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0C39116-A8D1-4B33-869C-EB076292990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854e86e4-aa1e-45db-b9e8-ab43264c33fa"/>
    <ds:schemaRef ds:uri="http://www.w3.org/XML/1998/namespace"/>
    <ds:schemaRef ds:uri="http://purl.org/dc/dcmitype/"/>
  </ds:schemaRefs>
</ds:datastoreItem>
</file>

<file path=customXml/itemProps2.xml><?xml version="1.0" encoding="utf-8"?>
<ds:datastoreItem xmlns:ds="http://schemas.openxmlformats.org/officeDocument/2006/customXml" ds:itemID="{D741D4B4-A8C9-4E4E-8D15-9E3B7CA8AE33}">
  <ds:schemaRefs>
    <ds:schemaRef ds:uri="http://schemas.microsoft.com/sharepoint/v3/contenttype/forms"/>
  </ds:schemaRefs>
</ds:datastoreItem>
</file>

<file path=customXml/itemProps3.xml><?xml version="1.0" encoding="utf-8"?>
<ds:datastoreItem xmlns:ds="http://schemas.openxmlformats.org/officeDocument/2006/customXml" ds:itemID="{BFEF776A-BE19-4AE9-8D68-D581A646A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2c867-4806-4c0c-b1ec-a4edf6233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2AB08-B1F9-43DA-9E22-65405EA68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e86e4-aa1e-45db-b9e8-ab43264c3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4945F9-51F9-4480-AD0B-C38AF5D2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6628</Words>
  <Characters>35627</Characters>
  <Application>Microsoft Office Word</Application>
  <DocSecurity>0</DocSecurity>
  <Lines>527</Lines>
  <Paragraphs>85</Paragraphs>
  <ScaleCrop>false</ScaleCrop>
  <HeadingPairs>
    <vt:vector size="2" baseType="variant">
      <vt:variant>
        <vt:lpstr>Title</vt:lpstr>
      </vt:variant>
      <vt:variant>
        <vt:i4>1</vt:i4>
      </vt:variant>
    </vt:vector>
  </HeadingPairs>
  <TitlesOfParts>
    <vt:vector size="1" baseType="lpstr">
      <vt:lpstr>Draft Communication on Tax Good Governance</vt:lpstr>
    </vt:vector>
  </TitlesOfParts>
  <Company>European Commission</Company>
  <LinksUpToDate>false</LinksUpToDate>
  <CharactersWithSpaces>42225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Communication on Tax Good Governance</dc:title>
  <dc:subject/>
  <dc:creator>KISCHEL Dieter (TAXUD)</dc:creator>
  <cp:keywords/>
  <dc:description>Version updated to take into account ISSG comments</dc:description>
  <cp:lastModifiedBy>ROUBI Vasiliki (SG)</cp:lastModifiedBy>
  <cp:revision>3</cp:revision>
  <cp:lastPrinted>2020-03-18T12:25:00Z</cp:lastPrinted>
  <dcterms:created xsi:type="dcterms:W3CDTF">2020-07-14T16:36:00Z</dcterms:created>
  <dcterms:modified xsi:type="dcterms:W3CDTF">2020-07-14T16:39:00Z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CP-012</vt:lpwstr>
  </property>
  <property fmtid="{D5CDD505-2E9C-101B-9397-08002B2CF9AE}" pid="7" name="Last edited using">
    <vt:lpwstr>LW 7.0.1, Build 20190916</vt:lpwstr>
  </property>
  <property fmtid="{D5CDD505-2E9C-101B-9397-08002B2CF9AE}" pid="8" name="Created using">
    <vt:lpwstr>LW 7.0, Build 20190717</vt:lpwstr>
  </property>
  <property fmtid="{D5CDD505-2E9C-101B-9397-08002B2CF9AE}" pid="9" name="_LW_INVALIDATED__LW_INVALIDATED__LW_INVALIDATED__LW_INVALIDATED__LW_INVALIDATED__LW_INVALIDATED__LW_INVALIDATED__LW_INVALIDATED_ContentTypeId">
    <vt:lpwstr>0x010100258AA79CEB83498886A3A08681123250003B9735F6FC079E4FA3D1715B7C735EF2</vt:lpwstr>
  </property>
  <property fmtid="{D5CDD505-2E9C-101B-9397-08002B2CF9AE}" pid="10" name="_LW_INVALIDATED__LW_INVALIDATED__LW_INVALIDATED_ContentTypeId">
    <vt:lpwstr>0x010100258AA79CEB83498886A3A0868112325000167EE001CA8E0A4899D01D595B590C26</vt:lpwstr>
  </property>
</Properties>
</file>