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5829A49-1ADA-4A9B-AA77-2333A4A58FFF" style="width:450.75pt;height:410.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ПРИЛОЖЕНИЕ </w:t>
      </w:r>
    </w:p>
    <w:p>
      <w:pPr>
        <w:pStyle w:val="Annexetitreexpos"/>
        <w:rPr>
          <w:noProof/>
        </w:rPr>
      </w:pPr>
      <w:r>
        <w:rPr>
          <w:noProof/>
        </w:rPr>
        <w:t>Финансови насоки за управлението на активите на ЕОВС в ликвидация, а след нейното приключване — на активите на Изследователския фонд за въглища и стомана</w:t>
      </w:r>
    </w:p>
    <w:p>
      <w:pPr>
        <w:rPr>
          <w:noProof/>
        </w:rPr>
      </w:pPr>
    </w:p>
    <w:p>
      <w:pPr>
        <w:pStyle w:val="NumPar1"/>
        <w:numPr>
          <w:ilvl w:val="0"/>
          <w:numId w:val="1"/>
        </w:numPr>
        <w:rPr>
          <w:rStyle w:val="boldface"/>
          <w:noProof/>
        </w:rPr>
      </w:pPr>
      <w:r>
        <w:rPr>
          <w:rStyle w:val="boldface"/>
          <w:noProof/>
        </w:rPr>
        <w:t>ИЗПОЛЗВАНЕ НА ПАРИЧНИТЕ СРЕДСТВА</w:t>
      </w:r>
    </w:p>
    <w:p>
      <w:pPr>
        <w:rPr>
          <w:noProof/>
        </w:rPr>
      </w:pPr>
      <w:r>
        <w:rPr>
          <w:noProof/>
        </w:rPr>
        <w:t>Активите на ЕОВС в ликвидация, които включват както портфейла ѝ от кредити, така и нейните инвестиции, се използват според нуждите, за да се посрещнат оставащите задължения на ЕОВС по отношение на нейните неизплатени заеми, на нейните задължения, произтичащи от предишни оперативни бюджети, или на всякакъв непредвиден пасив.</w:t>
      </w:r>
    </w:p>
    <w:p>
      <w:pPr>
        <w:rPr>
          <w:noProof/>
        </w:rPr>
      </w:pPr>
      <w:r>
        <w:rPr>
          <w:noProof/>
        </w:rPr>
        <w:t>Доколкото активите на ЕОВС в ликвидация, а след нейното приключване — активите на Изследователския фонд за въглища и стомана, не са необходими, за да се изпълнят задълженията, описани в първа алинея, тези активи се инвестират благоразумно в съответствие с избрания инвестиционен хоризонт с цел постигане на възвръщаемост, която може да се използва за продължаване на финансирането на научните изследвания в секторите, свързани с въглищната и стоманената промишленост.</w:t>
      </w:r>
    </w:p>
    <w:p>
      <w:pPr>
        <w:rPr>
          <w:noProof/>
        </w:rPr>
      </w:pPr>
      <w:r>
        <w:rPr>
          <w:noProof/>
        </w:rPr>
        <w:t>Активите на ЕОВС в ликвидация, а след нейното приключване — активите на Изследователския фонд за въглища и стомана, се използват за извършване на годишни плащания в рамките на годишното разпределение от [111 милиона] евро за изследвания в секторите, свързани с въглищната и стоманената промишленост. Тези плащания трябва да бъдат извършени с нетните приходи от инвестициите. Когато нетните приходи са недостатъчни да покрият годишното разпределение, те се допълват от постъпленията, събрани от продажбата на част от активите на ЕОВС в ликвидация, а след нейното приключване — на част от активите на Изследователския фонд за въглища и стомана. След 2027 г. активите на Изследователския фонд за въглища и стомана се инвестират по начин, осигуряващ доход, който да може да бъде използван за финансиране на продължаването на изследователската дейност в секторите, свързани с въглищната и стоманената промишленост.</w:t>
      </w:r>
    </w:p>
    <w:p>
      <w:pPr>
        <w:pStyle w:val="NumPar1"/>
        <w:rPr>
          <w:noProof/>
          <w:color w:val="000000" w:themeColor="text1"/>
        </w:rPr>
      </w:pPr>
      <w:r>
        <w:rPr>
          <w:noProof/>
          <w:color w:val="000000" w:themeColor="text1"/>
        </w:rPr>
        <w:t>ИНВЕСТИЦИОНЕН ХОРИЗОНТ, ЦЕЛ И ТОЛЕРАНТНОСТ ПО ОТНОШЕНИЕ НА РИСКА</w:t>
      </w:r>
    </w:p>
    <w:p>
      <w:pPr>
        <w:rPr>
          <w:noProof/>
        </w:rPr>
      </w:pPr>
      <w:r>
        <w:rPr>
          <w:noProof/>
        </w:rPr>
        <w:t>Активите на ЕОВС в ликвидация, а след нейното приключване — активите на Изследователския фонд за въглища и стомана, се инвестират с цел да бъде запазена и когато е възможно, да бъде увеличена стойността на тези активи („инвестиционната цел“). Инвестиционната цел се преследва в рамките на инвестиционния хоризонт и се постига с висока степен на доверие.</w:t>
      </w:r>
    </w:p>
    <w:p>
      <w:pPr>
        <w:rPr>
          <w:noProof/>
        </w:rPr>
      </w:pPr>
      <w:r>
        <w:rPr>
          <w:noProof/>
        </w:rPr>
        <w:t>Активите се управляват в съответствие с пруденциалните правила и с принципите на добро финансово управление, както и в съответствие с правилата и процедурите, установени от счетоводителя на Комисията.</w:t>
      </w:r>
    </w:p>
    <w:p>
      <w:pPr>
        <w:rPr>
          <w:noProof/>
        </w:rPr>
      </w:pPr>
      <w:r>
        <w:rPr>
          <w:noProof/>
        </w:rPr>
        <w:t>Инвестиционната цел се изпълнява чрез прилагане на благоразумна инвестиционна стратегия, основана на висока степен на диверсификация сред допустимите класове активи, географски области, емитенти и падежи („инвестиционната стратегия“). Инвестиционната стратегия се определя, като се взема предвид инвестиционният хоризонт и като се гарантира, че при нужда необходимите средства са на разположение в достатъчно ликвидна форма.</w:t>
      </w:r>
    </w:p>
    <w:p>
      <w:pPr>
        <w:rPr>
          <w:noProof/>
        </w:rPr>
      </w:pPr>
      <w:r>
        <w:rPr>
          <w:noProof/>
        </w:rPr>
        <w:t>Инвестиционната стратегия се изразява под формата на стратегическо разпределение на активи, в което се определят примерни целеви разпределения за различните категории допустими финансови активи.</w:t>
      </w:r>
    </w:p>
    <w:p>
      <w:pPr>
        <w:rPr>
          <w:noProof/>
        </w:rPr>
      </w:pPr>
      <w:r>
        <w:rPr>
          <w:noProof/>
        </w:rPr>
        <w:t>Комисията отразява стратегическото разпределение на активи в стратегически целеви показател („целевият показател“), спрямо който се сравняват резултатите от активите на ЕОВС в ликвидация, а след нейното приключване — от активите на Изследователския фонд за въглища и стомана.</w:t>
      </w:r>
    </w:p>
    <w:p>
      <w:pPr>
        <w:rPr>
          <w:noProof/>
        </w:rPr>
      </w:pPr>
      <w:r>
        <w:rPr>
          <w:noProof/>
        </w:rPr>
        <w:t>Инвестиционната стратегия и целевият показател се предлагат от Комисията и се съгласуват със счетоводителя на Комисията след консултация с оправомощените разпоредители с бюджетни кредити на Комисията.</w:t>
      </w:r>
    </w:p>
    <w:p>
      <w:pPr>
        <w:rPr>
          <w:noProof/>
        </w:rPr>
      </w:pPr>
      <w:r>
        <w:rPr>
          <w:noProof/>
        </w:rPr>
        <w:t>Инвестиционната стратегия и целевият показател могат да бъдат променяни от Комисията в случай на надлежно документирано и мотивирано изменение в икономическите условия, на съществена промяна в нуждите и състоянието на допринасящите инструменти или на значителни промени в оценките на входящите/изходящите потоци. Процедурата за изменение на инвестиционната стратегия е същата като за първоначалното ѝ приемане.</w:t>
      </w:r>
    </w:p>
    <w:p>
      <w:pPr>
        <w:rPr>
          <w:noProof/>
        </w:rPr>
      </w:pPr>
      <w:r>
        <w:rPr>
          <w:noProof/>
        </w:rPr>
        <w:t>Инвестиционната стратегия се изготвя, като се вземат предвид инвестиционният хоризонт и толерантността по отношение на риска на активите на ЕОВС в ликвидация, а след нейното приключване — на активите на Изследователския фонд за въглища и стомана.</w:t>
      </w:r>
    </w:p>
    <w:p>
      <w:pPr>
        <w:pStyle w:val="NumPar1"/>
        <w:rPr>
          <w:noProof/>
          <w:color w:val="000000" w:themeColor="text1"/>
        </w:rPr>
      </w:pPr>
      <w:r>
        <w:rPr>
          <w:noProof/>
          <w:color w:val="000000" w:themeColor="text1"/>
        </w:rPr>
        <w:t xml:space="preserve">ПРИНЦИПИ ЗА РАЗПРЕДЕЛЕНИЕ НА </w:t>
      </w:r>
      <w:r>
        <w:rPr>
          <w:rStyle w:val="boldface"/>
          <w:noProof/>
          <w:color w:val="000000" w:themeColor="text1"/>
        </w:rPr>
        <w:t>АКТИВИТЕ</w:t>
      </w:r>
      <w:r>
        <w:rPr>
          <w:noProof/>
          <w:color w:val="000000" w:themeColor="text1"/>
        </w:rPr>
        <w:t xml:space="preserve"> И ДОПУСТИМИ ИНВЕСТИЦИИ</w:t>
      </w:r>
    </w:p>
    <w:p>
      <w:pPr>
        <w:rPr>
          <w:noProof/>
        </w:rPr>
      </w:pPr>
      <w:r>
        <w:rPr>
          <w:noProof/>
        </w:rPr>
        <w:t>За да бъдат намалени инвестиционните рискове, се осигурява достатъчна диверсификация сред и в рамките на всички класове активи. По принцип колкото по-рисков и/или по-малко ликвиден е активът, толкова по-слабо концентрирана трябва да бъде експозицията.</w:t>
      </w:r>
    </w:p>
    <w:p>
      <w:pPr>
        <w:rPr>
          <w:noProof/>
        </w:rPr>
      </w:pPr>
      <w:r>
        <w:rPr>
          <w:noProof/>
        </w:rPr>
        <w:t>Експозицията към различните класове активи и диверсификацията може да бъдат постигнати и чрез инвестиции в предприятия за колективно инвестиране или борсово търгувани продукти.</w:t>
      </w:r>
    </w:p>
    <w:p>
      <w:pPr>
        <w:rPr>
          <w:noProof/>
        </w:rPr>
      </w:pPr>
      <w:r>
        <w:rPr>
          <w:noProof/>
        </w:rPr>
        <w:t>Активите на ЕОВС в ликвидация, а след нейното приключване — активите на Изследователския фонд за въглища и стомана, се инвестират единствено в:</w:t>
      </w:r>
    </w:p>
    <w:p>
      <w:pPr>
        <w:pStyle w:val="Text2"/>
        <w:rPr>
          <w:noProof/>
        </w:rPr>
      </w:pPr>
      <w:r>
        <w:rPr>
          <w:noProof/>
        </w:rPr>
        <w:t>а)</w:t>
      </w:r>
      <w:r>
        <w:rPr>
          <w:noProof/>
        </w:rPr>
        <w:tab/>
        <w:t>активи на паричния пазар, изразени в евро;</w:t>
      </w:r>
    </w:p>
    <w:p>
      <w:pPr>
        <w:pStyle w:val="Text2"/>
        <w:rPr>
          <w:noProof/>
          <w:color w:val="000000" w:themeColor="text1"/>
        </w:rPr>
      </w:pPr>
      <w:r>
        <w:rPr>
          <w:noProof/>
          <w:color w:val="000000" w:themeColor="text1"/>
        </w:rPr>
        <w:t>б)</w:t>
      </w:r>
      <w:r>
        <w:rPr>
          <w:noProof/>
        </w:rPr>
        <w:tab/>
      </w:r>
      <w:r>
        <w:rPr>
          <w:noProof/>
          <w:color w:val="000000" w:themeColor="text1"/>
        </w:rPr>
        <w:t>ценни книжа с фиксиран доход и</w:t>
      </w:r>
    </w:p>
    <w:p>
      <w:pPr>
        <w:pStyle w:val="Text2"/>
        <w:rPr>
          <w:noProof/>
          <w:color w:val="000000" w:themeColor="text1"/>
        </w:rPr>
      </w:pPr>
      <w:r>
        <w:rPr>
          <w:noProof/>
          <w:color w:val="000000" w:themeColor="text1"/>
        </w:rPr>
        <w:t>в)</w:t>
      </w:r>
      <w:r>
        <w:rPr>
          <w:noProof/>
        </w:rPr>
        <w:tab/>
      </w:r>
      <w:r>
        <w:rPr>
          <w:noProof/>
          <w:color w:val="000000" w:themeColor="text1"/>
        </w:rPr>
        <w:t>регулирани колективни инвестиции в дългови и капиталови инструменти.</w:t>
      </w:r>
    </w:p>
    <w:p>
      <w:pPr>
        <w:rPr>
          <w:noProof/>
        </w:rPr>
      </w:pPr>
      <w:r>
        <w:rPr>
          <w:noProof/>
        </w:rPr>
        <w:t>Активите на ЕОВС в ликвидация, а след нейното приключване — активите на Изследователския фонд за въглища и стомана, получават експозиция към класовете активи, посочени в предходната алинея, чрез инвестиции в следните инструменти или чрез участие в следните операции:</w:t>
      </w:r>
    </w:p>
    <w:p>
      <w:pPr>
        <w:pStyle w:val="Text2"/>
        <w:rPr>
          <w:noProof/>
        </w:rPr>
      </w:pPr>
      <w:r>
        <w:rPr>
          <w:noProof/>
        </w:rPr>
        <w:t>а)</w:t>
      </w:r>
      <w:r>
        <w:rPr>
          <w:noProof/>
        </w:rPr>
        <w:tab/>
        <w:t>депозити;</w:t>
      </w:r>
    </w:p>
    <w:p>
      <w:pPr>
        <w:pStyle w:val="Text2"/>
        <w:rPr>
          <w:noProof/>
        </w:rPr>
      </w:pPr>
      <w:r>
        <w:rPr>
          <w:noProof/>
        </w:rPr>
        <w:t>б)</w:t>
      </w:r>
      <w:r>
        <w:rPr>
          <w:noProof/>
        </w:rPr>
        <w:tab/>
        <w:t>инструменти на паричния пазар и фондове на паричния пазар, които предлагат дневна ликвидност, уредени с Регламент (ЕС) 2017/1131 на Европейския парламент и на Съвета</w:t>
      </w:r>
      <w:r>
        <w:rPr>
          <w:rStyle w:val="FootnoteReference"/>
          <w:noProof/>
        </w:rPr>
        <w:footnoteReference w:id="1"/>
      </w:r>
      <w:r>
        <w:rPr>
          <w:noProof/>
        </w:rPr>
        <w:t>;</w:t>
      </w:r>
    </w:p>
    <w:p>
      <w:pPr>
        <w:pStyle w:val="Text2"/>
        <w:rPr>
          <w:noProof/>
        </w:rPr>
      </w:pPr>
      <w:r>
        <w:rPr>
          <w:noProof/>
        </w:rPr>
        <w:t>в)</w:t>
      </w:r>
      <w:r>
        <w:rPr>
          <w:noProof/>
        </w:rPr>
        <w:tab/>
        <w:t>дългови инструменти, като облигации, менителници и полици, и секюритизирани инструменти в съответствие с критериите за ОПС (опростеност, прозрачност и стандартизация), определени в Регламент (ЕС) 2017/2402 на Европейския парламент и на Съвета</w:t>
      </w:r>
      <w:r>
        <w:rPr>
          <w:rStyle w:val="FootnoteReference"/>
          <w:noProof/>
        </w:rPr>
        <w:footnoteReference w:id="2"/>
      </w:r>
      <w:r>
        <w:rPr>
          <w:noProof/>
        </w:rPr>
        <w:t>;</w:t>
      </w:r>
    </w:p>
    <w:p>
      <w:pPr>
        <w:pStyle w:val="Text2"/>
        <w:rPr>
          <w:noProof/>
        </w:rPr>
      </w:pPr>
      <w:r>
        <w:rPr>
          <w:noProof/>
        </w:rPr>
        <w:t>г)</w:t>
      </w:r>
      <w:r>
        <w:rPr>
          <w:noProof/>
        </w:rPr>
        <w:tab/>
        <w:t>предприятия за колективно инвестиране, обхванати от Директива 2009/65/ЕО на Европейския парламент и на Съвета</w:t>
      </w:r>
      <w:r>
        <w:rPr>
          <w:rStyle w:val="FootnoteReference"/>
          <w:noProof/>
        </w:rPr>
        <w:footnoteReference w:id="3"/>
      </w:r>
      <w:r>
        <w:rPr>
          <w:noProof/>
        </w:rPr>
        <w:t>, включително фондове, търгувани на организирани пазари, които инвестират в капиталови или дългови инструменти, при които максималните загуби не могат да надвишат инвестираните суми;</w:t>
      </w:r>
    </w:p>
    <w:p>
      <w:pPr>
        <w:pStyle w:val="Text2"/>
        <w:rPr>
          <w:noProof/>
        </w:rPr>
      </w:pPr>
      <w:r>
        <w:rPr>
          <w:noProof/>
        </w:rPr>
        <w:t>д)</w:t>
      </w:r>
      <w:r>
        <w:rPr>
          <w:noProof/>
        </w:rPr>
        <w:tab/>
        <w:t>репо споразумения съгласно принципа, установен в член 212, параграф 2 от Финансовия регламент</w:t>
      </w:r>
      <w:r>
        <w:rPr>
          <w:rStyle w:val="FootnoteReference"/>
          <w:noProof/>
        </w:rPr>
        <w:footnoteReference w:id="4"/>
      </w:r>
      <w:r>
        <w:rPr>
          <w:noProof/>
        </w:rPr>
        <w:t>;</w:t>
      </w:r>
    </w:p>
    <w:p>
      <w:pPr>
        <w:pStyle w:val="Text2"/>
        <w:rPr>
          <w:noProof/>
        </w:rPr>
      </w:pPr>
      <w:r>
        <w:rPr>
          <w:noProof/>
        </w:rPr>
        <w:t>е)</w:t>
      </w:r>
      <w:r>
        <w:rPr>
          <w:noProof/>
        </w:rPr>
        <w:tab/>
        <w:t xml:space="preserve">обратно репо споразумения; </w:t>
      </w:r>
    </w:p>
    <w:p>
      <w:pPr>
        <w:pStyle w:val="Text2"/>
        <w:rPr>
          <w:noProof/>
        </w:rPr>
      </w:pPr>
      <w:r>
        <w:rPr>
          <w:noProof/>
        </w:rPr>
        <w:t>ж)</w:t>
      </w:r>
      <w:r>
        <w:rPr>
          <w:noProof/>
        </w:rPr>
        <w:tab/>
        <w:t>кредитни операции с ценни книжа с признати системи за клиринг, като Clearstream и Euroclear, или с водещи финансови институции, специализирани в този тип операции.</w:t>
      </w:r>
    </w:p>
    <w:p>
      <w:pPr>
        <w:rPr>
          <w:noProof/>
        </w:rPr>
      </w:pPr>
      <w:r>
        <w:rPr>
          <w:noProof/>
        </w:rPr>
        <w:t>Деривати под формата на форуърдни и фючърсни договори и суапове се използват единствено за целите на ефективното управление на портфейла, а не с цел спекулация или засилване на позициите. Дериватите могат да се използват за коригиране на продължителността, за редуциране на кредитния риск или на друг съответен риск или за промени в разпределението на активите в съответствие с инвестиционната политика.</w:t>
      </w:r>
    </w:p>
    <w:p>
      <w:pPr>
        <w:rPr>
          <w:noProof/>
        </w:rPr>
      </w:pPr>
      <w:r>
        <w:rPr>
          <w:noProof/>
        </w:rPr>
        <w:t xml:space="preserve">Активите на ЕОВС в ликвидация, а след нейното приключване — активите на Изследователския фонд за въглища и стомана, могат да бъдат инвестирани във високоликвидни облигации, изразени в щатски долари и емитирани от суверенни и наднационални образувания, единствено за целите на диверсификацията и излагането на друга крива на лихвения процент. Всички валутни рискове се хеджират чрез подходящо използване на суапове или други инструменти за валутно хеджиране, както е посочено в предходната алинея. </w:t>
      </w:r>
    </w:p>
    <w:p>
      <w:pPr>
        <w:rPr>
          <w:noProof/>
        </w:rPr>
      </w:pPr>
      <w:r>
        <w:rPr>
          <w:noProof/>
        </w:rPr>
        <w:t>При съгласие от страна на счетоводителя Комисията може да разшири обхвата на допустимите инвестиции, за да включи други класове активи и инвестиционни операции в съответствие с инвестиционната стратегия и цели, както и валути на други развити икономики според периодичния списък на Международния валутен фонд и подлежащи на хеджиране на валутния риск. Всяко решение да бъдат включени нови класове активи, инвестиционни операции или парични единици на развити икономики се подкрепя с обосновка за всеки клас активи, операция или парична единица, в която се указва по какъв начин разширените възможности за инвестиране ще подобрят резултатите на активите на ЕОВС в ликвидация, а след нейното приключване — на активите на Изследователския фонд за въглища и стомана, по отношение на риска и на възвръщаемостта. Тази обосновка включва оценка на необходимия оперативен капацитет в подкрепа на тези нови възможности за инвестиране.</w:t>
      </w:r>
    </w:p>
    <w:p>
      <w:pPr>
        <w:pStyle w:val="NumPar1"/>
        <w:rPr>
          <w:noProof/>
          <w:color w:val="000000" w:themeColor="text1"/>
        </w:rPr>
      </w:pPr>
      <w:r>
        <w:rPr>
          <w:noProof/>
          <w:color w:val="000000" w:themeColor="text1"/>
        </w:rPr>
        <w:t>ЕКОЛОГИЧНИ, СОЦИАЛНИ, УПРАВЛЕНСКИ И МОРАЛНИ СЪОБРАЖЕНИЯ</w:t>
      </w:r>
    </w:p>
    <w:p>
      <w:pPr>
        <w:rPr>
          <w:noProof/>
        </w:rPr>
      </w:pPr>
      <w:r>
        <w:rPr>
          <w:noProof/>
        </w:rPr>
        <w:t>Прилагат се следните екологични, социални и управленски критерии:</w:t>
      </w:r>
    </w:p>
    <w:p>
      <w:pPr>
        <w:pStyle w:val="Text2"/>
        <w:rPr>
          <w:noProof/>
        </w:rPr>
      </w:pPr>
      <w:r>
        <w:rPr>
          <w:noProof/>
        </w:rPr>
        <w:t>а)</w:t>
      </w:r>
      <w:r>
        <w:rPr>
          <w:noProof/>
        </w:rPr>
        <w:tab/>
        <w:t>инвестициите на активите на ЕОВС в ликвидация, а след нейното приключване — на активите на Изследователския фонд за въглища и стомана, се извършват в съответствие с целта на политиката на Съюза да се насърчат устойчивото финансиране и социалната справедливост, до степен, съвместима със запазването на капитала на активите;</w:t>
      </w:r>
    </w:p>
    <w:p>
      <w:pPr>
        <w:pStyle w:val="Text2"/>
        <w:rPr>
          <w:noProof/>
        </w:rPr>
      </w:pPr>
      <w:r>
        <w:rPr>
          <w:noProof/>
        </w:rPr>
        <w:t>б)</w:t>
      </w:r>
      <w:r>
        <w:rPr>
          <w:noProof/>
        </w:rPr>
        <w:tab/>
        <w:t>инвестиционната политика се изпълнява в съответствие с цялото съответно законодателство за насърчаване на финансовите инструменти, свързани с околната среда, социалната сфера и управлението, и при спазване на съответните стандарти, системи, критерии и процедури, установени в регулаторната рамка на Съюза;</w:t>
      </w:r>
    </w:p>
    <w:p>
      <w:pPr>
        <w:pStyle w:val="Text2"/>
        <w:rPr>
          <w:noProof/>
        </w:rPr>
      </w:pPr>
      <w:r>
        <w:rPr>
          <w:noProof/>
        </w:rPr>
        <w:t>в)</w:t>
      </w:r>
      <w:r>
        <w:rPr>
          <w:noProof/>
        </w:rPr>
        <w:tab/>
        <w:t>Комисията може да се консултира с Техническата експертна група на ЕС за устойчиво финансиране или с нейния правоприемник относно прилагането на факторите от екологичен, социален или управленски характер в инвестиционната стратегия за активите на ЕОВС в ликвидация, а след нейното приключване — за активите на Изследователския фонд за въглища и стомана;</w:t>
      </w:r>
    </w:p>
    <w:p>
      <w:pPr>
        <w:pStyle w:val="Text2"/>
        <w:rPr>
          <w:noProof/>
        </w:rPr>
      </w:pPr>
      <w:r>
        <w:rPr>
          <w:noProof/>
        </w:rPr>
        <w:t>г)</w:t>
      </w:r>
      <w:r>
        <w:rPr>
          <w:noProof/>
        </w:rPr>
        <w:tab/>
        <w:t>Комисията следи профила на активите на ЕОВС в ликвидация, а след нейното приключване — на активите на Изследователския фонд за въглища и стомана, по отношение на околната среда, социалната сфера и управлението и докладва за това в рамките на годишния доклад, посочен в точка 7 (Процедури за управление).</w:t>
      </w:r>
    </w:p>
    <w:p>
      <w:pPr>
        <w:rPr>
          <w:noProof/>
        </w:rPr>
      </w:pPr>
      <w:r>
        <w:rPr>
          <w:noProof/>
        </w:rPr>
        <w:t>Дейностите в следния списък са изключени от инвестиционните цели по етични или морални съображения:</w:t>
      </w:r>
    </w:p>
    <w:p>
      <w:pPr>
        <w:pStyle w:val="Text2"/>
        <w:rPr>
          <w:noProof/>
        </w:rPr>
      </w:pPr>
      <w:r>
        <w:rPr>
          <w:noProof/>
        </w:rPr>
        <w:t xml:space="preserve">а) </w:t>
      </w:r>
      <w:r>
        <w:rPr>
          <w:noProof/>
        </w:rPr>
        <w:tab/>
        <w:t>инвестиции в ценни книжа, емитирани от субекти, за които, доколкото е известно на Комисията, е установено с окончателно съдебно решение или с окончателно административно решение, че участват в една от следните дейности:</w:t>
      </w:r>
    </w:p>
    <w:p>
      <w:pPr>
        <w:pStyle w:val="Text3"/>
        <w:rPr>
          <w:noProof/>
        </w:rPr>
      </w:pPr>
      <w:r>
        <w:rPr>
          <w:noProof/>
        </w:rPr>
        <w:t>i) дейности, които се считат за незаконни или забранени по етични или морални съображения съгласно регулаторната уредба на Съюза и международни конвенции и споразумения;</w:t>
      </w:r>
    </w:p>
    <w:p>
      <w:pPr>
        <w:pStyle w:val="Text3"/>
        <w:rPr>
          <w:noProof/>
        </w:rPr>
      </w:pPr>
      <w:r>
        <w:rPr>
          <w:noProof/>
        </w:rPr>
        <w:t>ii) дейности, които са свързани с разработването и производството на боеприпаси или оръжия, забранени по силата на приложимото международно право, и с търговията с такива боеприпаси и оръжия.</w:t>
      </w:r>
    </w:p>
    <w:p>
      <w:pPr>
        <w:pStyle w:val="Text2"/>
        <w:rPr>
          <w:noProof/>
        </w:rPr>
      </w:pPr>
      <w:r>
        <w:rPr>
          <w:noProof/>
        </w:rPr>
        <w:t xml:space="preserve">б) </w:t>
      </w:r>
      <w:r>
        <w:rPr>
          <w:noProof/>
        </w:rPr>
        <w:tab/>
        <w:t>инвестиции в ценни книжа, емитирани от предприятия, които, доколкото е известно на Комисията, извличат повече от 25 % от всичките си годишни приходи от изброените по-долу дейности:</w:t>
      </w:r>
    </w:p>
    <w:p>
      <w:pPr>
        <w:pStyle w:val="Text3"/>
        <w:rPr>
          <w:noProof/>
        </w:rPr>
      </w:pPr>
      <w:r>
        <w:rPr>
          <w:noProof/>
        </w:rPr>
        <w:t>i) хазартни дейности (производство, строителство, дистрибуция, преработка, търговия или софтуер);</w:t>
      </w:r>
    </w:p>
    <w:p>
      <w:pPr>
        <w:pStyle w:val="Text3"/>
        <w:rPr>
          <w:noProof/>
        </w:rPr>
      </w:pPr>
      <w:r>
        <w:rPr>
          <w:noProof/>
        </w:rPr>
        <w:t>ii) тютюневи изделия и свързани с тях дейности (производство, дистрибуция, преработка и търговия);</w:t>
      </w:r>
    </w:p>
    <w:p>
      <w:pPr>
        <w:pStyle w:val="Text3"/>
        <w:rPr>
          <w:noProof/>
        </w:rPr>
      </w:pPr>
      <w:r>
        <w:rPr>
          <w:noProof/>
        </w:rPr>
        <w:t xml:space="preserve">iii) търговия със сексуални услуги и свързани с тях инфраструктура, услуги и медии. </w:t>
      </w:r>
      <w:r>
        <w:rPr>
          <w:noProof/>
        </w:rPr>
        <w:tab/>
      </w:r>
    </w:p>
    <w:p>
      <w:pPr>
        <w:pStyle w:val="NumPar1"/>
        <w:rPr>
          <w:noProof/>
          <w:color w:val="000000" w:themeColor="text1"/>
        </w:rPr>
      </w:pPr>
      <w:r>
        <w:rPr>
          <w:rStyle w:val="boldface"/>
          <w:noProof/>
          <w:color w:val="000000" w:themeColor="text1"/>
        </w:rPr>
        <w:t>ТРАНСФЕР В БЮДЖЕТА НА ЕВРОПЕЙСКИЯ СЪЮЗ</w:t>
      </w:r>
    </w:p>
    <w:p>
      <w:pPr>
        <w:rPr>
          <w:noProof/>
          <w:color w:val="000000" w:themeColor="text1"/>
        </w:rPr>
      </w:pPr>
      <w:r>
        <w:rPr>
          <w:noProof/>
          <w:color w:val="000000" w:themeColor="text1"/>
        </w:rPr>
        <w:t>Нетните приходи от инвестиции на активите на ЕОВС в ликвидация, а след нейното приключване — на активите на Изследователския фонд за въглища и стомана, и постъпленията, събрани от продажбата на част от активите, ще бъдат включени в общия бюджет на Европейския съюз като целеви приходи и ще бъдат прехвърлени от ЕОВС в ликвидация, а след нейното приключване — от активите на Изследователския фонд за въглища и стомана, когато това е необходимо, за да се изпълнят задълженията по бюджетния ред, предназначен за научноизследователски програми за секторите, свързани с въглищната и стоманената промишленост.</w:t>
      </w:r>
    </w:p>
    <w:p>
      <w:pPr>
        <w:pStyle w:val="NumPar1"/>
        <w:rPr>
          <w:noProof/>
          <w:color w:val="000000" w:themeColor="text1"/>
        </w:rPr>
      </w:pPr>
      <w:r>
        <w:rPr>
          <w:rStyle w:val="boldface"/>
          <w:noProof/>
          <w:color w:val="000000" w:themeColor="text1"/>
        </w:rPr>
        <w:t>ОСЧЕТОВОДЯВАНЕ</w:t>
      </w:r>
      <w:r>
        <w:rPr>
          <w:noProof/>
          <w:color w:val="000000" w:themeColor="text1"/>
        </w:rPr>
        <w:t xml:space="preserve"> </w:t>
      </w:r>
    </w:p>
    <w:p>
      <w:pPr>
        <w:rPr>
          <w:noProof/>
          <w:color w:val="000000" w:themeColor="text1"/>
        </w:rPr>
      </w:pPr>
      <w:r>
        <w:rPr>
          <w:noProof/>
          <w:color w:val="000000" w:themeColor="text1"/>
        </w:rPr>
        <w:t>Управлението на фондовете се включва в годишните отчети, изготвяни за ЕОВС в ликвидация, а след нейното приключване — за активите на Изследователския фонд за въглища и стомана. Те се основават на и се представят в съответствие със счетоводните правила на Комисията, приети от счетоводителя на Комисията, като се отчита специфичното естество на ЕОВС в ликвидация, а след нейното приключване — на активите на Изследователския фонд за въглища и стомана. Отчетите се одобряват от Комисията и се проверяват от Сметната палата. Комисията ангажира външни фирми, за да извършат годишен одит на нейните отчети.</w:t>
      </w:r>
    </w:p>
    <w:p>
      <w:pPr>
        <w:pStyle w:val="NumPar1"/>
        <w:rPr>
          <w:noProof/>
          <w:color w:val="000000" w:themeColor="text1"/>
        </w:rPr>
      </w:pPr>
      <w:r>
        <w:rPr>
          <w:rStyle w:val="boldface"/>
          <w:noProof/>
          <w:color w:val="000000" w:themeColor="text1"/>
        </w:rPr>
        <w:t>УПРАВЛЕНСКИ ПРОЦЕДУРИ</w:t>
      </w:r>
    </w:p>
    <w:p>
      <w:pPr>
        <w:rPr>
          <w:noProof/>
          <w:color w:val="000000" w:themeColor="text1"/>
        </w:rPr>
      </w:pPr>
      <w:r>
        <w:rPr>
          <w:noProof/>
          <w:color w:val="000000" w:themeColor="text1"/>
        </w:rPr>
        <w:t>Комисията извършва във връзка с ЕОВС в ликвидация, а след нейното приключване — във връзка с активите на Изследователския фонд за въглища и стомана, гореспоменатите управленски операции в съответствие с тези насоки и съгласно своите вътрешни правила и процедури, които са в сила за ЕОВС в периода на нейното разпускане или както бъдат променени впоследствие.</w:t>
      </w:r>
    </w:p>
    <w:p>
      <w:pPr>
        <w:rPr>
          <w:noProof/>
          <w:color w:val="000000" w:themeColor="text1"/>
        </w:rPr>
      </w:pPr>
      <w:r>
        <w:rPr>
          <w:noProof/>
          <w:color w:val="000000" w:themeColor="text1"/>
        </w:rPr>
        <w:t>Комисията изготвя ежегодно подробен доклад относно управленските операции, проведени съгласно настоящите финансови насоки, който се изпраща на държавите членки. В годишния доклад Комисията включва информация относно използването на различните класове активи, относно причините за своя избор да инвестира в конкретни класове активи, както и за наблюдаваните показатели за всеки клас активи.</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2017/1131 на Европейския парламент и на Съвета от 14 юни 2017 г. относно фондовете на паричния пазар (ОВ L 169, 30.6.2017 г., стр. 8).</w:t>
      </w:r>
    </w:p>
  </w:footnote>
  <w:footnote w:id="2">
    <w:p>
      <w:pPr>
        <w:pStyle w:val="FootnoteText"/>
      </w:pPr>
      <w:r>
        <w:rPr>
          <w:rStyle w:val="FootnoteReference"/>
        </w:rPr>
        <w:footnoteRef/>
      </w:r>
      <w:r>
        <w:tab/>
        <w:t>Регламент (ЕС) 2017/2402 на Европейския парламент и на Съвета от 12 декември 2017 г. за определяне на обща рамка за секюритизациите и за създаване на специфична рамка за опростени, прозрачни и стандартизирани секюритизации, и за изменение на директиви 2009/65/ЕО, 2009/138/ЕО и 2011/61/ЕС и регламенти (ЕО) № 1060/2009 и (ЕС) № 648/2012 (ОВ L 347, 28.12.2017 г., стр. 35).</w:t>
      </w:r>
    </w:p>
  </w:footnote>
  <w:footnote w:id="3">
    <w:p>
      <w:pPr>
        <w:pStyle w:val="FootnoteText"/>
      </w:pPr>
      <w:r>
        <w:rPr>
          <w:rStyle w:val="FootnoteReference"/>
        </w:rPr>
        <w:footnoteRef/>
      </w:r>
      <w:r>
        <w:tab/>
        <w:t>Директива 2009/65/ЕО на Европейския парламент и на Съвета от 13 юли 2009 г. относно координирането на законовите, подзаконовите и административните разпоредби относно предприятията за колективно инвестиране в прехвърлими ценни книжа (ПКИПЦК) (преработена версия) (ОВ L 302, 17.11.2009 г., стр. 32), изменена по-късно.</w:t>
      </w:r>
    </w:p>
  </w:footnote>
  <w:footnote w:id="4">
    <w:p>
      <w:pPr>
        <w:pStyle w:val="FootnoteText"/>
      </w:pPr>
      <w:r>
        <w:rPr>
          <w:rStyle w:val="FootnoteReference"/>
        </w:rPr>
        <w:footnoteRef/>
      </w:r>
      <w:r>
        <w:tab/>
        <w:t>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92F7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B9ADE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C6835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C2E43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D610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5C084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208F542"/>
    <w:lvl w:ilvl="0">
      <w:start w:val="1"/>
      <w:numFmt w:val="decimal"/>
      <w:pStyle w:val="ListNumber"/>
      <w:lvlText w:val="%1."/>
      <w:lvlJc w:val="left"/>
      <w:pPr>
        <w:tabs>
          <w:tab w:val="num" w:pos="360"/>
        </w:tabs>
        <w:ind w:left="360" w:hanging="360"/>
      </w:pPr>
    </w:lvl>
  </w:abstractNum>
  <w:abstractNum w:abstractNumId="7">
    <w:nsid w:val="FFFFFF89"/>
    <w:multiLevelType w:val="singleLevel"/>
    <w:tmpl w:val="98A222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5"/>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13 15:35: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55829A49-1ADA-4A9B-AA77-2333A4A58FFF"/>
    <w:docVar w:name="LW_COVERPAGE_TYPE" w:val="1"/>
    <w:docVar w:name="LW_CROSSREFERENCE" w:val="&lt;UNUSED&gt;"/>
    <w:docVar w:name="LW_DocType" w:val="ANNEX"/>
    <w:docVar w:name="LW_EMISSION" w:val="16.7.2020"/>
    <w:docVar w:name="LW_EMISSION_ISODATE" w:val="2020-07-16"/>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0?\u1079?\u1084?\u1077?\u1085?\u1077?\u1085?\u1080?\u1077? \u1085?\u1072? \u1056?\u1077?\u1096?\u1077?\u1085?\u1080?\u1077? 2003/77/\u1045?\u1054? \u1079?\u1072? \u1091?\u1089?\u1090?\u1072?\u1085?\u1086?\u1074?\u1103?\u1074?\u1072?\u1085?\u1077? \u1085?\u1072? \u1084?\u1085?\u1086?\u1075?\u1086?\u1075?\u1086?\u1076?\u1080?\u1096?\u1085?\u1080? \u1092?\u1080?\u1085?\u1072?\u1085?\u1089?\u1086?\u1074?\u1080? \u1085?\u1072?\u1089?\u1086?\u1082?\u1080? \u1079?\u1072? \u1091?\u1087?\u1088?\u1072?\u1074?\u1083?\u1077?\u1085?\u1080?\u1077?\u1090?\u1086? \u1085?\u1072? \u1072?\u1082?\u1090?\u1080?\u1074?\u1080?\u1090?\u1077? \u1085?\u1072? \u1045?\u1054?\u1042?\u1057? \u1074? \u1083?\u1080?\u1082?\u1074?\u1080?\u1076?\u1072?\u1094?\u1080?\u1103?, \u1072? \u1089?\u1083?\u1077?\u1076? \u1085?\u1077?\u1081?\u1085?\u1086?\u1090?\u1086? \u1087?\u1088?\u1080?\u1082?\u1083?\u1102?\u1095?\u1074?\u1072?\u1085?\u1077? \u8212? \u1085?\u1072? \u1072?\u1082?\u1090?\u1080?\u1074?\u1080?\u1090?\u1077? \u1085?\u1072? \u1048?\u1079?\u1089?\u1083?\u1077?\u1076?\u1086?\u1074?\u1072?\u1090?\u1077?\u1083?\u1089?\u1082?\u1080?\u1103? \u1092?\u1086?\u1085?\u1076? \u1079?\u1072? \u1074?\u1098?\u1075?\u1083?\u1080?\u1097?\u1072? \u1080? \u1089?\u1090?\u1086?\u1084?\u1072?\u1085?\u1072?_x000b_"/>
    <w:docVar w:name="LW_OBJETACTEPRINCIPAL.CP" w:val="\u1079?\u1072? \u1080?\u1079?\u1084?\u1077?\u1085?\u1077?\u1085?\u1080?\u1077? \u1085?\u1072? \u1056?\u1077?\u1096?\u1077?\u1085?\u1080?\u1077? 2003/77/\u1045?\u1054? \u1079?\u1072? \u1091?\u1089?\u1090?\u1072?\u1085?\u1086?\u1074?\u1103?\u1074?\u1072?\u1085?\u1077? \u1085?\u1072? \u1084?\u1085?\u1086?\u1075?\u1086?\u1075?\u1086?\u1076?\u1080?\u1096?\u1085?\u1080? \u1092?\u1080?\u1085?\u1072?\u1085?\u1089?\u1086?\u1074?\u1080? \u1085?\u1072?\u1089?\u1086?\u1082?\u1080? \u1079?\u1072? \u1091?\u1087?\u1088?\u1072?\u1074?\u1083?\u1077?\u1085?\u1080?\u1077?\u1090?\u1086? \u1085?\u1072? \u1072?\u1082?\u1090?\u1080?\u1074?\u1080?\u1090?\u1077? \u1085?\u1072? \u1045?\u1054?\u1042?\u1057? \u1074? \u1083?\u1080?\u1082?\u1074?\u1080?\u1076?\u1072?\u1094?\u1080?\u1103?, \u1072? \u1089?\u1083?\u1077?\u1076? \u1085?\u1077?\u1081?\u1085?\u1086?\u1090?\u1086? \u1087?\u1088?\u1080?\u1082?\u1083?\u1102?\u1095?\u1074?\u1072?\u1085?\u1077? \u8212? \u1085?\u1072? \u1072?\u1082?\u1090?\u1080?\u1074?\u1080?\u1090?\u1077? \u1085?\u1072? \u1048?\u1079?\u1089?\u1083?\u1077?\u1076?\u1086?\u1074?\u1072?\u1090?\u1077?\u1083?\u1089?\u1082?\u1080?\u1103? \u1092?\u1086?\u1085?\u1076? \u1079?\u1072? \u1074?\u1098?\u1075?\u1083?\u1080?\u1097?\u1072? \u1080? \u1089?\u1090?\u1086?\u1084?\u1072?\u1085?\u1072?_x000b_"/>
    <w:docVar w:name="LW_PART_NBR" w:val="1"/>
    <w:docVar w:name="LW_PART_NBR_TOTAL" w:val="1"/>
    <w:docVar w:name="LW_REF.INST.NEW" w:val="COM"/>
    <w:docVar w:name="LW_REF.INST.NEW_ADOPTED" w:val="final"/>
    <w:docVar w:name="LW_REF.INST.NEW_TEXT" w:val="(2020) 3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6?\u1045?\u1064?\u1045?\u1053?\u1048?\u1045? \u1053?\u1040? \u1057?\u1066?\u1042?\u1045?\u1058?\u1040?"/>
    <w:docVar w:name="LW_TYPEACTEPRINCIPAL.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face">
    <w:name w:val="boldface"/>
    <w:basedOn w:val="DefaultParagraphFont"/>
  </w:style>
  <w:style w:type="paragraph" w:styleId="ListBullet3">
    <w:name w:val="List Bullet 3"/>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face">
    <w:name w:val="boldface"/>
    <w:basedOn w:val="DefaultParagraphFont"/>
  </w:style>
  <w:style w:type="paragraph" w:styleId="ListBullet3">
    <w:name w:val="List Bullet 3"/>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6</Pages>
  <Words>1814</Words>
  <Characters>10980</Characters>
  <Application>Microsoft Office Word</Application>
  <DocSecurity>0</DocSecurity>
  <Lines>203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STOSKUTE Loreta (BUDG)</dc:creator>
  <cp:keywords/>
  <dc:description/>
  <cp:lastModifiedBy>WES PDFC Administrator</cp:lastModifiedBy>
  <cp:revision>9</cp:revision>
  <dcterms:created xsi:type="dcterms:W3CDTF">2020-06-29T09:45:00Z</dcterms:created>
  <dcterms:modified xsi:type="dcterms:W3CDTF">2020-07-13T13:35:00Z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