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55235092-15E6-4242-9410-1BC8836BD989" style="width:450.4pt;height:434.5pt">
            <v:imagedata r:id="rId8" o:title=""/>
          </v:shape>
        </w:pict>
      </w:r>
    </w:p>
    <w:bookmarkEnd w:id="0"/>
    <w:p>
      <w:pPr>
        <w:rPr>
          <w:noProof/>
          <w:lang w:val="en-GB"/>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jc w:val="center"/>
        <w:rPr>
          <w:rFonts w:ascii="Times New Roman" w:hAnsi="Times New Roman" w:cs="Times New Roman"/>
          <w:noProof/>
          <w:sz w:val="24"/>
          <w:szCs w:val="24"/>
        </w:rPr>
      </w:pPr>
      <w:bookmarkStart w:id="1" w:name="_GoBack"/>
      <w:bookmarkEnd w:id="1"/>
      <w:r>
        <w:rPr>
          <w:rFonts w:ascii="Times New Roman" w:hAnsi="Times New Roman"/>
          <w:b/>
          <w:noProof/>
          <w:sz w:val="24"/>
          <w:szCs w:val="24"/>
        </w:rPr>
        <w:lastRenderedPageBreak/>
        <w:t xml:space="preserve">ПРИЛОЖЕНИЕ </w:t>
      </w:r>
      <w:r>
        <w:rPr>
          <w:noProof/>
        </w:rPr>
        <w:t xml:space="preserve"> </w:t>
      </w:r>
      <w:r>
        <w:rPr>
          <w:noProof/>
        </w:rPr>
        <w:br/>
      </w:r>
      <w:r>
        <w:rPr>
          <w:rFonts w:ascii="Times New Roman" w:hAnsi="Times New Roman"/>
          <w:b/>
          <w:noProof/>
          <w:sz w:val="24"/>
          <w:szCs w:val="24"/>
        </w:rPr>
        <w:t xml:space="preserve">. </w:t>
      </w:r>
      <w:r>
        <w:rPr>
          <w:noProof/>
        </w:rPr>
        <w:t xml:space="preserve"> </w:t>
      </w:r>
      <w:r>
        <w:rPr>
          <w:noProof/>
        </w:rPr>
        <w:br/>
      </w:r>
      <w:r>
        <w:rPr>
          <w:rFonts w:ascii="Times New Roman" w:hAnsi="Times New Roman"/>
          <w:b/>
          <w:noProof/>
          <w:sz w:val="24"/>
          <w:szCs w:val="24"/>
        </w:rPr>
        <w:t>ОБОБЩЕНИЕ — СЪВМЕСТНО ВЪЗЛАГАНЕ НА ОБЩЕСТВЕНИ ПОРЪЧКИ</w:t>
      </w:r>
    </w:p>
    <w:p>
      <w:pPr>
        <w:rPr>
          <w:rFonts w:ascii="Times New Roman" w:hAnsi="Times New Roman" w:cs="Times New Roman"/>
          <w:noProof/>
          <w:sz w:val="24"/>
          <w:szCs w:val="24"/>
          <w:u w:val="single"/>
        </w:rPr>
      </w:pPr>
      <w:r>
        <w:rPr>
          <w:rFonts w:ascii="Times New Roman" w:hAnsi="Times New Roman"/>
          <w:noProof/>
          <w:sz w:val="24"/>
          <w:szCs w:val="24"/>
          <w:u w:val="single"/>
        </w:rPr>
        <w:t>Споразумението за съвместно възлагане на обществени поръчки — правно основание и цели</w:t>
      </w:r>
    </w:p>
    <w:p>
      <w:pPr>
        <w:spacing w:after="100" w:afterAutospacing="1" w:line="276" w:lineRule="auto"/>
        <w:jc w:val="both"/>
        <w:rPr>
          <w:rFonts w:ascii="Times New Roman" w:eastAsia="Times New Roman" w:hAnsi="Times New Roman" w:cs="Times New Roman"/>
          <w:noProof/>
          <w:sz w:val="24"/>
          <w:szCs w:val="24"/>
        </w:rPr>
      </w:pPr>
      <w:r>
        <w:rPr>
          <w:rFonts w:ascii="Times New Roman" w:hAnsi="Times New Roman"/>
          <w:noProof/>
          <w:sz w:val="24"/>
          <w:szCs w:val="24"/>
        </w:rPr>
        <w:t>На 10 април 2014 г. Комисията прие Споразумение за съвместно възлагане на обществени поръчки</w:t>
      </w:r>
      <w:r>
        <w:rPr>
          <w:rStyle w:val="FootnoteReference"/>
          <w:rFonts w:ascii="Times New Roman" w:eastAsia="Times New Roman" w:hAnsi="Times New Roman" w:cs="Times New Roman"/>
          <w:noProof/>
          <w:sz w:val="24"/>
          <w:szCs w:val="24"/>
          <w:lang w:eastAsia="fr-BE"/>
        </w:rPr>
        <w:footnoteReference w:id="1"/>
      </w:r>
      <w:r>
        <w:rPr>
          <w:rFonts w:ascii="Times New Roman" w:hAnsi="Times New Roman"/>
          <w:noProof/>
          <w:sz w:val="24"/>
          <w:szCs w:val="24"/>
        </w:rPr>
        <w:t xml:space="preserve"> за институциите на ЕС, заедно с държавите, които са се присъединили към него, за закупуването на: ваксини; антивирусни препарати и медицински мерки за противодействие при сериозни трансгранични заплахи за здравето. През април 2020 г. Споразумението беше подписано от всички 27 страни от ЕС, Обединеното кралство, 3-те държави от ЕИП (Норвегия, Исландия и Лихтенщайн), както и от Албания, Босна и Херцеговина, Черна гора, Сърбия, Северна Македония и Косово</w:t>
      </w:r>
      <w:r>
        <w:rPr>
          <w:rStyle w:val="FootnoteReference"/>
          <w:rFonts w:ascii="Times New Roman" w:eastAsia="Times New Roman" w:hAnsi="Times New Roman" w:cs="Times New Roman"/>
          <w:noProof/>
          <w:sz w:val="24"/>
          <w:szCs w:val="24"/>
          <w:lang w:eastAsia="fr-BE"/>
        </w:rPr>
        <w:footnoteReference w:id="2"/>
      </w:r>
      <w:r>
        <w:rPr>
          <w:rStyle w:val="FootnoteReference"/>
          <w:rFonts w:ascii="Times New Roman" w:eastAsia="Times New Roman" w:hAnsi="Times New Roman" w:cs="Times New Roman"/>
          <w:noProof/>
          <w:sz w:val="24"/>
          <w:szCs w:val="24"/>
          <w:lang w:eastAsia="fr-BE"/>
        </w:rPr>
        <w:footnoteReference w:id="3"/>
      </w:r>
      <w:r>
        <w:rPr>
          <w:rFonts w:ascii="Times New Roman" w:hAnsi="Times New Roman"/>
          <w:noProof/>
          <w:sz w:val="24"/>
          <w:szCs w:val="24"/>
        </w:rPr>
        <w:t>. Тези държави могат да участват във всяка бъдеща съвместна процедура за възлагане на обществени поръчки. Споразумението за съвместно възлагане на обществени поръчки е подписано от 37 партньори и обхваща 537 милиона души. Съвместният механизъм за възлагане на обществени поръчки беше създаден с цел подобряване на готовността на държавите членки да реагират при извънредни ситуации, а именно да се създаде резерв от медицински мерки за противодействие преди възникването на извънредна ситуация. Първоначално механизмът не беше предвиден да се използва по време на извънредна ситуация. Сегашните обстоятелства открояват значението на готовността, като същевременно оказват огромен натиск върху механизма. Въпреки натиска инструментите обаче вече започват да дават резултати.</w:t>
      </w:r>
    </w:p>
    <w:p>
      <w:pPr>
        <w:rPr>
          <w:rFonts w:ascii="Times New Roman" w:hAnsi="Times New Roman" w:cs="Times New Roman"/>
          <w:noProof/>
          <w:sz w:val="24"/>
          <w:szCs w:val="24"/>
          <w:u w:val="single"/>
        </w:rPr>
      </w:pPr>
      <w:bookmarkStart w:id="2" w:name="_Toc35595806"/>
      <w:r>
        <w:rPr>
          <w:rFonts w:ascii="Times New Roman" w:hAnsi="Times New Roman"/>
          <w:noProof/>
          <w:sz w:val="24"/>
          <w:szCs w:val="24"/>
          <w:u w:val="single"/>
        </w:rPr>
        <w:t xml:space="preserve">Практически условия </w:t>
      </w:r>
      <w:bookmarkEnd w:id="2"/>
      <w:r>
        <w:rPr>
          <w:rFonts w:ascii="Times New Roman" w:hAnsi="Times New Roman"/>
          <w:noProof/>
          <w:sz w:val="24"/>
          <w:szCs w:val="24"/>
          <w:u w:val="single"/>
        </w:rPr>
        <w:t>и скорост на изпълнението на съвместните обществени поръчки във връзка с COVID-19</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В контекста на COVID-19 поради изключителната спешност се използва процедурата на договаряне. Това означава, че потенциалните оференти са определени чрез анализ на пазара и само поканените дружества могат да представят оферта. След като поръчката бъде възложена, участващите държави членки получават общото количество на поръчаните или запазените мерки. Сроковете на доставка обаче зависят от производствения капацитет на производителите и приложимите критерии за разпределяне. Окончателното разпределение на наличните количества медицински мерки за противодействие се извършва от специалния управителен комитет. По собствена инициатива Комисията предложи редица мерки, които да се прилагат по изключение с цел ускоряване на процедурите. Процедурите се забавят, тъй като е необходимо време на всички заинтересовани държави членки да представят данни за нуждите си, както и поради скоростта на реакция на дружествата/пазара.</w:t>
      </w:r>
    </w:p>
    <w:p>
      <w:pPr>
        <w:rPr>
          <w:rFonts w:ascii="Times New Roman" w:hAnsi="Times New Roman" w:cs="Times New Roman"/>
          <w:noProof/>
          <w:sz w:val="24"/>
          <w:szCs w:val="24"/>
          <w:u w:val="single"/>
        </w:rPr>
      </w:pPr>
      <w:bookmarkStart w:id="3" w:name="_Toc35595807"/>
      <w:r>
        <w:rPr>
          <w:rFonts w:ascii="Times New Roman" w:hAnsi="Times New Roman"/>
          <w:noProof/>
          <w:sz w:val="24"/>
          <w:szCs w:val="24"/>
          <w:u w:val="single"/>
        </w:rPr>
        <w:t>Текущи съвместни обществени поръчки във връзка с COVID-19</w:t>
      </w:r>
      <w:bookmarkEnd w:id="3"/>
    </w:p>
    <w:p>
      <w:pPr>
        <w:spacing w:line="276" w:lineRule="auto"/>
        <w:jc w:val="both"/>
        <w:rPr>
          <w:rFonts w:ascii="Times New Roman" w:hAnsi="Times New Roman" w:cs="Times New Roman"/>
          <w:noProof/>
          <w:sz w:val="24"/>
          <w:szCs w:val="24"/>
        </w:rPr>
      </w:pPr>
      <w:r>
        <w:rPr>
          <w:rFonts w:ascii="Times New Roman" w:hAnsi="Times New Roman"/>
          <w:noProof/>
          <w:sz w:val="24"/>
          <w:szCs w:val="24"/>
        </w:rPr>
        <w:lastRenderedPageBreak/>
        <w:t>Открити са пет процедури за съвместно възлагане на обществени поръчки, които обхващат лични предпазни средства, апарати за изкуствена белодробна вентилация и лабораторно оборудване. По линия на първата обществена поръчка за ЛПС държавите членки имат възможност да поръчват ръкавици от началото на април. От началото на май държавите членки могат също така да представят поръчки за защитни костюми. По линия на втората обществена поръчка за ЛПС държавите членки имат възможност да поръчват очила, лицеви щитове и маски от началото на април. По линия на третата обществена поръчка за апарати за изкуствена белодробна вентилация държавите членки могат да представят поръчки от 15 април.  По линия на четвъртата обществена поръчка за лабораторно оборудване държавите членки вече имат възможност да подават поръчки от началото на май. По линия на петата обществена поръчка за лекарства за интензивни отделения на 17 юни беше обявена процедура за представяне на оферти.</w:t>
      </w:r>
    </w:p>
    <w:p>
      <w:pPr>
        <w:jc w:val="both"/>
        <w:rPr>
          <w:rFonts w:ascii="Times New Roman" w:hAnsi="Times New Roman" w:cs="Times New Roman"/>
          <w:noProof/>
          <w:sz w:val="24"/>
          <w:szCs w:val="24"/>
        </w:rPr>
      </w:pPr>
      <w:r>
        <w:rPr>
          <w:rFonts w:ascii="Times New Roman" w:hAnsi="Times New Roman"/>
          <w:noProof/>
          <w:sz w:val="24"/>
          <w:szCs w:val="24"/>
        </w:rPr>
        <w:t xml:space="preserve">Обществените поръчки за лични предпазни средства, апарати за изкуствена белодробна вентилация и лабораторно оборудване ще предоставят на държавите членки общ бюджет с таван от </w:t>
      </w:r>
      <w:r>
        <w:rPr>
          <w:rFonts w:ascii="Times New Roman" w:hAnsi="Times New Roman"/>
          <w:b/>
          <w:noProof/>
          <w:sz w:val="24"/>
          <w:szCs w:val="24"/>
        </w:rPr>
        <w:t>3,3 млрд. евро за доставки от първостепенно значение</w:t>
      </w:r>
      <w:r>
        <w:rPr>
          <w:rFonts w:ascii="Times New Roman" w:hAnsi="Times New Roman"/>
          <w:noProof/>
          <w:sz w:val="24"/>
          <w:szCs w:val="24"/>
        </w:rPr>
        <w:t>, като те ще могат да възлагат поръчките си в течение на една година</w:t>
      </w:r>
      <w:r>
        <w:rPr>
          <w:rStyle w:val="FootnoteReference"/>
          <w:rFonts w:ascii="Times New Roman" w:hAnsi="Times New Roman" w:cs="Times New Roman"/>
          <w:noProof/>
          <w:sz w:val="24"/>
          <w:szCs w:val="24"/>
        </w:rPr>
        <w:footnoteReference w:id="4"/>
      </w:r>
      <w:r>
        <w:rPr>
          <w:noProof/>
        </w:rPr>
        <w:t>.</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Ако възникне необходимост, по всяко време могат да бъдат възлагани допълнителни съвместни обществени поръчки. За тази цел се изисква участието на поне четири държави членки и Комисията.</w:t>
      </w:r>
    </w:p>
    <w:sectPr>
      <w:headerReference w:type="even" r:id="rId15"/>
      <w:headerReference w:type="default" r:id="rId16"/>
      <w:footerReference w:type="even" r:id="rId17"/>
      <w:footerReference w:type="default" r:id="rId18"/>
      <w:headerReference w:type="first" r:id="rId19"/>
      <w:footerReference w:type="first" r:id="rId20"/>
      <w:pgSz w:w="11906" w:h="16838"/>
      <w:pgMar w:top="567" w:right="1440" w:bottom="568" w:left="1440" w:header="426" w:footer="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10255"/>
      <w:docPartObj>
        <w:docPartGallery w:val="Page Numbers (Bottom of Page)"/>
        <w:docPartUnique/>
      </w:docPartObj>
    </w:sdtPr>
    <w:sdtEndPr>
      <w:rPr>
        <w:rFonts w:ascii="Times New Roman" w:hAnsi="Times New Roman" w:cs="Times New Roman"/>
        <w:noProof/>
        <w:sz w:val="24"/>
        <w:szCs w:val="24"/>
      </w:rPr>
    </w:sdtEndPr>
    <w:sdtContent>
      <w:p>
        <w:pPr>
          <w:pStyle w:val="Footer"/>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Разпоредбите за Споразумението за съвместно възлагане на обществени поръчки са включени в член 5 от Решение № 1082/2013/ЕС.</w:t>
      </w:r>
    </w:p>
  </w:footnote>
  <w:footnote w:id="2">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Това название не засяга позициите по отношение на статута и е съобразено с Резолюция 1244(1999) на Съвета за сигурност на ООН и становището на Международния съд относно обявяването на независимост от страна на Косово.</w:t>
      </w:r>
    </w:p>
  </w:footnote>
  <w:footnote w:id="3">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След призива на Европейския съвет от 26 март 2020 г. за отваряне на Споразумението за съвместно възлагане на обществени поръчки за Западните Балкани започнаха обсъждания със съответните шестима партньори. Някои държави все още не са приключили своите национални процедури за одобрение. Докато не уведомят Комисията, като представят приложение II, те не се вземат предвид за целите на постигането на общо съгласие, квалифицирано мнозинство или обикновено мнозинство съгласно Споразумението.</w:t>
      </w:r>
    </w:p>
  </w:footnote>
  <w:footnote w:id="4">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Style w:val="FootnoteReference"/>
          <w:rFonts w:ascii="Times New Roman" w:hAnsi="Times New Roman"/>
          <w:sz w:val="16"/>
          <w:szCs w:val="16"/>
        </w:rPr>
        <w:t xml:space="preserve"> </w:t>
      </w:r>
      <w:r>
        <w:rPr>
          <w:rFonts w:ascii="Times New Roman" w:hAnsi="Times New Roman"/>
          <w:sz w:val="16"/>
          <w:szCs w:val="16"/>
        </w:rPr>
        <w:t>(Възможно е да има корекции на таваните в процеса на договаряне на поръчките.)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55235092-15E6-4242-9410-1BC8836BD989"/>
    <w:docVar w:name="LW_COVERPAGE_TYPE" w:val="1"/>
    <w:docVar w:name="LW_CROSSREFERENCE" w:val="&lt;UNUSED&gt;"/>
    <w:docVar w:name="LW_DocType" w:val="NORMAL"/>
    <w:docVar w:name="LW_EMISSION" w:val="15.7.2020"/>
    <w:docVar w:name="LW_EMISSION_ISODATE" w:val="2020-07-15"/>
    <w:docVar w:name="LW_EMISSION_LOCATION" w:val="BRX"/>
    <w:docVar w:name="LW_EMISSION_PREFIX" w:val="Брюксел, "/>
    <w:docVar w:name="LW_EMISSION_SUFFIX" w:val=" \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lt;FMT:Bold&gt;\u1043?\u1086?\u1090?\u1086?\u1074?\u1085?\u1086?\u1089?\u1090? \u1074? \u1082?\u1088?\u1072?\u1090?\u1082?\u1086?\u1089?\u1088?\u1086?\u1095?\u1077?\u1085? \u1087?\u1083?\u1072?\u1085? \u1085?\u1072? \u1089?\u1080?\u1089?\u1090?\u1077?\u1084?\u1080?\u1090?\u1077? \u1079?\u1072? \u1079?\u1076?\u1088?\u1072?\u1074?\u1077?\u1086?\u1087?\u1072?\u1079?\u1074?\u1072?\u1085?\u1077? \u1074? \u1045?\u1057? \u1079?\u1072? \u1077?\u1087?\u1080?\u1076?\u1077?\u1084?\u1080?\u1095?\u1085?\u1080? \u1074?\u1079?\u1088?\u1080?\u1074?\u1086?\u1074?\u1077? \u1086?\u1090? COVID-19&lt;/FMT&gt;_x000d__x000b_"/>
    <w:docVar w:name="LW_PART_NBR" w:val="1"/>
    <w:docVar w:name="LW_PART_NBR_TOTAL" w:val="1"/>
    <w:docVar w:name="LW_REF.INST.NEW" w:val="COM"/>
    <w:docVar w:name="LW_REF.INST.NEW_ADOPTED" w:val="final"/>
    <w:docVar w:name="LW_REF.INST.NEW_TEXT" w:val="(2020) 3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bg-BG"/>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bg-BG"/>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bg-BG"/>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bg-BG"/>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68738-0955-4E1D-A456-E61A09DDB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567</Words>
  <Characters>3451</Characters>
  <Application>Microsoft Office Word</Application>
  <DocSecurity>0</DocSecurity>
  <Lines>60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2020-07-10T19:02:00Z</dcterms:created>
  <dcterms:modified xsi:type="dcterms:W3CDTF">2020-07-20T13:50:00Z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First annex">
    <vt:lpwstr>1</vt:lpwstr>
  </property>
  <property fmtid="{D5CDD505-2E9C-101B-9397-08002B2CF9AE}" pid="5" name="Last annex">
    <vt:lpwstr>1</vt:lpwstr>
  </property>
  <property fmtid="{D5CDD505-2E9C-101B-9397-08002B2CF9AE}" pid="6" name="Unique annex">
    <vt:lpwstr>1</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y fmtid="{D5CDD505-2E9C-101B-9397-08002B2CF9AE}" pid="10" name="CPTemplateID">
    <vt:lpwstr>CP-039</vt:lpwstr>
  </property>
</Properties>
</file>