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3D6540C-A9FE-44A7-BFB7-0C93EF8EDD60" style="width:451.25pt;height:320.6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СЪВМЕСТЕН ДОКЛАД ДО ЕВРОПЕЙСКИЯ ПАРЛАМЕНТ И СЪВЕТА</w:t>
      </w:r>
    </w:p>
    <w:p>
      <w:pPr>
        <w:jc w:val="center"/>
        <w:rPr>
          <w:rFonts w:ascii="Times New Roman" w:hAnsi="Times New Roman" w:cs="Times New Roman"/>
          <w:b/>
          <w:smallCaps/>
          <w:noProof/>
          <w:sz w:val="24"/>
          <w:szCs w:val="24"/>
        </w:rPr>
      </w:pPr>
      <w:r>
        <w:rPr>
          <w:rFonts w:ascii="Times New Roman" w:hAnsi="Times New Roman"/>
          <w:b/>
          <w:smallCaps/>
          <w:noProof/>
          <w:sz w:val="24"/>
          <w:szCs w:val="24"/>
        </w:rPr>
        <w:t xml:space="preserve">СПЕЦИАЛЕН АДМИНИСТРАТИВЕН РАЙОН ХОНКОНГ: </w:t>
      </w:r>
    </w:p>
    <w:p>
      <w:pPr>
        <w:jc w:val="center"/>
        <w:rPr>
          <w:rFonts w:ascii="Times New Roman" w:hAnsi="Times New Roman" w:cs="Times New Roman"/>
          <w:b/>
          <w:smallCaps/>
          <w:noProof/>
          <w:sz w:val="24"/>
          <w:szCs w:val="24"/>
        </w:rPr>
      </w:pPr>
      <w:r>
        <w:rPr>
          <w:rFonts w:ascii="Times New Roman" w:hAnsi="Times New Roman"/>
          <w:b/>
          <w:smallCaps/>
          <w:noProof/>
          <w:sz w:val="24"/>
          <w:szCs w:val="24"/>
        </w:rPr>
        <w:t>ГОДИШЕН ДОКЛАД ЗА 2019 г.</w:t>
      </w:r>
    </w:p>
    <w:p>
      <w:pPr>
        <w:spacing w:after="100" w:afterAutospacing="1" w:line="480" w:lineRule="auto"/>
        <w:jc w:val="both"/>
        <w:rPr>
          <w:rFonts w:ascii="Times New Roman" w:hAnsi="Times New Roman" w:cs="Times New Roman"/>
          <w:noProof/>
          <w:sz w:val="24"/>
          <w:szCs w:val="24"/>
        </w:rPr>
      </w:pPr>
      <w:r>
        <w:rPr>
          <w:rFonts w:ascii="Times New Roman" w:hAnsi="Times New Roman"/>
          <w:b/>
          <w:bCs/>
          <w:noProof/>
          <w:sz w:val="24"/>
          <w:szCs w:val="24"/>
        </w:rPr>
        <w:t>Обобщение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От преминаването през 1997 г. на Хонконг към Китайската народна република (КНР) Европейският съюз (ЕС) и неговите държави членки следят отблизо политическите и икономическите събития в Специалния административен район Хонконг (САР Хонконг). ЕС се придържа към политиката си за „единен Китай“ и подкрепя принципа „една държава — две системи“ и неговото прилагане. В съответствие с поетия през 1997 г. ангажимент към Европейския парламент, Комисията ежегодно изготвя доклад относно събитията в Хонконг. Настоящият документ е двадесет и вторият доклад и обхваща събитията през 2019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 Хонконг 2019 г. беше година, изпълнена с изключителни предизвикателства — с продължаващи размирици, които първоначално бяха предизвикани от предложенията за изменение на закона за екстрадицията, който беше поставен на първо четене в Законодателния съвет на 3 април 2019 г. През втората половина на годината имаше големи демонстрации и протести, белязани с насилие, обсади на университети, вандализъм и прекъсване на услугите, предоставяни от транспортните мрежи, летището и други аспекти на ежедневието. Протестиращите формулираха пет искания към правителството на Хонконг. Причините за размириците включваха както политически, така и социално-икономически опасения. Реакцията на правителството включваше оттегляне на законопроекта за екстрадицията, позоваване на извънредните правомощия за първи път от 1967 г. с цел утвърждаване на закон срещу носенето на маски на публични събирания и в известна ограничен степен комуникация с протестното движение чрез провеждане на диалог в рамките на общността. Твърденията за неправомерни действия от страна на полицията подкрепиха исканията на протестиращите за разследваща комисия с широк обхват от правомощия. Правителството на Хонконг обаче отказа да създаде такава независима комисия. Независимият съвет по жалбите срещу полицията (НСЖП) разглежда няколко случая във връзка с твърдения за неправомерни действия на полицията и се очакваше да публикува предварителен доклад в началото на 2020 г. Беше изразено съмнение обаче относно това доколко неговите правомощия са подходящи.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Мирното провеждането на изборите за районни съвети през ноември подхрани надеждите за деескалация на насилието. Рекордно високата избирателна активност от 71,2 % беше доказателство за важността, която гражданите на Хонконг отдават на упражняването на своите демократични права. След изборите мирните като цяло масови протести и някои отделни случаи на насилие продължиха до края на годината.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ЕС продължава да насърчава САР Хонконг и органите на централното правителство да възобновят избирателната реформа, залегнала в Основния закон, и да постигнат съгласие по избирателна система, която да е демократична, справедлива, открита и прозрачна. Всеобщото избирателно право ще даде на правителството на Хонконг по-голяма обществена подкрепа и легитимност във връзка с постигането на икономическите цели на Хонконг и преодоляването на социално- икономическите предизвикателства. За да се гарантира стабилността в Хонконг в дългосрочен план, е </w:t>
      </w:r>
      <w:r>
        <w:rPr>
          <w:rFonts w:ascii="Times New Roman" w:hAnsi="Times New Roman"/>
          <w:noProof/>
          <w:sz w:val="24"/>
          <w:szCs w:val="24"/>
        </w:rPr>
        <w:lastRenderedPageBreak/>
        <w:t>необходимо да се реагира убедително а недоволството, на което са израз продължаващите протести.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Засилиха се опасенията във връзка с подкопаването на принципа „една държава — две системи“ и автономността на Хонконг. Като цяло основните свободи продължиха да се спазват в Хонконг, като принципите на върховенството на закона и независимостта на съдебната система остават ключови гаранции в това отношение. Има обаче някои тревожни тенденции относно свободата на словото, по-конкретно в контекста на продължаващите протести. Решението на Върховния съд от 18 ноември относно противоконституционността на закона срещу носенето на маски беше повод за изявления от страна на Пекин с твърдения, че съдилищата на Хонконг не могат да се произнасят относно конституционността на законодателството на Хонконг и неговото съответствие с Основния закон. Предприемането на</w:t>
      </w:r>
      <w:r>
        <w:rPr>
          <w:rFonts w:ascii="Times New Roman" w:hAnsi="Times New Roman"/>
          <w:noProof/>
          <w:color w:val="000000"/>
          <w:sz w:val="24"/>
          <w:szCs w:val="24"/>
        </w:rPr>
        <w:t xml:space="preserve"> каквито и да е мерки за ограничаване на прерогативите на съдилищата в това отношение биха подкопали автономността, предоставена на Хонконг, включително на независимостта на неговата съдебна система и на върховенството на закона. </w:t>
      </w:r>
      <w:r>
        <w:rPr>
          <w:rFonts w:ascii="Times New Roman" w:hAnsi="Times New Roman"/>
          <w:noProof/>
          <w:sz w:val="24"/>
          <w:szCs w:val="24"/>
        </w:rPr>
        <w:t xml:space="preserve">Системата за </w:t>
      </w:r>
      <w:r>
        <w:rPr>
          <w:rFonts w:ascii="Times New Roman" w:hAnsi="Times New Roman"/>
          <w:bCs/>
          <w:noProof/>
          <w:sz w:val="24"/>
          <w:szCs w:val="24"/>
        </w:rPr>
        <w:t>борба с корупцията</w:t>
      </w:r>
      <w:r>
        <w:rPr>
          <w:rFonts w:ascii="Times New Roman" w:hAnsi="Times New Roman"/>
          <w:b/>
          <w:bCs/>
          <w:noProof/>
          <w:sz w:val="24"/>
          <w:szCs w:val="24"/>
        </w:rPr>
        <w:t xml:space="preserve"> </w:t>
      </w:r>
      <w:r>
        <w:rPr>
          <w:rFonts w:ascii="Times New Roman" w:hAnsi="Times New Roman"/>
          <w:noProof/>
          <w:sz w:val="24"/>
          <w:szCs w:val="24"/>
        </w:rPr>
        <w:t xml:space="preserve">продължи да бъде активна и устойчива.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 икономически план 2019 г. беше трудна година за Хонконг, с 1,2 % свиване на БВП и първи бюджетен дефицит за последните 15 години. Това до голяма степен се дължеше на външни фактори, които вече бяха налице към края на 2018 г., като например забавянето на китайската икономика и търговските спорове между САЩ и Китай, въпреки че размириците през втората половина на 2019 г. имаха критичното въздействие, особено върху секторите, свързани с туризма. Хонконг обаче разполага с голям фискален резерв и големи резерви в чуждестранна валута, които му дават възможност да се справи с трудните обстоятелства, да гарантира валутна стабилност и да подпомогне бизнеса. Финансовият и банковият сектор на Хонконг остават устойчиви и много конкурентоспособни, което му дава възможност да продължи да бъде на първо място като световен център за първично публично предлагане (ППП) и да предотврати дължащ се на паника отлив на капитал.</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Европейската бизнес общност в Хонконг беше засегната в различна степен от икономическото положение и размириците. Европейските дружества са възприели предимно подход на изчакване, въпреки че са силно притеснени от политическата безизходица, насилието и безпрецедентния натиск върху бизнеса. </w:t>
      </w:r>
      <w:r>
        <w:rPr>
          <w:rFonts w:ascii="Times New Roman" w:hAnsi="Times New Roman"/>
          <w:noProof/>
          <w:color w:val="000000" w:themeColor="text1"/>
          <w:sz w:val="24"/>
          <w:szCs w:val="24"/>
        </w:rPr>
        <w:t xml:space="preserve">Европейската бизнес общност цени </w:t>
      </w:r>
      <w:r>
        <w:rPr>
          <w:rFonts w:ascii="Times New Roman" w:hAnsi="Times New Roman"/>
          <w:noProof/>
          <w:sz w:val="24"/>
          <w:szCs w:val="24"/>
        </w:rPr>
        <w:t xml:space="preserve">като основни елементи на конкурентоспособността на Хонконг стабилната правна система, независимостта на съдебната власт, основните права и свободи и наличието на бизнес среда, в която няма политическа намеса. </w:t>
      </w:r>
      <w:r>
        <w:rPr>
          <w:rFonts w:ascii="Times New Roman" w:hAnsi="Times New Roman"/>
          <w:noProof/>
          <w:color w:val="000000" w:themeColor="text1"/>
          <w:sz w:val="24"/>
          <w:szCs w:val="24"/>
        </w:rPr>
        <w:t>Подкопаването на тези активи би имало отрицателно въздействие върху привлекателността на Хонконг в тази насока и върху неговите конкурентни предимства спрямо други бизнес центрове.</w:t>
      </w:r>
    </w:p>
    <w:p>
      <w:pPr>
        <w:spacing w:before="120" w:after="120" w:line="240" w:lineRule="auto"/>
        <w:jc w:val="both"/>
        <w:rPr>
          <w:rFonts w:ascii="Times New Roman" w:hAnsi="Times New Roman" w:cs="Times New Roman"/>
          <w:bCs/>
          <w:iCs/>
          <w:noProof/>
          <w:sz w:val="24"/>
          <w:szCs w:val="24"/>
        </w:rPr>
      </w:pPr>
      <w:r>
        <w:rPr>
          <w:rFonts w:ascii="Times New Roman" w:hAnsi="Times New Roman"/>
          <w:bCs/>
          <w:noProof/>
          <w:sz w:val="24"/>
          <w:szCs w:val="24"/>
        </w:rPr>
        <w:t>ЕС направи няколко изявления и декларации</w:t>
      </w:r>
      <w:r>
        <w:rPr>
          <w:rFonts w:ascii="Times New Roman" w:hAnsi="Times New Roman"/>
          <w:b/>
          <w:bCs/>
          <w:noProof/>
          <w:sz w:val="24"/>
          <w:szCs w:val="24"/>
        </w:rPr>
        <w:t xml:space="preserve"> </w:t>
      </w:r>
      <w:r>
        <w:rPr>
          <w:rFonts w:ascii="Times New Roman" w:hAnsi="Times New Roman"/>
          <w:noProof/>
          <w:sz w:val="24"/>
          <w:szCs w:val="24"/>
        </w:rPr>
        <w:t>през годината</w:t>
      </w:r>
      <w:r>
        <w:rPr>
          <w:rFonts w:ascii="Times New Roman" w:hAnsi="Times New Roman"/>
          <w:b/>
          <w:bCs/>
          <w:noProof/>
          <w:sz w:val="24"/>
          <w:szCs w:val="24"/>
        </w:rPr>
        <w:t xml:space="preserve">. </w:t>
      </w:r>
      <w:r>
        <w:rPr>
          <w:rFonts w:ascii="Times New Roman" w:hAnsi="Times New Roman"/>
          <w:bCs/>
          <w:iCs/>
          <w:noProof/>
          <w:sz w:val="24"/>
          <w:szCs w:val="24"/>
        </w:rPr>
        <w:t>Говорителят на ЕС направи три изявления — на 12 юни, 1 юли и 13 август. Върховният представител направи три декларации от името на Европейския съюз — на 17 август, 2 октомври и 18 ноември. В тези декларации бяха откроени въпроси, сред които необходимостта от:</w:t>
      </w:r>
    </w:p>
    <w:p>
      <w:pPr>
        <w:pStyle w:val="ListParagraph"/>
        <w:numPr>
          <w:ilvl w:val="0"/>
          <w:numId w:val="1"/>
        </w:numPr>
        <w:spacing w:before="120" w:after="120" w:line="240" w:lineRule="auto"/>
        <w:jc w:val="both"/>
        <w:rPr>
          <w:rFonts w:ascii="Times New Roman" w:hAnsi="Times New Roman" w:cs="Times New Roman"/>
          <w:bCs/>
          <w:iCs/>
          <w:noProof/>
          <w:sz w:val="24"/>
          <w:szCs w:val="24"/>
        </w:rPr>
      </w:pPr>
      <w:r>
        <w:rPr>
          <w:rFonts w:ascii="Times New Roman" w:hAnsi="Times New Roman"/>
          <w:bCs/>
          <w:iCs/>
          <w:noProof/>
          <w:sz w:val="24"/>
          <w:szCs w:val="24"/>
        </w:rPr>
        <w:t xml:space="preserve">отхвърляне на насилието, </w:t>
      </w:r>
    </w:p>
    <w:p>
      <w:pPr>
        <w:pStyle w:val="ListParagraph"/>
        <w:numPr>
          <w:ilvl w:val="0"/>
          <w:numId w:val="1"/>
        </w:numPr>
        <w:spacing w:before="120" w:after="120" w:line="240" w:lineRule="auto"/>
        <w:jc w:val="both"/>
        <w:rPr>
          <w:rFonts w:ascii="Times New Roman" w:hAnsi="Times New Roman" w:cs="Times New Roman"/>
          <w:bCs/>
          <w:iCs/>
          <w:noProof/>
          <w:sz w:val="24"/>
          <w:szCs w:val="24"/>
        </w:rPr>
      </w:pPr>
      <w:r>
        <w:rPr>
          <w:rFonts w:ascii="Times New Roman" w:hAnsi="Times New Roman"/>
          <w:bCs/>
          <w:iCs/>
          <w:noProof/>
          <w:sz w:val="24"/>
          <w:szCs w:val="24"/>
        </w:rPr>
        <w:t>провеждане на приобщаващ диалог, при отчитане на желанието на ЕС да подпомага онези, които искат да работят за деескалация и установяване на такъв диалог,</w:t>
      </w:r>
    </w:p>
    <w:p>
      <w:pPr>
        <w:pStyle w:val="ListParagraph"/>
        <w:numPr>
          <w:ilvl w:val="0"/>
          <w:numId w:val="1"/>
        </w:numPr>
        <w:spacing w:before="120" w:after="120" w:line="240" w:lineRule="auto"/>
        <w:jc w:val="both"/>
        <w:rPr>
          <w:rFonts w:ascii="Times New Roman" w:hAnsi="Times New Roman" w:cs="Times New Roman"/>
          <w:bCs/>
          <w:iCs/>
          <w:noProof/>
          <w:sz w:val="24"/>
          <w:szCs w:val="24"/>
        </w:rPr>
      </w:pPr>
      <w:r>
        <w:rPr>
          <w:rFonts w:ascii="Times New Roman" w:hAnsi="Times New Roman"/>
          <w:bCs/>
          <w:iCs/>
          <w:noProof/>
          <w:sz w:val="24"/>
          <w:szCs w:val="24"/>
        </w:rPr>
        <w:t xml:space="preserve">гарантиране на зачитането на основните свободи, </w:t>
      </w:r>
    </w:p>
    <w:p>
      <w:pPr>
        <w:pStyle w:val="ListParagraph"/>
        <w:numPr>
          <w:ilvl w:val="0"/>
          <w:numId w:val="1"/>
        </w:numPr>
        <w:spacing w:before="120" w:after="120" w:line="240" w:lineRule="auto"/>
        <w:jc w:val="both"/>
        <w:rPr>
          <w:rFonts w:ascii="Times New Roman" w:hAnsi="Times New Roman" w:cs="Times New Roman"/>
          <w:bCs/>
          <w:iCs/>
          <w:noProof/>
          <w:sz w:val="24"/>
          <w:szCs w:val="24"/>
        </w:rPr>
      </w:pPr>
      <w:r>
        <w:rPr>
          <w:rFonts w:ascii="Times New Roman" w:hAnsi="Times New Roman"/>
          <w:bCs/>
          <w:iCs/>
          <w:noProof/>
          <w:sz w:val="24"/>
          <w:szCs w:val="24"/>
        </w:rPr>
        <w:t>започване на цялостно разследване на</w:t>
      </w:r>
      <w:r>
        <w:rPr>
          <w:rFonts w:ascii="Times New Roman" w:hAnsi="Times New Roman"/>
          <w:noProof/>
          <w:sz w:val="24"/>
          <w:szCs w:val="24"/>
        </w:rPr>
        <w:t xml:space="preserve"> проявите на насилие, използването на сила и първопричините за протестите</w:t>
      </w:r>
      <w:r>
        <w:rPr>
          <w:rFonts w:ascii="Times New Roman" w:hAnsi="Times New Roman"/>
          <w:bCs/>
          <w:iCs/>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На 18 юли</w:t>
      </w:r>
      <w:r>
        <w:rPr>
          <w:rFonts w:ascii="Times New Roman" w:hAnsi="Times New Roman"/>
          <w:bCs/>
          <w:iCs/>
          <w:noProof/>
          <w:sz w:val="24"/>
          <w:szCs w:val="24"/>
        </w:rPr>
        <w:t xml:space="preserve"> Европейският парламент проведе дебат относно Хонконг и прие резолюция относно ситуацията. </w:t>
      </w:r>
    </w:p>
    <w:p>
      <w:pPr>
        <w:spacing w:before="120" w:after="120" w:line="240" w:lineRule="auto"/>
        <w:jc w:val="both"/>
        <w:rPr>
          <w:rFonts w:ascii="Times New Roman" w:hAnsi="Times New Roman" w:cs="Times New Roman"/>
          <w:b/>
          <w:bCs/>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Политически събития</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Доминиращите събития през 2019 г. бяха обсъждането на </w:t>
      </w:r>
      <w:r>
        <w:rPr>
          <w:rFonts w:ascii="Times New Roman" w:hAnsi="Times New Roman"/>
          <w:b/>
          <w:noProof/>
          <w:sz w:val="24"/>
          <w:szCs w:val="24"/>
        </w:rPr>
        <w:t>проекта на Закон относно укриващите се от правосъдието извършители на престъпления и правната взаимопомощ по наказателноправни въпроси („законопроекта за екстрадицията“)</w:t>
      </w:r>
      <w:r>
        <w:rPr>
          <w:rFonts w:ascii="Times New Roman" w:hAnsi="Times New Roman"/>
          <w:noProof/>
          <w:sz w:val="24"/>
          <w:szCs w:val="24"/>
        </w:rPr>
        <w:t xml:space="preserve"> и масовите протести, предизвикани от предложената мярка. Бюрото по сигурността на Хонконг представи предложението през февруари 2019 г. с цел улесняване на екстрадицията на извършители на престъпления в Китай, Тайван и другаде. Липсата на основание за екстрадирането на гражданин на Хонконг, на който са повдигнати обвинения в убийство, в Тайван, беше посочено като част от обосновката за реформата.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Законопроектът за екстрадицията бе яростно критикуван от представителите на юридическата професия, бизнеса и гражданското общество. Главните основания за отправените критики се отнасяха до това, че първоначалният законопроект обхваща широк спектър от престъпления, не предвижда достатъчен контрол по отношение на предложените случаи на екстрадиция и че правната система на континентален Китай не предоставя необходимата защита на правата на човека и правото на справедлив съдебен процес. В отговор правителството на Хонконг преразгледа предложението и намали броя на престъпленията, даващи основание за екстрадиция, от 46 на 37, като беше уточнено, че престъпленията, даващи основание за екстрадиция, трябва да бъдат наказуеми с лишаване от свобода за срок над три години. Обществената съпротива срещу предложението се засили, с огромни демонстрации и интензивни дебати, проведени в Законодателния съвет (ЗС).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Тъй като конфронтацията по този въпрос ескалира, администрацията намали контрола по отношение на проекта на законодателството, извършван от Комисията към Законодателния съвет. Включването на допълнителни гаранции в законопроекта не намали обществената съпротива. Според Гражданския фронт за човешки права един милион души са участвали в шествието срещу законопроекта на 9 юни. На 15 юни главният управител, г-жа Кари Лам, оповести временното спиране на, но не и отказ от приемането на законопроекта за екстрадицията. Твърди се, че последвалото шествие на 16 юни е привлякло два милиона участници — най-голямото подобно събиране в историята на Хонконг. И двете шествия протекоха мирно. Впоследствие протестиращите насочиха вниманието си към сградата на Законодателния съвет и други правителствени сгради. На 1 юли част от протестиращите щурмуваха сградата на Законодателния съвет, нанасяйки значителни щети, в резултат на което сградата беше затворена в продължение на три месеца. Тежките нападения над пътници, извършени от група маскирани мъже, на спирка на железопътния транспорт в Юен Лонг, предизвикаха обществени протести. Нападението се случи след шествие срещу законопроекта за екстрадицията и след предупреждения, че протестиращите ще бъдат обект на възмездие, ако отидат в Юен Лонг. Сериозни критики бяха отправени срещу полицията за това, че не се е намесила, за да обуздае насилието своевременно. Понастоящем този инцидент се разглежда от Независимия съвет по жалбите срещу полицията (НСЖП).</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Законопроектът беше изцяло и официално оттеглен чак на 23 октомври. Частичните отстъпки през юни не обуздаха протестите, като сега демонстрантите отправиха пет искания:</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официално оттегляне на законопроекта;</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rPr>
        <w:t>създаване на независима разследваща комисия, която да разглежда въпроси, включващи предполагаеми неправомерни действия от страна на полицията по време на размириците;</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органите да престанат да определят протестите с думата „безредици“, тъй като безредиците съставляват престъпление, наказуемо с тежката присъда лишаване от свобода за срок до 10 години</w:t>
      </w:r>
      <w:r>
        <w:rPr>
          <w:rFonts w:ascii="Times New Roman" w:hAnsi="Times New Roman"/>
          <w:noProof/>
          <w:color w:val="000000"/>
          <w:sz w:val="24"/>
          <w:szCs w:val="24"/>
        </w:rPr>
        <w:t>;</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rPr>
        <w:t>амнистия за арестуваните лица; както и</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rPr>
        <w:t>въвеждане на всеобщото избирателно право за избора на главен управител и гласуването на изборите за Законодателен съвет в съответствие с разпоредбите на Основния закон.</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В хода на протестите използваната тактика на добре организирано протестно движение, което обаче няма лидери, претърпя развитие</w:t>
      </w:r>
      <w:r>
        <w:rPr>
          <w:rFonts w:ascii="Times New Roman" w:hAnsi="Times New Roman"/>
          <w:noProof/>
          <w:sz w:val="24"/>
          <w:szCs w:val="24"/>
        </w:rPr>
        <w:t xml:space="preserve">. В допълнение към обичайните разрешени и неразрешени демонстрации и шествия, имаше и периодични блокади на транспортната система на Хонконг. Масовите седящи стачки и протести на международното летище в периода от юли до септември значително възпрепятстваха услугите и доведоха до налагането на ограничения за влизане в терминалите. Системата на транспорта стана обект на засилени прояви на възпрепятстване на услугите и вандализъм на фона на твърденията на протестиращите, че дружеството, отговарящо за управлението на системата, е действало съгласувано с правителството с цел да попречи на протестите, включително чрез затваряне на спирките на местата, където се провеждат протестите. Търговските вериги, за чиито собственици или ръководство се счита, че са съпричастни към Пекин, също се превърнаха в цели на вандалските прояви.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Редовните и тежки прояви на насилие белязаха някои от протестите, по време на които бяха хвърляни запалителни бомби и други предмети. Съществуват опасения относно радикализацията на някои от участниците в протестното движение. Полицията често прибягваше до използването на сълзотворен газ, изстрелването на гумени куршуми и стоп патрони. Използвани бяха и бойни патрони. През годината бяха открити няколко самоделни взривни устройства. През ноември един протестиращ пострада тежко, след като бе прострелян в корема от полицията, друг протестиращ почина след падане от площадка на паркинг, а един мъж бе тежко ранен, след като бе запален след спор с протестиращи.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Имаше </w:t>
      </w:r>
      <w:r>
        <w:rPr>
          <w:rFonts w:ascii="Times New Roman" w:hAnsi="Times New Roman"/>
          <w:b/>
          <w:noProof/>
          <w:sz w:val="24"/>
          <w:szCs w:val="24"/>
        </w:rPr>
        <w:t>многобройни твърдения за превишаване на правомощия и неправомерни действия от страна на правоприлагащите органи</w:t>
      </w:r>
      <w:r>
        <w:rPr>
          <w:rFonts w:ascii="Times New Roman" w:hAnsi="Times New Roman"/>
          <w:noProof/>
          <w:sz w:val="24"/>
          <w:szCs w:val="24"/>
        </w:rPr>
        <w:t>. Някои случаи на такива неправомерни действия бяха заснети от камери. Твърденията се проверяват от Независимия съвет по жалбите срещу полицията (НСЖП), на който е възложено изготвянето на публичен доклад относно действията на полицейските сили за справяне с протестите до началото на 2020 г. Много от участниците в протестното движение нямат доверие в НСЖП, чиято надеждност беше засегната, когато петчленният състав на органа от международни експерти, назначени от правителството през септември 2019 г. да подпомагат работата на НСЖП, се оттегли. Експертите заявиха публично, че НСЖП не разполага с необходимите правомощия и капацитет за разследване. Публикуването на междинния доклад на НСЖП беше отложено до приключване на съдебната проверка, която има за цел да установи дали НСЖП разполага с необходимите правомощия за провеждане на разследвания във връзка с гражданските размирици.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ноември </w:t>
      </w:r>
      <w:r>
        <w:rPr>
          <w:rFonts w:ascii="Times New Roman" w:hAnsi="Times New Roman"/>
          <w:b/>
          <w:noProof/>
          <w:sz w:val="24"/>
          <w:szCs w:val="24"/>
        </w:rPr>
        <w:t>демонстранти окупираха кампуси на университети</w:t>
      </w:r>
      <w:r>
        <w:rPr>
          <w:rFonts w:ascii="Times New Roman" w:hAnsi="Times New Roman"/>
          <w:noProof/>
          <w:sz w:val="24"/>
          <w:szCs w:val="24"/>
        </w:rPr>
        <w:t>. В Китайския университет и Политехническия университет имаше яростни сблъсъци с полицията, както и обсади, продължаващи по няколко дни. Имаше множество ранени и бяха извършени многобройни арести. Редица известни лица от гражданското общество, включително и някои обществени личности, които обичайно са в близки отношения с Пекин, положиха усилия да посредничат между полицията и протестиращите, като осигуриха безопасно преминаване за част от демонстрантите. Бяха изказани сериозни опасения по отношение на задържането и малтретирането на медицински работници, оказали спешна медицинска помощ в Политехническия университет; беше отбелязано, че това е възпряло ранени протестиращи да потърсят медицинска помощ и представлява нарушение на хуманитарните норми. В резултат от щетите по съоръженията и нажежената обстановка продължителността на семестрите в университетите беше намалена, което доведе до използване на дистанционното обучение. Изборите за райони съвети през ноември поставиха началото на един по-спокоен период през декември с връщане към масовите демонстрации и шествия, преминаващи до голяма степен без насилие. Полицията показа по-голяма готовност да разрешава провеждането на събирания, като на Гражданския фронт за човешки права (ГФЧП) беше разрешено да организира шествие за първи път от август. Продължава да е налице широка подкрепа за протестното движение: активността по време на разрешените шествия продължи да бъде значителна, като по оценка на Гражданския фронт за човешки права 800 000 души са взели участие в шествие на 8 декември за отбелязването на Деня на правата на човека на ООН.</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Реакцията на правителството на Хонконг по отношение на продължаващите размирици включваше прибягване до широкообхватните извънредни правомощия, </w:t>
      </w:r>
      <w:r>
        <w:rPr>
          <w:rFonts w:ascii="Times New Roman" w:hAnsi="Times New Roman"/>
          <w:noProof/>
          <w:sz w:val="24"/>
          <w:szCs w:val="24"/>
        </w:rPr>
        <w:t xml:space="preserve">установени през колониалната епоха. През октомври главният управител се позова в рамките на Съвета на наредбата за извънредното положение (НИП) от 1922 г. с цел утвърждаването на закон, забраняващ носенето на маска по време на публични събирания, който влезе в сила на 5 октомври („Закон за забрана на покриването на лицето“). Това беше първият случай на използване на тези правомощия от 1967 г. насам. Въпреки че това действие привлече подкрепата на голяма част от политическото крило, поддържащо статуквото, то беше и обект на остри критики поради ограничаването на личната свобода, което предполага, поради своята неприложимост, а и поради липсата на контрол, от която се възползват законотворците.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 резултат на съдебното оспорване на 18 ноември Върховният съд постанови, че законът е несъвместим с Основния закон и че ограниченията на правата, които законът предполага, се считат за непропорционални на легитимните цели на управлението. Очаква се решението на Върховния апелативен съд по този въпрос.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26 септември г-жа Кари Лам трябваше да отговаря на трудни въпроси, зададени от 150 представители на обществеността по време на единствения състоял се досега </w:t>
      </w:r>
      <w:r>
        <w:rPr>
          <w:rFonts w:ascii="Times New Roman" w:hAnsi="Times New Roman"/>
          <w:b/>
          <w:noProof/>
          <w:sz w:val="24"/>
          <w:szCs w:val="24"/>
        </w:rPr>
        <w:t>публичен диалог в рамките на общността</w:t>
      </w:r>
      <w:r>
        <w:rPr>
          <w:rFonts w:ascii="Times New Roman" w:hAnsi="Times New Roman"/>
          <w:noProof/>
          <w:sz w:val="24"/>
          <w:szCs w:val="24"/>
        </w:rPr>
        <w:t xml:space="preserve">. Към Службата за иновации и координация на политиките беше създадена Служба по въпросите на диалога, която да направлява усилията за провеждане на диалог. Международните партньори, сред които и ЕС, насърчават усилията за засилване на диалога с цел деескалиране на ситуацията. Гражданското общество също търси възможности за насърчаване на диалога.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21 ноември Конгресът на САЩ прие </w:t>
      </w:r>
      <w:r>
        <w:rPr>
          <w:rFonts w:ascii="Times New Roman" w:hAnsi="Times New Roman"/>
          <w:b/>
          <w:noProof/>
          <w:sz w:val="24"/>
          <w:szCs w:val="24"/>
        </w:rPr>
        <w:t>Закона на САЩ за правата на човека и демокрацията в Хонконг</w:t>
      </w:r>
      <w:r>
        <w:rPr>
          <w:rFonts w:ascii="Times New Roman" w:hAnsi="Times New Roman"/>
          <w:noProof/>
          <w:sz w:val="24"/>
          <w:szCs w:val="24"/>
        </w:rPr>
        <w:t xml:space="preserve"> и Закона за защитата на Хонконг. Правителството на Китайската народна република и администрацията на Хонконг отправиха остри критики по отношение на това действие. То обаче беше прието положително от много от участниците в протестното движение. Законът предвижда редовно оценяване на степента, до която се спазва автономността на Хонконг, във връзка със специалния търговски статут, предоставен на Хонконг от САЩ, и предвижда основание за евентуални санкции срещу лица, които нарушават правата на човека в Хонконг. Законът за защитата забранява износа за Хонконг на определени стоки в областта на правоприлагането. </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Изборите за районни съвети </w:t>
      </w:r>
      <w:r>
        <w:rPr>
          <w:rFonts w:ascii="Times New Roman" w:hAnsi="Times New Roman"/>
          <w:noProof/>
          <w:sz w:val="24"/>
          <w:szCs w:val="24"/>
        </w:rPr>
        <w:t>се състояха на 24 ноември, въпреки страховете на някои в протестното движение, че гласуването на изборите може да бъде спряно в контекста на размириците. Периодът на провеждане на кампанията беше помрачен от прояви на насилие, като имаше физически нападения на кандидати и вандализъм срещу помещенията на политически партии. Самите избори обаче бяха проведени в мирна обстановка, като имаше безпрецедентно висока избирателна активност — 71,2 %. Представителите на пандемократичния лагер спечелиха 395 от общо 452 места и контрола върху 17 от общо 18 съвета. Районните съвети имат само ограничени политически и консултативни правомощия, като упражняват надзор върху значителни бюджети. Районните съветници обаче определят 117 от общо 1200 места в избирателната комисия, която избира главния управител, и сега пандемократичната фракция в избирателната комисия е укрепена преди следващия насрочен избор на главен управител през 2022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Продължаващите размирици и реакцията на правителството спрямо тях имаха отрицателно въздействие върху обществената подкрепа за администрацията. Резултатите от проучване на общественото мнение, публикувани през октомври, показаха, че рейтингът на одобрение на главния управител е паднал до рекордно ниските 20,2 %. Други проучвания, проведени в края на годината, подчертаха вредното въздействие на протестите върху общественото доверие във властите.</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 xml:space="preserve">ЕС направи няколко изявления и декларации в отговор на събитията в Хонконг </w:t>
      </w:r>
      <w:r>
        <w:rPr>
          <w:rFonts w:ascii="Times New Roman" w:hAnsi="Times New Roman"/>
          <w:b/>
          <w:noProof/>
          <w:sz w:val="24"/>
          <w:szCs w:val="24"/>
        </w:rPr>
        <w:t>през годината</w:t>
      </w:r>
      <w:r>
        <w:rPr>
          <w:rFonts w:ascii="Times New Roman" w:hAnsi="Times New Roman"/>
          <w:bCs/>
          <w:noProof/>
          <w:sz w:val="24"/>
          <w:szCs w:val="24"/>
        </w:rPr>
        <w:t xml:space="preserve">. </w:t>
      </w:r>
      <w:r>
        <w:rPr>
          <w:rFonts w:ascii="Times New Roman" w:hAnsi="Times New Roman"/>
          <w:noProof/>
          <w:sz w:val="24"/>
          <w:szCs w:val="24"/>
        </w:rPr>
        <w:t>Върховният представител на Съюза по въпросите на външните работи и политиката на сигурност</w:t>
      </w:r>
      <w:r>
        <w:rPr>
          <w:rFonts w:ascii="Times New Roman" w:hAnsi="Times New Roman"/>
          <w:bCs/>
          <w:noProof/>
          <w:sz w:val="24"/>
          <w:szCs w:val="24"/>
        </w:rPr>
        <w:t xml:space="preserve"> (ВП/ЗА) </w:t>
      </w:r>
      <w:r>
        <w:rPr>
          <w:rFonts w:ascii="Times New Roman" w:hAnsi="Times New Roman"/>
          <w:noProof/>
          <w:sz w:val="24"/>
          <w:szCs w:val="24"/>
        </w:rPr>
        <w:t>направи декларации от името на Европейския съюз на 18 ноември, 2 октомври и 17 август. На 17 август беше направено и съвместно изявление с министъра на външните работи на Канада. Говорителят на Върховния представител направи изявления на 13</w:t>
      </w:r>
      <w:r>
        <w:rPr>
          <w:rFonts w:ascii="Times New Roman" w:hAnsi="Times New Roman"/>
          <w:noProof/>
          <w:sz w:val="24"/>
          <w:szCs w:val="24"/>
          <w:vertAlign w:val="superscript"/>
        </w:rPr>
        <w:t xml:space="preserve"> </w:t>
      </w:r>
      <w:r>
        <w:rPr>
          <w:rFonts w:ascii="Times New Roman" w:hAnsi="Times New Roman"/>
          <w:noProof/>
          <w:sz w:val="24"/>
          <w:szCs w:val="24"/>
        </w:rPr>
        <w:t>август, 1 юли и 12 юни. На 18 юли Европейският парламент проведе извънреден дебат относно ситуацията в Хонконг и прие резолюция в тази връзка. Ситуацията в Хонконг беше спомената в изявленията на ЕС към Третия комитет на Общото събрание на ООН и Съвета на ООН по правата на човека.</w:t>
      </w:r>
    </w:p>
    <w:p>
      <w:pPr>
        <w:spacing w:before="120" w:after="120" w:line="240" w:lineRule="auto"/>
        <w:jc w:val="both"/>
        <w:rPr>
          <w:rFonts w:ascii="Times New Roman" w:hAnsi="Times New Roman" w:cs="Times New Roman"/>
          <w:b/>
          <w:bCs/>
          <w:noProof/>
          <w:sz w:val="24"/>
          <w:szCs w:val="24"/>
        </w:rPr>
      </w:pP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Права, свободи и равни възможности</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 xml:space="preserve">Подкрепата за самоопределението и независимостта продължаваше да води до изключване от изборния процес. </w:t>
      </w:r>
      <w:r>
        <w:rPr>
          <w:rFonts w:ascii="Times New Roman" w:hAnsi="Times New Roman"/>
          <w:noProof/>
          <w:sz w:val="24"/>
          <w:szCs w:val="24"/>
        </w:rPr>
        <w:t xml:space="preserve">Джошуа Уонг, генералният секретар на </w:t>
      </w:r>
      <w:r>
        <w:rPr>
          <w:rFonts w:ascii="Times New Roman" w:hAnsi="Times New Roman"/>
          <w:noProof/>
          <w:color w:val="222222"/>
          <w:sz w:val="24"/>
          <w:szCs w:val="24"/>
        </w:rPr>
        <w:t xml:space="preserve">партията Demosistō, не беше допуснат </w:t>
      </w:r>
      <w:r>
        <w:rPr>
          <w:rFonts w:ascii="Times New Roman" w:hAnsi="Times New Roman"/>
          <w:noProof/>
          <w:sz w:val="24"/>
          <w:szCs w:val="24"/>
        </w:rPr>
        <w:t>да се яви като кандидат на изборите за районни съвети на 24 ноември. Той беше единственият дисквалифициран кандидат от общо 1098 потенциални бъдещи съветници. В три писма до властите и в отговор на въпроси, зададени от отговорния за изборите служител, Джошуа Уонг се разграничи от оказваната по-рано подкрепа за независимостта. Отговорният за изборите служител заяви в обяснението относно дисквалификацията, че нито Уонг, нито Demosistō действително са променили своята позиция по отношение на независимостта.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През септември 2019 г. Върховният съд разгледа недопускането на Агнес Чоу да се кандидатира за частичните избори за Законодателен съвет през 2018 г. въз основа на връзките ѝ с Demosistō и застъпничеството на партията за самоопределението. Върховният съд постанови решение в полза на жалбата на г-ца Чоу на процесуалните основания, че не ѝ е била предоставена справедливата възможност да отговори на твърдението, че не би спазила Основния закон. Съдията отсъди, че е налице „нарушение на принципа на справедливост или процесуалната справедливост”. Въпреки това той добави в своето решение, че застъпничеството за самоопределението или независимостта не би било съвместимо с Основния закон.</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 xml:space="preserve">Медиите </w:t>
      </w:r>
      <w:r>
        <w:rPr>
          <w:rFonts w:ascii="Times New Roman" w:hAnsi="Times New Roman"/>
          <w:bCs/>
          <w:noProof/>
          <w:sz w:val="24"/>
          <w:szCs w:val="24"/>
        </w:rPr>
        <w:t>в Хонконг, включително и онлайн медиите,</w:t>
      </w:r>
      <w:r>
        <w:rPr>
          <w:rFonts w:ascii="Times New Roman" w:hAnsi="Times New Roman"/>
          <w:noProof/>
          <w:sz w:val="24"/>
          <w:szCs w:val="24"/>
        </w:rPr>
        <w:t xml:space="preserve"> запазиха своето многообразие и продължават да се ползват с висока степен на свобода. Съществуват обаче опасения за политическо влияние върху някои сектори на медиите и за автоцензура. Бяха изразени и опасения във връзка с твърдения за мерки, насочени срещу журналисти, включително използването на насилие от полицията по време на протестите, и във връзка с възпрепятстването на работата на журналистите в контекста на размириците. Клубът на външните кореспонденти и журналистическата асоциация на Хонконг са сред организациите, които направиха изявления</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в тази насока. Хонконг беше класиран на 73-то място в Световния индекс за свобода на печата по света, съставян от „Репортери без граници“. </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Свободата на събиранията</w:t>
      </w:r>
      <w:r>
        <w:rPr>
          <w:rFonts w:ascii="Times New Roman" w:hAnsi="Times New Roman"/>
          <w:noProof/>
          <w:sz w:val="24"/>
          <w:szCs w:val="24"/>
        </w:rPr>
        <w:t xml:space="preserve"> до голяма степен беше зачитана през тази трудна по отношение на обществения ред година, като властите даваха разрешение за провеждането на много публични демонстрации и шествия. С увеличаването на насилието отказаните разрешения за такива събирания от съображения за сигурност се превърнаха в по-често срещано явление. Едно от последствията беше засилващата се тенденция към неразрешени събирания и произтичащия от това риск от конфронтация между протестиращите и полицията. </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Права на лесбийки, гейове, бисексуални, транссексуални и интерсексуални лица (ЛГБТИ)</w:t>
      </w:r>
      <w:r>
        <w:rPr>
          <w:rFonts w:ascii="Times New Roman" w:hAnsi="Times New Roman"/>
          <w:noProof/>
          <w:sz w:val="24"/>
          <w:szCs w:val="24"/>
        </w:rPr>
        <w:t>. Новият Председател на Комисията за равни възможности (КРВ), Ricky Chu Man-kin, сигнализира, че ще бъдат положени усилия за напредък при антидискриминационните мерки с цел защита на правата на ЛГБТИ лицата. Понастоящем законодателството в областта на равенството обхваща единствено равенството по отношение на пол, увреждания, раса и семейно положение. Делата, заведени в съдилищата от ЛГБТИ активисти, постигнаха известен успех от гледна точка на предизвикването на правна реформа. Бюрото на ЕС се присъедини към други мисии и присъства на ежегодния парад на ЛГБТИ лицата.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Хонконг продължи да полага усилия за борба с </w:t>
      </w:r>
      <w:r>
        <w:rPr>
          <w:rFonts w:ascii="Times New Roman" w:hAnsi="Times New Roman"/>
          <w:b/>
          <w:bCs/>
          <w:noProof/>
          <w:sz w:val="24"/>
          <w:szCs w:val="24"/>
        </w:rPr>
        <w:t>трафика на хора</w:t>
      </w:r>
      <w:r>
        <w:rPr>
          <w:rFonts w:ascii="Times New Roman" w:hAnsi="Times New Roman"/>
          <w:noProof/>
          <w:sz w:val="24"/>
          <w:szCs w:val="24"/>
        </w:rPr>
        <w:t xml:space="preserve"> и е изготвил план за действие в тази връзка. Предоставят се допълнителни ресурси за мерки, сред които скрининг за откриване на възможни жертви. Като слабост на реакцията на Хонконг беше посочено това, че се разчита на мрежа от закони за справяне с трафика на хора, а не на единен нормативен акт. ЕС и Хонконг продължиха своето тясно сътрудничество по този въпрос. Трафикът на хора беше обсъден по време на ежегодния структуриран диалог между ЕС и Хонконг, който се проведе през ноември. На 12 и 13 декември се състоя четвъртия годишен семинар ЕС—Хонконг по въпросите на предотвратяването на трафика на хора, финансиран по Програмата за техническа помощ и обмен на информация (TAIEX). В неговите рамки бяха разгледани въпроси, предизвикващи обща загриженост, като например сътрудничеството с гражданското общество и частния сектор, както и трафика на деца.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Все още са налице недостатъци по отношение на гарантирането на ефективна правна защита на </w:t>
      </w:r>
      <w:r>
        <w:rPr>
          <w:rFonts w:ascii="Times New Roman" w:hAnsi="Times New Roman"/>
          <w:b/>
          <w:bCs/>
          <w:noProof/>
          <w:sz w:val="24"/>
          <w:szCs w:val="24"/>
        </w:rPr>
        <w:t xml:space="preserve">чуждестранните домашни работници. </w:t>
      </w:r>
      <w:r>
        <w:rPr>
          <w:rFonts w:ascii="Times New Roman" w:hAnsi="Times New Roman"/>
          <w:noProof/>
          <w:sz w:val="24"/>
          <w:szCs w:val="24"/>
        </w:rPr>
        <w:t>Националната минимална заплата не е приложима по отношение на тези работници, от тях се изисква да живеят в дома на своя работодател и да си намерят работа в рамките на две седмици след като са останали без работата си —в противен случай могат да бъдат депортирани. Правителството е предприело някои стъпки за справяне с изразените опасения, включително създаването на специална гореща линия за чуждестранните домашни работници, които имат нужда от съвет и помощ. Въведен беше и засилен контрол по отношение на тези работници с цел проверка за случаи на трафик на хора и принудителен труд. На 15 септември в Китайския университет Бюрото на ЕС организира прожектиране на филм и провеждане на тематичен дебат относно правата на чуждестранните домашни работници.</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Бедността и неравенството продължават да бъдат повод за сериозна загриженост</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noProof/>
          <w:sz w:val="24"/>
          <w:szCs w:val="24"/>
        </w:rPr>
        <w:t xml:space="preserve">тъй като около 20 % от населението живее под прага на бедността. </w:t>
      </w:r>
      <w:r>
        <w:rPr>
          <w:rFonts w:ascii="Times New Roman" w:hAnsi="Times New Roman"/>
          <w:noProof/>
          <w:sz w:val="24"/>
          <w:szCs w:val="24"/>
          <w:shd w:val="clear" w:color="auto" w:fill="FFFFFF"/>
        </w:rPr>
        <w:t xml:space="preserve">Малка част от гражданите могат да си позволят да си купят дом в най-скъпия пазар на недвижими имоти в света и почти 45 % от населението живее в обществени жилища под наем. </w:t>
      </w:r>
      <w:r>
        <w:rPr>
          <w:rFonts w:ascii="Times New Roman" w:hAnsi="Times New Roman"/>
          <w:noProof/>
          <w:sz w:val="24"/>
          <w:szCs w:val="24"/>
        </w:rPr>
        <w:t>В своето обръщение относно политиката на 16 октомври главният управител оповести няколко мерки за справяне със социалните и икономическите проблеми.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Системата за </w:t>
      </w:r>
      <w:r>
        <w:rPr>
          <w:rFonts w:ascii="Times New Roman" w:hAnsi="Times New Roman"/>
          <w:b/>
          <w:bCs/>
          <w:noProof/>
          <w:sz w:val="24"/>
          <w:szCs w:val="24"/>
        </w:rPr>
        <w:t xml:space="preserve">борба с корупцията </w:t>
      </w:r>
      <w:r>
        <w:rPr>
          <w:rFonts w:ascii="Times New Roman" w:hAnsi="Times New Roman"/>
          <w:noProof/>
          <w:sz w:val="24"/>
          <w:szCs w:val="24"/>
        </w:rPr>
        <w:t>продължи да бъде активна и устойчива. Хонконг може да се похвали с много високи стандарти по отношение на мерките за прозрачност и борба с корупцията. Властите, както и политическите и икономическите лидери, признават, че прозрачността е жизненоважна за поддържането на силната позиция на Хонконг като международен бизнес център.</w:t>
      </w:r>
    </w:p>
    <w:p>
      <w:pPr>
        <w:spacing w:before="120" w:after="120" w:line="240" w:lineRule="auto"/>
        <w:jc w:val="both"/>
        <w:rPr>
          <w:rFonts w:ascii="Times New Roman" w:hAnsi="Times New Roman" w:cs="Times New Roman"/>
          <w:b/>
          <w:noProof/>
          <w:sz w:val="24"/>
          <w:szCs w:val="24"/>
          <w:u w:val="single"/>
        </w:rPr>
      </w:pPr>
    </w:p>
    <w:p>
      <w:pPr>
        <w:spacing w:before="120"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Събития в икономически план</w:t>
      </w:r>
    </w:p>
    <w:p>
      <w:pPr>
        <w:spacing w:before="120" w:after="120" w:line="240" w:lineRule="auto"/>
        <w:jc w:val="both"/>
        <w:rPr>
          <w:rFonts w:ascii="Times New Roman" w:hAnsi="Times New Roman" w:cs="Times New Roman"/>
          <w:b/>
          <w:noProof/>
          <w:sz w:val="24"/>
          <w:szCs w:val="24"/>
          <w:u w:val="single"/>
        </w:rPr>
      </w:pPr>
    </w:p>
    <w:p>
      <w:pPr>
        <w:spacing w:before="120"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Състоянието на икономиката на Хонконг се влоши значително през 2019 г., </w:t>
      </w:r>
      <w:r>
        <w:rPr>
          <w:rFonts w:ascii="Times New Roman" w:hAnsi="Times New Roman"/>
          <w:noProof/>
          <w:sz w:val="24"/>
          <w:szCs w:val="24"/>
        </w:rPr>
        <w:t>с 1,2 % свиване на БВП.</w:t>
      </w:r>
      <w:r>
        <w:rPr>
          <w:rFonts w:ascii="Times New Roman" w:hAnsi="Times New Roman"/>
          <w:b/>
          <w:noProof/>
          <w:sz w:val="24"/>
          <w:szCs w:val="24"/>
        </w:rPr>
        <w:t xml:space="preserve"> </w:t>
      </w:r>
      <w:r>
        <w:rPr>
          <w:rFonts w:ascii="Times New Roman" w:hAnsi="Times New Roman"/>
          <w:noProof/>
          <w:sz w:val="24"/>
          <w:szCs w:val="24"/>
        </w:rPr>
        <w:t>Икономическото забавяне, започнало през 2018 г., продължи през първата половина на годината, в резултат на което ръстът на БВП беше едва 0,6 % в сравнение с предходната година. Зависимостта на Хонконг от търговията и международните финанси, както и ролята му на търговски, бизнес и финансов мост между Китай и останалата част от света, го прави особено уязвим по отношение на трудностите, идващи отвън, и по отношение на събитията в континенталната част. Със започването на размириците през юни впоследствие икономиката на Хонконг изпадна в рецесия, а БВП спадна с -2,8 % през втората половина на годината.</w:t>
      </w:r>
    </w:p>
    <w:p>
      <w:pPr>
        <w:autoSpaceDE w:val="0"/>
        <w:autoSpaceDN w:val="0"/>
        <w:adjustRightInd w:val="0"/>
        <w:spacing w:before="120" w:after="120" w:line="240" w:lineRule="auto"/>
        <w:jc w:val="both"/>
        <w:outlineLvl w:val="0"/>
        <w:rPr>
          <w:rFonts w:ascii="Times New Roman" w:hAnsi="Times New Roman" w:cs="Times New Roman"/>
          <w:bCs/>
          <w:noProof/>
          <w:color w:val="000000"/>
          <w:sz w:val="24"/>
          <w:szCs w:val="24"/>
        </w:rPr>
      </w:pPr>
      <w:r>
        <w:rPr>
          <w:rFonts w:ascii="Times New Roman" w:hAnsi="Times New Roman"/>
          <w:bCs/>
          <w:noProof/>
          <w:color w:val="000000"/>
          <w:sz w:val="24"/>
          <w:szCs w:val="24"/>
        </w:rPr>
        <w:t xml:space="preserve">До края на 2019 г. Хонконг отбеляза </w:t>
      </w:r>
      <w:r>
        <w:rPr>
          <w:rFonts w:ascii="Times New Roman" w:hAnsi="Times New Roman"/>
          <w:b/>
          <w:bCs/>
          <w:noProof/>
          <w:color w:val="000000"/>
          <w:sz w:val="24"/>
          <w:szCs w:val="24"/>
        </w:rPr>
        <w:t>първия си бюджетен дефицит за последните 15 години</w:t>
      </w:r>
      <w:r>
        <w:rPr>
          <w:rFonts w:ascii="Times New Roman" w:hAnsi="Times New Roman"/>
          <w:bCs/>
          <w:noProof/>
          <w:color w:val="000000"/>
          <w:sz w:val="24"/>
          <w:szCs w:val="24"/>
        </w:rPr>
        <w:t xml:space="preserve">, който се дължеше на по-малките продажби на земя и данъчни постъпления и на увеличаването на разходите. През септември Агенцията за кредитен рейтинг Fitch понижи кредитния рейтинг на Хонконг на AA (от AA+), с отрицателна перспектива, като Moody's също промени перспективата на Хонконг на отрицателна. Дори след понижаването на кредитния рейтинг обаче територията остана със стабилен инвестиционен рейтинг и Хонконг има голям фискален резерв, възлизащ на около 40 % от неговия БВП. </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Външната търговия </w:t>
      </w:r>
      <w:r>
        <w:rPr>
          <w:rFonts w:ascii="Times New Roman" w:hAnsi="Times New Roman"/>
          <w:noProof/>
          <w:sz w:val="24"/>
          <w:szCs w:val="24"/>
        </w:rPr>
        <w:t xml:space="preserve">на Хонконг беше засегната от изпълнената с предизвикателства външна среда. През годината износът и вносът на стоки намаляха съответно с 4,1 % и 6,5 %. Това от своя страна оказа въздействие върху секторите на услугите, свързани с търговията, на които се пада дял от около 20 % от заетостта и БВП на Хонконг. Освен това </w:t>
      </w:r>
      <w:r>
        <w:rPr>
          <w:rFonts w:ascii="Times New Roman" w:hAnsi="Times New Roman"/>
          <w:b/>
          <w:noProof/>
          <w:sz w:val="24"/>
          <w:szCs w:val="24"/>
        </w:rPr>
        <w:t>продажбите на дребно се сринаха</w:t>
      </w:r>
      <w:r>
        <w:rPr>
          <w:rFonts w:ascii="Times New Roman" w:hAnsi="Times New Roman"/>
          <w:noProof/>
          <w:sz w:val="24"/>
          <w:szCs w:val="24"/>
        </w:rPr>
        <w:t xml:space="preserve"> драстично през втората половина на годината поради размириците и като цяло бяха с 11,1 % по-ниски за годината. Външната търговия, продажбите на дребно и ръстът на БВП вече бяха започнали да намаляват през 2018 г., което сочи, че икономиката е губила инерция много преди началото на размириците през юни.</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sz w:val="24"/>
          <w:szCs w:val="24"/>
        </w:rPr>
        <w:t xml:space="preserve">Едно от най-видимите последствия от размириците е </w:t>
      </w:r>
      <w:r>
        <w:rPr>
          <w:rFonts w:ascii="Times New Roman" w:hAnsi="Times New Roman"/>
          <w:b/>
          <w:noProof/>
          <w:sz w:val="24"/>
          <w:szCs w:val="24"/>
        </w:rPr>
        <w:t>намаляването на броя на туристите</w:t>
      </w:r>
      <w:r>
        <w:rPr>
          <w:rFonts w:ascii="Times New Roman" w:hAnsi="Times New Roman"/>
          <w:noProof/>
          <w:sz w:val="24"/>
          <w:szCs w:val="24"/>
        </w:rPr>
        <w:t>.</w:t>
      </w:r>
      <w:r>
        <w:rPr>
          <w:rFonts w:ascii="Times New Roman" w:hAnsi="Times New Roman"/>
          <w:noProof/>
          <w:color w:val="000000" w:themeColor="text1"/>
          <w:sz w:val="24"/>
          <w:szCs w:val="24"/>
        </w:rPr>
        <w:t xml:space="preserve"> След юни туристическите посещения намаляха с 39 % в сравнение с предходната година. </w:t>
      </w:r>
      <w:r>
        <w:rPr>
          <w:rFonts w:ascii="Times New Roman" w:hAnsi="Times New Roman"/>
          <w:noProof/>
          <w:sz w:val="24"/>
          <w:szCs w:val="24"/>
        </w:rPr>
        <w:t xml:space="preserve">Традиционно </w:t>
      </w:r>
      <w:r>
        <w:rPr>
          <w:rFonts w:ascii="Times New Roman" w:hAnsi="Times New Roman"/>
          <w:noProof/>
          <w:color w:val="000000" w:themeColor="text1"/>
          <w:sz w:val="24"/>
          <w:szCs w:val="24"/>
        </w:rPr>
        <w:t>близо 80 %</w:t>
      </w:r>
      <w:r>
        <w:rPr>
          <w:rFonts w:ascii="Times New Roman" w:hAnsi="Times New Roman"/>
          <w:noProof/>
          <w:color w:val="FF0000"/>
          <w:sz w:val="24"/>
          <w:szCs w:val="24"/>
        </w:rPr>
        <w:t xml:space="preserve"> </w:t>
      </w:r>
      <w:r>
        <w:rPr>
          <w:rFonts w:ascii="Times New Roman" w:hAnsi="Times New Roman"/>
          <w:noProof/>
          <w:color w:val="000000" w:themeColor="text1"/>
          <w:sz w:val="24"/>
          <w:szCs w:val="24"/>
        </w:rPr>
        <w:t>от туристите са от континентален Китай, като според оценките на тях се пада дял от приблизително 40 %</w:t>
      </w:r>
      <w:r>
        <w:rPr>
          <w:rFonts w:ascii="Times New Roman" w:hAnsi="Times New Roman"/>
          <w:noProof/>
          <w:color w:val="FF0000"/>
          <w:sz w:val="24"/>
          <w:szCs w:val="24"/>
        </w:rPr>
        <w:t xml:space="preserve"> </w:t>
      </w:r>
      <w:r>
        <w:rPr>
          <w:rFonts w:ascii="Times New Roman" w:hAnsi="Times New Roman"/>
          <w:noProof/>
          <w:color w:val="000000" w:themeColor="text1"/>
          <w:sz w:val="24"/>
          <w:szCs w:val="24"/>
        </w:rPr>
        <w:t xml:space="preserve">от общите продажби на дребно в града, и по-конкретно в сектора на луксозните стоки. Освен при продажбите на дребно, спадът в туристическите посещения се усети тежко в секторите на хотелиерството и ресторантьорството, хранителните изделия и напитките и транспорта.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Въпреки спада увеличението на </w:t>
      </w:r>
      <w:r>
        <w:rPr>
          <w:rFonts w:ascii="Times New Roman" w:hAnsi="Times New Roman"/>
          <w:b/>
          <w:noProof/>
          <w:sz w:val="24"/>
          <w:szCs w:val="24"/>
        </w:rPr>
        <w:t>безработицата</w:t>
      </w:r>
      <w:r>
        <w:rPr>
          <w:rFonts w:ascii="Times New Roman" w:hAnsi="Times New Roman"/>
          <w:noProof/>
          <w:sz w:val="24"/>
          <w:szCs w:val="24"/>
        </w:rPr>
        <w:t xml:space="preserve"> беше незначително — от 2,8 % през последното тримесечие на 2018 г. на 3,3 % през последното тримесечие на 2019 г. Ако обаче икономиката не се възстанови, натискът върху пазара на труда би могъл да се увеличи. Инфлацията остана под контрол, с базова инфлация на потребителските цени от 3 % за годината</w:t>
      </w:r>
      <w:r>
        <w:rPr>
          <w:rFonts w:ascii="Times New Roman" w:hAnsi="Times New Roman"/>
          <w:noProof/>
          <w:color w:val="000000" w:themeColor="text1"/>
          <w:sz w:val="24"/>
          <w:szCs w:val="24"/>
        </w:rPr>
        <w:t>.</w:t>
      </w:r>
    </w:p>
    <w:p>
      <w:pPr>
        <w:autoSpaceDE w:val="0"/>
        <w:autoSpaceDN w:val="0"/>
        <w:adjustRightInd w:val="0"/>
        <w:spacing w:before="120" w:after="120" w:line="240" w:lineRule="auto"/>
        <w:jc w:val="both"/>
        <w:outlineLvl w:val="0"/>
        <w:rPr>
          <w:rFonts w:ascii="Times New Roman" w:hAnsi="Times New Roman" w:cs="Times New Roman"/>
          <w:noProof/>
          <w:color w:val="984806" w:themeColor="accent6" w:themeShade="80"/>
          <w:sz w:val="24"/>
          <w:szCs w:val="24"/>
        </w:rPr>
      </w:pPr>
      <w:r>
        <w:rPr>
          <w:rFonts w:ascii="Times New Roman" w:hAnsi="Times New Roman"/>
          <w:noProof/>
          <w:color w:val="000000" w:themeColor="text1"/>
          <w:sz w:val="24"/>
          <w:szCs w:val="24"/>
        </w:rPr>
        <w:t xml:space="preserve">Цените на </w:t>
      </w:r>
      <w:r>
        <w:rPr>
          <w:rFonts w:ascii="Times New Roman" w:hAnsi="Times New Roman"/>
          <w:b/>
          <w:noProof/>
          <w:color w:val="000000" w:themeColor="text1"/>
          <w:sz w:val="24"/>
          <w:szCs w:val="24"/>
        </w:rPr>
        <w:t xml:space="preserve">имотите </w:t>
      </w:r>
      <w:r>
        <w:rPr>
          <w:rFonts w:ascii="Times New Roman" w:hAnsi="Times New Roman"/>
          <w:noProof/>
          <w:color w:val="000000" w:themeColor="text1"/>
          <w:sz w:val="24"/>
          <w:szCs w:val="24"/>
        </w:rPr>
        <w:t xml:space="preserve">се понижиха с 4,5 % в периода между май и декември, но, благодарение на силния старт на годината, като цяло за 2019 г. цените се вдигнаха с 5,4 %. Хонконг остава един от най-трудно достъпните в света градски центрове за купувачите на жилища. Средната продължителност на чакането за отдавано под наем обществено жилище се удължи на 5,4 години.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Въпреки че финансовият сектор </w:t>
      </w:r>
      <w:r>
        <w:rPr>
          <w:rFonts w:ascii="Times New Roman" w:hAnsi="Times New Roman"/>
          <w:noProof/>
          <w:color w:val="000000" w:themeColor="text1"/>
          <w:sz w:val="24"/>
          <w:szCs w:val="24"/>
        </w:rPr>
        <w:t>е по-устойчив от останалите сектори на икономиката поради неговата обвързаност с Китай и региона и поради относително малката значимост на местните дейности, той не беше напълно пощаден от въздействието на икономическия спад. Броят на първичните публични предлагания (ППП) се понижи през третото тримесечие, но от септември отбеляза възстановяване — включително с широко оповестеното вторично предлагане на Alibaba. Хонконг дори запази</w:t>
      </w:r>
      <w:r>
        <w:rPr>
          <w:rFonts w:ascii="Times New Roman" w:hAnsi="Times New Roman"/>
          <w:noProof/>
          <w:color w:val="FF0000"/>
          <w:sz w:val="24"/>
          <w:szCs w:val="24"/>
        </w:rPr>
        <w:t xml:space="preserve"> </w:t>
      </w:r>
      <w:r>
        <w:rPr>
          <w:rFonts w:ascii="Times New Roman" w:hAnsi="Times New Roman"/>
          <w:noProof/>
          <w:color w:val="000000" w:themeColor="text1"/>
          <w:sz w:val="24"/>
          <w:szCs w:val="24"/>
        </w:rPr>
        <w:t xml:space="preserve">челната си позиция като водещ световен център за първично публично предлагане (ППП) за годината. Дневният оборот на пазара обаче се понижи с 18,9 % в сравнение с предходната година, а индексът Hang Seng изостана в сравнение с други основни индекси. Тенденциите на фондовите пазари бяха силно повлияни от събитията в континентален Китай и от продължаващото напрежение в търговията между САЩ и Китай. Банковият сектор обаче остана стабилен, с равнища на капитализацията и ликвидността на банките над международните стандарти. Хонконг също така разполага с големи валутни резерви в подкрепа на валутния борд, който се прилага за хонконгския долар, и до голяма степен избегна отлив на капитал поради създаване на паника.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Хонконг продължи да се утвърждава като център за </w:t>
      </w:r>
      <w:r>
        <w:rPr>
          <w:rFonts w:ascii="Times New Roman" w:hAnsi="Times New Roman"/>
          <w:b/>
          <w:noProof/>
          <w:color w:val="000000" w:themeColor="text1"/>
          <w:sz w:val="24"/>
          <w:szCs w:val="24"/>
        </w:rPr>
        <w:t>зелено финансиране</w:t>
      </w:r>
      <w:r>
        <w:rPr>
          <w:rFonts w:ascii="Times New Roman" w:hAnsi="Times New Roman"/>
          <w:noProof/>
          <w:color w:val="000000" w:themeColor="text1"/>
          <w:sz w:val="24"/>
          <w:szCs w:val="24"/>
        </w:rPr>
        <w:t xml:space="preserve"> в региона, въз основа на сектора на управлението на активите и политиката на правителството за подпомагане на зеленото финансиране. През май 2019 г. той привлече 1 милиард щатски долара чрез въвеждането на деноминирани в щатски долари зелени държавни облигации. През 2019 г. властите на Хонконг насочиха вниманието си към развиването на пазарната инфраструктура (например към изграждането на капацитета за зелено финансиране на финансовите институции).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2019 г. беше извършена </w:t>
      </w:r>
      <w:r>
        <w:rPr>
          <w:rFonts w:ascii="Times New Roman" w:hAnsi="Times New Roman"/>
          <w:b/>
          <w:noProof/>
          <w:color w:val="000000" w:themeColor="text1"/>
          <w:sz w:val="24"/>
          <w:szCs w:val="24"/>
        </w:rPr>
        <w:t>реформа в одитния сектор</w:t>
      </w:r>
      <w:r>
        <w:rPr>
          <w:rFonts w:ascii="Times New Roman" w:hAnsi="Times New Roman"/>
          <w:noProof/>
          <w:color w:val="000000" w:themeColor="text1"/>
          <w:sz w:val="24"/>
          <w:szCs w:val="24"/>
        </w:rPr>
        <w:t xml:space="preserve">, в рамките на която беше преструктуриран Съветът за финансова отчетност (СФО) като независим надзорен орган, който регулира одиторите, и беше ускорено преминаването от саморегулиране към независим надзор в съответствие с международните стандарти. През ноември 2019 г. Комисията по ценните книжа и фючърсите (SFC) възприе нов регулаторен подход по отношение на </w:t>
      </w:r>
      <w:r>
        <w:rPr>
          <w:rFonts w:ascii="Times New Roman" w:hAnsi="Times New Roman"/>
          <w:b/>
          <w:noProof/>
          <w:color w:val="000000" w:themeColor="text1"/>
          <w:sz w:val="24"/>
          <w:szCs w:val="24"/>
        </w:rPr>
        <w:t>платформите за търговия с виртуални активи</w:t>
      </w:r>
      <w:r>
        <w:rPr>
          <w:rFonts w:ascii="Times New Roman" w:hAnsi="Times New Roman"/>
          <w:noProof/>
          <w:color w:val="000000" w:themeColor="text1"/>
          <w:sz w:val="24"/>
          <w:szCs w:val="24"/>
        </w:rPr>
        <w:t xml:space="preserve">, регулирайки ги на доброволен принцип. Единствено операторите, които съответстват на високите регулаторни стандарти, могат да получат лиценз. </w:t>
      </w:r>
      <w:r>
        <w:rPr>
          <w:rFonts w:ascii="Times New Roman" w:hAnsi="Times New Roman"/>
          <w:b/>
          <w:noProof/>
          <w:color w:val="000000" w:themeColor="text1"/>
          <w:sz w:val="24"/>
          <w:szCs w:val="24"/>
        </w:rPr>
        <w:t>Системата за ускорени плащания</w:t>
      </w:r>
      <w:r>
        <w:rPr>
          <w:rFonts w:ascii="Times New Roman" w:hAnsi="Times New Roman"/>
          <w:noProof/>
          <w:color w:val="000000" w:themeColor="text1"/>
          <w:sz w:val="24"/>
          <w:szCs w:val="24"/>
        </w:rPr>
        <w:t xml:space="preserve"> (Faster Payment System — FPS) беше доразвита с взаимосвързани електронни портфейли на различни банки, включително за плащания в ренминби. Въпреки че в континентален Китай също се предлагат услуги за електронни портфейли, все още не е възможно взаимно свързване.</w:t>
      </w:r>
    </w:p>
    <w:p>
      <w:pPr>
        <w:autoSpaceDE w:val="0"/>
        <w:autoSpaceDN w:val="0"/>
        <w:adjustRightInd w:val="0"/>
        <w:spacing w:before="120" w:after="120" w:line="240" w:lineRule="auto"/>
        <w:jc w:val="both"/>
        <w:outlineLvl w:val="0"/>
        <w:rPr>
          <w:rFonts w:ascii="Times New Roman" w:hAnsi="Times New Roman" w:cs="Times New Roman"/>
          <w:bCs/>
          <w:noProof/>
          <w:color w:val="000000"/>
          <w:sz w:val="24"/>
          <w:szCs w:val="24"/>
        </w:rPr>
      </w:pPr>
      <w:r>
        <w:rPr>
          <w:rFonts w:ascii="Times New Roman" w:hAnsi="Times New Roman"/>
          <w:bCs/>
          <w:noProof/>
          <w:color w:val="000000"/>
          <w:sz w:val="24"/>
          <w:szCs w:val="24"/>
        </w:rPr>
        <w:t xml:space="preserve">Що се отнася до </w:t>
      </w:r>
      <w:r>
        <w:rPr>
          <w:rFonts w:ascii="Times New Roman" w:hAnsi="Times New Roman"/>
          <w:b/>
          <w:bCs/>
          <w:noProof/>
          <w:color w:val="000000"/>
          <w:sz w:val="24"/>
          <w:szCs w:val="24"/>
        </w:rPr>
        <w:t xml:space="preserve">подпомагането на икономиката от страна на правителството на Хонконг, </w:t>
      </w:r>
      <w:r>
        <w:rPr>
          <w:rFonts w:ascii="Times New Roman" w:hAnsi="Times New Roman"/>
          <w:bCs/>
          <w:noProof/>
          <w:color w:val="000000"/>
          <w:sz w:val="24"/>
          <w:szCs w:val="24"/>
        </w:rPr>
        <w:t>Хонконгският орган по паричната политика (ХОПП) съумя да следва Федералния резерв на САЩ и понижи лихвените проценти няколко пъти през годината. Антицикличният капиталов буфер също беше понижен през октомври от 2,5 % на 2 % с цел подпомагане на банковото кредитиране. Във</w:t>
      </w:r>
      <w:r>
        <w:rPr>
          <w:rFonts w:ascii="Times New Roman" w:hAnsi="Times New Roman"/>
          <w:b/>
          <w:bCs/>
          <w:noProof/>
          <w:color w:val="000000"/>
          <w:sz w:val="24"/>
          <w:szCs w:val="24"/>
        </w:rPr>
        <w:t xml:space="preserve"> </w:t>
      </w:r>
      <w:r>
        <w:rPr>
          <w:rFonts w:ascii="Times New Roman" w:hAnsi="Times New Roman"/>
          <w:bCs/>
          <w:noProof/>
          <w:color w:val="000000"/>
          <w:sz w:val="24"/>
          <w:szCs w:val="24"/>
        </w:rPr>
        <w:t xml:space="preserve">фискално отношение правителството въведе пакети от </w:t>
      </w:r>
      <w:r>
        <w:rPr>
          <w:rFonts w:ascii="Times New Roman" w:hAnsi="Times New Roman"/>
          <w:bCs/>
          <w:noProof/>
          <w:sz w:val="24"/>
          <w:szCs w:val="24"/>
        </w:rPr>
        <w:t xml:space="preserve">мерки за подпомагане </w:t>
      </w:r>
      <w:r>
        <w:rPr>
          <w:rFonts w:ascii="Times New Roman" w:hAnsi="Times New Roman"/>
          <w:noProof/>
          <w:sz w:val="24"/>
          <w:szCs w:val="24"/>
        </w:rPr>
        <w:t>в размер на 30 милиарда хонконгски долара (3,5 милиарда евро).</w:t>
      </w:r>
      <w:r>
        <w:rPr>
          <w:rFonts w:ascii="Times New Roman" w:hAnsi="Times New Roman"/>
          <w:bCs/>
          <w:noProof/>
          <w:sz w:val="24"/>
          <w:szCs w:val="24"/>
        </w:rPr>
        <w:t xml:space="preserve"> Тяхната </w:t>
      </w:r>
      <w:r>
        <w:rPr>
          <w:rFonts w:ascii="Times New Roman" w:hAnsi="Times New Roman"/>
          <w:bCs/>
          <w:noProof/>
          <w:color w:val="000000" w:themeColor="text1"/>
          <w:sz w:val="24"/>
          <w:szCs w:val="24"/>
        </w:rPr>
        <w:t>цел беше до голяма степен облекчаване на финансовата тежест върху домакинствата, подпомагане на МСП и подкрепа за секторите на транспорта и туризма.</w:t>
      </w:r>
      <w:r>
        <w:rPr>
          <w:rFonts w:ascii="Times New Roman" w:hAnsi="Times New Roman"/>
          <w:bCs/>
          <w:noProof/>
          <w:color w:val="000000"/>
          <w:sz w:val="24"/>
          <w:szCs w:val="24"/>
        </w:rPr>
        <w:t xml:space="preserve"> Някои наблюдатели отправиха критики по отношение на тези пакети с аргумента, че са твърде малки и че възлизат само на 1 % от БВП. В този контекст следва да се отбележи, че през ноември Международният валутен фонд (МВФ) отправи препоръка за увеличаване на публичните разходи за подпомагане на икономиката и за справяне със структурните предизвикателства (недостига на жилища, неравенството по отношение на доходите и т.н.).</w:t>
      </w:r>
    </w:p>
    <w:p>
      <w:pPr>
        <w:autoSpaceDE w:val="0"/>
        <w:autoSpaceDN w:val="0"/>
        <w:adjustRightInd w:val="0"/>
        <w:spacing w:before="120" w:after="120" w:line="240" w:lineRule="auto"/>
        <w:jc w:val="both"/>
        <w:outlineLvl w:val="0"/>
        <w:rPr>
          <w:rFonts w:ascii="Times New Roman" w:hAnsi="Times New Roman" w:cs="Times New Roman"/>
          <w:bCs/>
          <w:noProof/>
          <w:color w:val="000000" w:themeColor="text1"/>
          <w:sz w:val="24"/>
          <w:szCs w:val="24"/>
        </w:rPr>
      </w:pPr>
      <w:r>
        <w:rPr>
          <w:rFonts w:ascii="Times New Roman" w:hAnsi="Times New Roman"/>
          <w:bCs/>
          <w:noProof/>
          <w:color w:val="000000"/>
          <w:sz w:val="24"/>
          <w:szCs w:val="24"/>
        </w:rPr>
        <w:t xml:space="preserve">През октомври главният управител направи своето </w:t>
      </w:r>
      <w:r>
        <w:rPr>
          <w:rFonts w:ascii="Times New Roman" w:hAnsi="Times New Roman"/>
          <w:b/>
          <w:bCs/>
          <w:noProof/>
          <w:color w:val="000000"/>
          <w:sz w:val="24"/>
          <w:szCs w:val="24"/>
        </w:rPr>
        <w:t xml:space="preserve">обръщение относно политиката за 2019 г. </w:t>
      </w:r>
      <w:r>
        <w:rPr>
          <w:rFonts w:ascii="Times New Roman" w:hAnsi="Times New Roman"/>
          <w:bCs/>
          <w:noProof/>
          <w:color w:val="000000"/>
          <w:sz w:val="24"/>
          <w:szCs w:val="24"/>
        </w:rPr>
        <w:t>, което беше насочено към жилищния фонд и благосъстоянието. По отношение на благосъстоянието, отчасти в него се залага на вече оповестените пакети за подпомагане, като се добавят множество нови мерки. По отношение на жилищния фонд най-впечатляващото предложение беше да се използва Заповедта за изземване на земи с цел от предприемачите да бъде взимана обратно земята, които е урегулирана за висока гъстота на жилищното застрояване, но за която все още не са изготвени устройствени планове, и тази земя да бъдат използвана за изграждане на обществени жилища.</w:t>
      </w:r>
      <w:r>
        <w:rPr>
          <w:rFonts w:ascii="Times New Roman" w:hAnsi="Times New Roman"/>
          <w:bCs/>
          <w:noProof/>
          <w:color w:val="000000" w:themeColor="text1"/>
          <w:sz w:val="24"/>
          <w:szCs w:val="24"/>
        </w:rPr>
        <w:t xml:space="preserve">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2019 г. </w:t>
      </w:r>
      <w:r>
        <w:rPr>
          <w:rFonts w:ascii="Times New Roman" w:hAnsi="Times New Roman"/>
          <w:b/>
          <w:noProof/>
          <w:color w:val="000000" w:themeColor="text1"/>
          <w:sz w:val="24"/>
          <w:szCs w:val="24"/>
        </w:rPr>
        <w:t>европейските предприятия</w:t>
      </w:r>
      <w:r>
        <w:rPr>
          <w:rFonts w:ascii="Times New Roman" w:hAnsi="Times New Roman"/>
          <w:noProof/>
          <w:color w:val="000000" w:themeColor="text1"/>
          <w:sz w:val="24"/>
          <w:szCs w:val="24"/>
        </w:rPr>
        <w:t xml:space="preserve"> до голяма степен запазиха възприетия подход на изчакване. Дружествата, които ползват Хонконг като регионален център за по-големия азиатско-тихоокеански регион, бяха засегнати съществено от търговската война между САЩ и Китай и от слабата световна търговия. Размириците представляваха основен проблем за дружествата, чиято дейност е съсредоточена върху местните продажби, особено в секторите на продажбите на дребно (по-конкретно луксозните стоки), хотелиерството и ресторантьорството и хранителните изделия и напитките. Тези сектори отчетоха значително намаляване на продажбите, като основната причина за това беше рязкото намаляване на посетителите и разходите, направени от потребителите. Някои предприятия решиха да намалят обема на дейността си. Ако ситуацията не се подобри, дружествата може да бъдат принудени да обмислят допълнителни мерки.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Вече оттегленият законопроект за екстрадицията и процедурата по неговото приемане бяха повод за голямо безпокойство за европейската бизнес общност. С хода на размириците европейските дружества недвусмислено осъдиха насилието, като изразиха сериозната си загриженост по отношение на политическата безизходица и нейното въздействие върху бизнес климата в Хонконг.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Засилващият се политически натиск и намесата в осъществяването на обичайната стопанска дейност бяха нещо ново за Хонконг през 2019 г. и бяха отчетени с безпокойство от бизнес средите като цяло. Оперативната ефективност на Хонконг, неговата роля като главен офшорен финансов център за континентален Китай, високата му степен на </w:t>
      </w:r>
      <w:r>
        <w:rPr>
          <w:rFonts w:ascii="Times New Roman" w:hAnsi="Times New Roman"/>
          <w:noProof/>
          <w:sz w:val="24"/>
          <w:szCs w:val="24"/>
        </w:rPr>
        <w:t xml:space="preserve">автономност, неговата независима съдебна система и зачитането </w:t>
      </w:r>
      <w:r>
        <w:rPr>
          <w:rFonts w:ascii="Times New Roman" w:hAnsi="Times New Roman"/>
          <w:noProof/>
          <w:color w:val="000000" w:themeColor="text1"/>
          <w:sz w:val="24"/>
          <w:szCs w:val="24"/>
        </w:rPr>
        <w:t>на върховенството на закона като цяло се считат за основни конкурентни предимства. Подкопаването на някое от тези предимства би направило Хонконг по-малко привлекателен като международен бизнес център.</w:t>
      </w:r>
    </w:p>
    <w:p>
      <w:pPr>
        <w:spacing w:before="120" w:after="120" w:line="240" w:lineRule="auto"/>
        <w:jc w:val="both"/>
        <w:rPr>
          <w:rFonts w:ascii="Times New Roman" w:hAnsi="Times New Roman" w:cs="Times New Roman"/>
          <w:b/>
          <w:noProof/>
          <w:color w:val="000000" w:themeColor="text1"/>
          <w:sz w:val="24"/>
          <w:szCs w:val="24"/>
        </w:rPr>
      </w:pPr>
    </w:p>
    <w:p>
      <w:pPr>
        <w:spacing w:before="120" w:after="12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Търговия и други политики</w:t>
      </w:r>
    </w:p>
    <w:p>
      <w:pPr>
        <w:pStyle w:val="Default"/>
        <w:spacing w:before="120" w:after="120"/>
        <w:jc w:val="both"/>
        <w:rPr>
          <w:noProof/>
          <w:color w:val="000000" w:themeColor="text1"/>
        </w:rPr>
      </w:pPr>
      <w:r>
        <w:rPr>
          <w:noProof/>
          <w:color w:val="000000" w:themeColor="text1"/>
        </w:rPr>
        <w:t xml:space="preserve">През март Хонконг подписа </w:t>
      </w:r>
      <w:r>
        <w:rPr>
          <w:b/>
          <w:noProof/>
          <w:color w:val="000000" w:themeColor="text1"/>
        </w:rPr>
        <w:t>споразумение за свободна търговия</w:t>
      </w:r>
      <w:r>
        <w:rPr>
          <w:noProof/>
          <w:color w:val="000000" w:themeColor="text1"/>
        </w:rPr>
        <w:t xml:space="preserve"> (ССТ) с Австралия. ССТ с Асоциацията на народите от Югоизточна Азия (ACEAH) (подписано през 2017 г.) влезе в сила за Лаос, </w:t>
      </w:r>
      <w:r>
        <w:rPr>
          <w:noProof/>
          <w:color w:val="auto"/>
        </w:rPr>
        <w:t xml:space="preserve">Мианмар, Сингапур, Тайланд, Виетнам и Малайзия през 2019 г. Хонконг също така оповести публично </w:t>
      </w:r>
      <w:r>
        <w:rPr>
          <w:noProof/>
          <w:color w:val="000000" w:themeColor="text1"/>
        </w:rPr>
        <w:t xml:space="preserve">намерението си за присъединяване към Всеобхватно регионално икономическо партньорство (ВРИП), както и за договаряне на допълнителни ССТ, по-специално с Тайланд и с Обединеното кралство след излизането му от ЕС. През 2019 г. не бяха сключени нови споразумения за насърчаване и защита на инвестициите, въпреки че понастоящем се водят преговори с Русия, Иран и Турция. </w:t>
      </w:r>
    </w:p>
    <w:p>
      <w:pPr>
        <w:autoSpaceDE w:val="0"/>
        <w:autoSpaceDN w:val="0"/>
        <w:adjustRightInd w:val="0"/>
        <w:spacing w:before="120" w:after="120" w:line="240" w:lineRule="auto"/>
        <w:jc w:val="both"/>
        <w:outlineLvl w:val="0"/>
        <w:rPr>
          <w:rFonts w:ascii="Times New Roman" w:hAnsi="Times New Roman" w:cs="Times New Roman"/>
          <w:bCs/>
          <w:noProof/>
          <w:color w:val="000000"/>
          <w:sz w:val="24"/>
          <w:szCs w:val="24"/>
        </w:rPr>
      </w:pPr>
      <w:r>
        <w:rPr>
          <w:rFonts w:ascii="Times New Roman" w:hAnsi="Times New Roman"/>
          <w:bCs/>
          <w:noProof/>
          <w:color w:val="000000"/>
          <w:sz w:val="24"/>
          <w:szCs w:val="24"/>
        </w:rPr>
        <w:t xml:space="preserve">Стимулирането на </w:t>
      </w:r>
      <w:r>
        <w:rPr>
          <w:rFonts w:ascii="Times New Roman" w:hAnsi="Times New Roman"/>
          <w:b/>
          <w:bCs/>
          <w:noProof/>
          <w:color w:val="000000"/>
          <w:sz w:val="24"/>
          <w:szCs w:val="24"/>
        </w:rPr>
        <w:t>научните изследвания и иновациите</w:t>
      </w:r>
      <w:r>
        <w:rPr>
          <w:rFonts w:ascii="Times New Roman" w:hAnsi="Times New Roman"/>
          <w:bCs/>
          <w:noProof/>
          <w:color w:val="000000"/>
          <w:sz w:val="24"/>
          <w:szCs w:val="24"/>
        </w:rPr>
        <w:t xml:space="preserve"> продължава да бъде приоритет за правителството на Хонконг: В своето обръщение относно политиката главният управител оповести преработването на няколко схеми за подпомагане на иновациите и технологиите. С цел подпомагане на иновациите Хонконг въведе система за първоначално издаване на патенти. Насърчават се иновациите и във финансовия сектор, за да може Хонконг да стане лидер в областта на технологиите за предоставяне на финансови услуги (така наречените „финансови технологии“) и на зеленото финансиране: През 2019 г. бяха издадени първите осем лиценза за виртуална банкова дейност и беше емитирана първата серия зелени облигации на стойност 1 милиард щатски долара</w:t>
      </w:r>
      <w:r>
        <w:rPr>
          <w:rStyle w:val="FootnoteReference"/>
          <w:rFonts w:ascii="Times New Roman" w:hAnsi="Times New Roman" w:cs="Times New Roman"/>
          <w:bCs/>
          <w:noProof/>
          <w:color w:val="000000"/>
          <w:sz w:val="24"/>
          <w:szCs w:val="24"/>
        </w:rPr>
        <w:footnoteReference w:id="2"/>
      </w:r>
      <w:r>
        <w:rPr>
          <w:rFonts w:ascii="Times New Roman" w:hAnsi="Times New Roman"/>
          <w:bCs/>
          <w:noProof/>
          <w:color w:val="000000"/>
          <w:sz w:val="24"/>
          <w:szCs w:val="24"/>
        </w:rPr>
        <w:t xml:space="preserve">.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Опазването на околната среда и декарбонизацията </w:t>
      </w:r>
      <w:r>
        <w:rPr>
          <w:rFonts w:ascii="Times New Roman" w:hAnsi="Times New Roman"/>
          <w:noProof/>
          <w:color w:val="000000" w:themeColor="text1"/>
          <w:sz w:val="24"/>
          <w:szCs w:val="24"/>
        </w:rPr>
        <w:t>продължиха да бъдат съществени предизвикателства за Хонконг през 2019 г. В областта на отпадъците правителството предприе действия за намаляване на използването на пластмасови сламки и контейнери за храна от пенопласти в сгради, в които работят предимно държавни служители. Въпреки това все още се очаква отдавна обсъжданата схема за таксуване на отпадъците, която беше представена пред Законодателния съвет през ноември 2018 г. Единственият съществен план за справяне с нарастващото количество отпадъци, генерирани в града, е изграждането на инсталация за изгаряне на отпадъци за производство на енергия. До голяма степен продължават да липсват политики и инструменти за намаляване, оползотворяване и рециклиране на отпадъците. По отношение на замърсяването на въздуха важна стъпка напред беше влизането в сила през януари 2019 г. на правилник, съгласно който плавателните съдове във водите на Хонконг трябва да използват единствено гориво с ограничено съдържание на сяра (не повече от 0,5 %). Хонконг публикува и обществена консултация относно декарбонизацията с цел разработването на дългосрочна стратегия за декарбонизацията за територията.</w:t>
      </w:r>
    </w:p>
    <w:p>
      <w:pPr>
        <w:spacing w:before="120" w:after="120" w:line="240" w:lineRule="auto"/>
        <w:rPr>
          <w:rFonts w:ascii="Times New Roman" w:hAnsi="Times New Roman" w:cs="Times New Roman"/>
          <w:b/>
          <w:bCs/>
          <w:noProof/>
          <w:sz w:val="24"/>
          <w:szCs w:val="24"/>
          <w:u w:val="single"/>
        </w:rPr>
      </w:pPr>
    </w:p>
    <w:p>
      <w:pPr>
        <w:spacing w:before="120" w:after="120" w:line="240" w:lineRule="auto"/>
        <w:rPr>
          <w:rFonts w:ascii="Times New Roman" w:hAnsi="Times New Roman" w:cs="Times New Roman"/>
          <w:noProof/>
          <w:sz w:val="24"/>
          <w:szCs w:val="24"/>
          <w:u w:val="single"/>
        </w:rPr>
      </w:pPr>
      <w:r>
        <w:rPr>
          <w:rFonts w:ascii="Times New Roman" w:hAnsi="Times New Roman"/>
          <w:b/>
          <w:bCs/>
          <w:noProof/>
          <w:sz w:val="24"/>
          <w:szCs w:val="24"/>
          <w:u w:val="single"/>
        </w:rPr>
        <w:t>Отношения между Хонконг и континентален Китай</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Отношенията между Хонконг и континентален Китай бяха силно засегнати от продължаващите протести. Правителството на Китайската народна република (КНР) подкрепи публично използването на сила срещу протестиращите от страна на властите. Освен това правителството твърди, въз основа на много ограничени доказателства, че протестите представляват средство за онези, които искат независимост за Хонконг, и че чужди сили са отговорни за разпалване на размириците. Континентален Китай посочва социалните и икономическите проблеми като основната причина за общественото недоволство. Президентът Си Дзинпин нарече насилието „явно предизвикателство“ по отношение на принципа „една държава — две системи“.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Продължиха да се засилват страховете, че „високата степен на автономност“ на Хонконг съгласно принципа „една държава — две системи“ бива подкопавана.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Медиите съобщиха за увеличаване на броя на войниците на Китайската народна освободителна армия (КНОА), разположени в Хонконг. Един отряд войници на КНОА напусна казармите в Коулун през ноември и предприе разчистване на барикадите и отломките, разпръснати по основните пътни артерии по време на размириците. Съгласно разпоредбите на Основния закон Правителството на Хонконг може да поиска от КНОА да окаже помощ за справяне при бедствия или за поддържане на обществения ред. В този случай не беше отправено такова искане. </w:t>
      </w:r>
    </w:p>
    <w:p>
      <w:pPr>
        <w:pStyle w:val="Default"/>
        <w:spacing w:before="120" w:after="120"/>
        <w:jc w:val="both"/>
        <w:rPr>
          <w:noProof/>
        </w:rPr>
      </w:pPr>
      <w:r>
        <w:rPr>
          <w:noProof/>
        </w:rPr>
        <w:t>След решението на Върховния съд относно противоконституционността на забраната за носене на маски, говорител на Комисията по законодателните въпроси на Китайската народна република (КНР) заяви, че единствено Постоянният комитет към Общокитайското събрание на народните представители може да решава дали законите на Хонконг са в съответствие с Основния закон. В свое изявление Адвокатска колегия на Хонконг отбеляза, че тази позиция е „неправилна от правна гледна точка“, че съдилищата в Хонконг и преди са отменяли противоконституционни закони, както и че всяко предположение, че съдилищата в Хонконг не могат да упражняват конституционен контрол, ограничава упражняването на правомощията на съдебната власт, които тези съдилища винаги са упражнявали, и противоречи на Основния закон.</w:t>
      </w:r>
    </w:p>
    <w:p>
      <w:pPr>
        <w:pStyle w:val="Default"/>
        <w:spacing w:before="120" w:after="120"/>
        <w:jc w:val="both"/>
        <w:rPr>
          <w:rFonts w:eastAsiaTheme="minorHAnsi"/>
          <w:noProof/>
        </w:rPr>
      </w:pPr>
      <w:r>
        <w:rPr>
          <w:noProof/>
        </w:rPr>
        <w:t xml:space="preserve">Политическите размирици доведоха до повишаване на натиска върху деловите среди в Хонконг и от двете страни на политическия спектър. Служителите на някои дружества в Хонконг бяха наказвани чрез различни действия, включително чрез уволнения, за участие в демонстрации и протести, както и за публикуването в социалните медии на коментари в подкрепа на протестите. Самите дружества бяха подложени на натиск, което доведе до широко отразени случаи на оставки на ръководители на предприятия и публични извинения във връзка с политическите възгледи и действия на техния персонал. Поддръжниците на протестите предприеха широкообхватни действия срещу предприятията, възприемани като прокитайски настроени. В някои случаи тези действия приемаха формата на бойкоти, но също така и прояви на насилие, по-специално вандализъм срещу сградите на тези предприятия.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2019 г. Хонконг продължи да бъде </w:t>
      </w:r>
      <w:r>
        <w:rPr>
          <w:rFonts w:ascii="Times New Roman" w:hAnsi="Times New Roman"/>
          <w:b/>
          <w:noProof/>
          <w:color w:val="000000" w:themeColor="text1"/>
          <w:sz w:val="24"/>
          <w:szCs w:val="24"/>
        </w:rPr>
        <w:t>основен търговски център за континентален Китай</w:t>
      </w:r>
      <w:r>
        <w:rPr>
          <w:rFonts w:ascii="Times New Roman" w:hAnsi="Times New Roman"/>
          <w:noProof/>
          <w:color w:val="000000" w:themeColor="text1"/>
          <w:sz w:val="24"/>
          <w:szCs w:val="24"/>
        </w:rPr>
        <w:t xml:space="preserve">, а континенталната частна Китай безспорно остана най-големият търговски партньор на Хонконг: 55 % от износа на Хонконг беше за континентален Китай, а 47 % от вноса на Хонконг беше с произход от континентален Китай. От своя страна Хонконг беше </w:t>
      </w:r>
      <w:r>
        <w:rPr>
          <w:rFonts w:ascii="Times New Roman" w:hAnsi="Times New Roman"/>
          <w:noProof/>
          <w:color w:val="000000"/>
          <w:sz w:val="24"/>
          <w:szCs w:val="24"/>
        </w:rPr>
        <w:t>петият</w:t>
      </w:r>
      <w:r>
        <w:rPr>
          <w:rFonts w:ascii="Times New Roman" w:hAnsi="Times New Roman"/>
          <w:noProof/>
          <w:sz w:val="24"/>
          <w:szCs w:val="24"/>
        </w:rPr>
        <w:t xml:space="preserve"> по големина търговски партньор на Китай през 2018 г. (след САЩ, ЕС, Япония и Корея). Континентален Китай (по-специално провинция </w:t>
      </w:r>
      <w:r>
        <w:rPr>
          <w:rFonts w:ascii="Times New Roman" w:hAnsi="Times New Roman"/>
          <w:noProof/>
          <w:color w:val="000000" w:themeColor="text1"/>
          <w:sz w:val="24"/>
          <w:szCs w:val="24"/>
        </w:rPr>
        <w:t xml:space="preserve">Гуандун) продължава да бъде база за пасивно усъвършенстване за Хонконг.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Хонконг остава и </w:t>
      </w:r>
      <w:r>
        <w:rPr>
          <w:rFonts w:ascii="Times New Roman" w:hAnsi="Times New Roman"/>
          <w:b/>
          <w:noProof/>
          <w:color w:val="000000" w:themeColor="text1"/>
          <w:sz w:val="24"/>
          <w:szCs w:val="24"/>
        </w:rPr>
        <w:t>основен офшорен финансов и инвестиционен център на Китай</w:t>
      </w:r>
      <w:r>
        <w:rPr>
          <w:rFonts w:ascii="Times New Roman" w:hAnsi="Times New Roman"/>
          <w:noProof/>
          <w:color w:val="000000" w:themeColor="text1"/>
          <w:sz w:val="24"/>
          <w:szCs w:val="24"/>
        </w:rPr>
        <w:t xml:space="preserve">. </w:t>
      </w:r>
      <w:r>
        <w:rPr>
          <w:rFonts w:ascii="Times New Roman" w:hAnsi="Times New Roman"/>
          <w:noProof/>
          <w:sz w:val="24"/>
          <w:szCs w:val="24"/>
        </w:rPr>
        <w:t>Хонконг е най-големият източник на входящи преки чуждестранни инвестиции (ПЧИ) за континенталната част на Китай, с дял от 54 % от общия размер (към края на 2018 г.), и първата дестинация за изходящите ПЧИ, с дял от 65 % от общия размер. От своя страна континентален Китай беше вторият по големина източник на входящи ПЧИ (с 25,5 % от общия размер на преките чуждестранни инвестиции в Хонконг към края на 2017 г.)</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1241 предприятия от континенталната част на Китай са котирани на борсата в Хонконг, като на тях се пада дял от 51 % от общо 2449</w:t>
      </w:r>
      <w:r>
        <w:rPr>
          <w:rFonts w:ascii="Times New Roman" w:hAnsi="Times New Roman"/>
          <w:b/>
          <w:bCs/>
          <w:noProof/>
          <w:sz w:val="24"/>
          <w:szCs w:val="24"/>
        </w:rPr>
        <w:t xml:space="preserve"> </w:t>
      </w:r>
      <w:r>
        <w:rPr>
          <w:rFonts w:ascii="Times New Roman" w:hAnsi="Times New Roman"/>
          <w:noProof/>
          <w:sz w:val="24"/>
          <w:szCs w:val="24"/>
        </w:rPr>
        <w:t xml:space="preserve">дружества, котирани на борсата в Хонконг, но дял от 73 % от общата пазарна капитализация(към края на 2019 г.). 1146 предприятия от континенталната част на Китай са котирани на борсата в Хонконг, като на тях се пада дял от 50 % от общо 2315 дружества, котирани на борсата в Хонконг, но дял от 68 % от общата пазарна капитализация(към края на 2018 г.). Капиталовите пазари на Хонконг и континентален Китай са </w:t>
      </w:r>
      <w:r>
        <w:rPr>
          <w:rFonts w:ascii="Times New Roman" w:hAnsi="Times New Roman"/>
          <w:noProof/>
          <w:color w:val="000000" w:themeColor="text1"/>
          <w:sz w:val="24"/>
          <w:szCs w:val="24"/>
        </w:rPr>
        <w:t xml:space="preserve">свързани посредством </w:t>
      </w:r>
      <w:r>
        <w:rPr>
          <w:rFonts w:ascii="Times New Roman" w:hAnsi="Times New Roman"/>
          <w:b/>
          <w:noProof/>
          <w:color w:val="000000" w:themeColor="text1"/>
          <w:sz w:val="24"/>
          <w:szCs w:val="24"/>
        </w:rPr>
        <w:t xml:space="preserve">схемата за връзка между фондовите борси, </w:t>
      </w:r>
      <w:r>
        <w:rPr>
          <w:rFonts w:ascii="Times New Roman" w:hAnsi="Times New Roman"/>
          <w:noProof/>
          <w:color w:val="000000" w:themeColor="text1"/>
          <w:sz w:val="24"/>
          <w:szCs w:val="24"/>
        </w:rPr>
        <w:t>която свързва Хонконгската фондова борса с Шанхайската и Шънджънската фондова борса,</w:t>
      </w:r>
      <w:r>
        <w:rPr>
          <w:rFonts w:ascii="Times New Roman" w:hAnsi="Times New Roman"/>
          <w:b/>
          <w:noProof/>
          <w:color w:val="000000" w:themeColor="text1"/>
          <w:sz w:val="24"/>
          <w:szCs w:val="24"/>
        </w:rPr>
        <w:t xml:space="preserve"> както и посредством схемата за свързване на пазара на облигации</w:t>
      </w:r>
      <w:r>
        <w:rPr>
          <w:rFonts w:ascii="Times New Roman" w:hAnsi="Times New Roman"/>
          <w:noProof/>
          <w:color w:val="000000" w:themeColor="text1"/>
          <w:sz w:val="24"/>
          <w:szCs w:val="24"/>
        </w:rPr>
        <w:t xml:space="preserve"> , предоставяща взаимен достъп до пазарите на облигации.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годината Хонконг и континентален Китай продължиха да развиват своите отношения в съответствие с </w:t>
      </w:r>
      <w:r>
        <w:rPr>
          <w:rFonts w:ascii="Times New Roman" w:hAnsi="Times New Roman"/>
          <w:b/>
          <w:noProof/>
          <w:color w:val="000000" w:themeColor="text1"/>
          <w:sz w:val="24"/>
          <w:szCs w:val="24"/>
        </w:rPr>
        <w:t xml:space="preserve">Всеобхватното споразумение за партньорство между Китай и Хонконг </w:t>
      </w:r>
      <w:r>
        <w:rPr>
          <w:rFonts w:ascii="Times New Roman" w:hAnsi="Times New Roman"/>
          <w:noProof/>
          <w:color w:val="000000" w:themeColor="text1"/>
          <w:sz w:val="24"/>
          <w:szCs w:val="24"/>
        </w:rPr>
        <w:t xml:space="preserve">(CEPA). През ноември те подписаха изменение съгласно CEPA по отношение на търговията с услуги, с което се въвеждат допълнителни мерки за либерализация в сектори като финансовите и правните услуги, строителството и инженерството, изпитването и сертификацията, развлекателния сектор и туристическите услуги. Очаква се изменението да бъде приложено през юни 2020 г.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Дългоочакваният подробен план за района на </w:t>
      </w:r>
      <w:r>
        <w:rPr>
          <w:rFonts w:ascii="Times New Roman" w:hAnsi="Times New Roman"/>
          <w:b/>
          <w:noProof/>
          <w:color w:val="000000" w:themeColor="text1"/>
          <w:sz w:val="24"/>
          <w:szCs w:val="24"/>
        </w:rPr>
        <w:t>Големия залив Гуандун — Хонконг — Макао („районът на Големия залив“)</w:t>
      </w:r>
      <w:r>
        <w:rPr>
          <w:rFonts w:ascii="Times New Roman" w:hAnsi="Times New Roman"/>
          <w:noProof/>
          <w:color w:val="000000" w:themeColor="text1"/>
          <w:sz w:val="24"/>
          <w:szCs w:val="24"/>
        </w:rPr>
        <w:t xml:space="preserve"> беше публикуван през февруари 2019 г. Хонконг беше определен за един от четирите основни града в региона (заедно с Шънджън, Гуанджоу и Макао). На Хонконг беше отредена основна роля в развитието на района на Големия залив, по-специално по отношение на професионалните услуги (включително финансовите услуги), и като глобален офшорен ренминби център. От публикуването на подробния план насам бяха оповестени мерки, които включват засилване на сътрудничеството в областта на правата върху интелектуалната собственост и митниците и улесняване на хората в Хонконг, които искат да живеят, учат и да провеждат научни изследвания в района на Големия залив. Въпреки това заради размириците в Хонконг има все по-големи опасения, че неговата роля в района на Големия залив може да бъде намалена в полза на другите градове. </w:t>
      </w:r>
    </w:p>
    <w:p>
      <w:pPr>
        <w:autoSpaceDE w:val="0"/>
        <w:autoSpaceDN w:val="0"/>
        <w:adjustRightInd w:val="0"/>
        <w:spacing w:before="120" w:after="120" w:line="240" w:lineRule="auto"/>
        <w:jc w:val="both"/>
        <w:outlineLvl w:val="0"/>
        <w:rPr>
          <w:rFonts w:ascii="Times New Roman" w:hAnsi="Times New Roman" w:cs="Times New Roman"/>
          <w:b/>
          <w:bCs/>
          <w:noProof/>
          <w:sz w:val="24"/>
          <w:szCs w:val="24"/>
          <w:u w:val="single"/>
        </w:rPr>
      </w:pP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u w:val="single"/>
        </w:rPr>
      </w:pPr>
      <w:r>
        <w:rPr>
          <w:rFonts w:ascii="Times New Roman" w:hAnsi="Times New Roman"/>
          <w:b/>
          <w:bCs/>
          <w:noProof/>
          <w:sz w:val="24"/>
          <w:szCs w:val="24"/>
          <w:u w:val="single"/>
        </w:rPr>
        <w:t>Двустранни отношения и сътрудничество между ЕС и Хонконг през 2019 г.</w:t>
      </w:r>
    </w:p>
    <w:p>
      <w:pPr>
        <w:pStyle w:val="Default"/>
        <w:spacing w:before="120" w:after="120"/>
        <w:jc w:val="both"/>
        <w:rPr>
          <w:rFonts w:eastAsia="PMingLiU"/>
          <w:noProof/>
          <w:color w:val="000000" w:themeColor="text1"/>
        </w:rPr>
      </w:pPr>
      <w:r>
        <w:rPr>
          <w:b/>
          <w:bCs/>
          <w:noProof/>
        </w:rPr>
        <w:t xml:space="preserve">13-ата среща за структуриран диалог между ЕС и Хонконг </w:t>
      </w:r>
      <w:r>
        <w:rPr>
          <w:noProof/>
        </w:rPr>
        <w:t xml:space="preserve">се проведе в Хонконг на 28 ноември 2019 г. Диалогът даде възможност за обсъждане на сътрудничеството в широк кръг от области, включително двустранната търговия, реформата на Световната търговска организация (СТО), финансовите услуги, инвестициите, обществените поръчки, митниците, иновациите и технологиите, както и трафика на хора. </w:t>
      </w:r>
    </w:p>
    <w:p>
      <w:pPr>
        <w:spacing w:before="120" w:after="120" w:line="240" w:lineRule="auto"/>
        <w:jc w:val="both"/>
        <w:rPr>
          <w:rFonts w:ascii="Times New Roman" w:hAnsi="Times New Roman" w:cs="Times New Roman"/>
          <w:noProof/>
          <w:color w:val="FF0000"/>
          <w:sz w:val="24"/>
          <w:szCs w:val="24"/>
        </w:rPr>
      </w:pPr>
      <w:r>
        <w:rPr>
          <w:rFonts w:ascii="Times New Roman" w:hAnsi="Times New Roman"/>
          <w:noProof/>
          <w:color w:val="000000" w:themeColor="text1"/>
          <w:sz w:val="24"/>
          <w:szCs w:val="24"/>
        </w:rPr>
        <w:t>Според проучването, извършено от правителството на специалния административен район Хонконг (САР Хонконг) през 2019 г., над 2300 дружества от ЕС са започнали стопанска дейност в Хонконг и повече от половината от тях имат регионално седалище или регионално представителство там</w:t>
      </w:r>
      <w:r>
        <w:rPr>
          <w:rFonts w:ascii="Times New Roman" w:hAnsi="Times New Roman"/>
          <w:noProof/>
          <w:color w:val="984806" w:themeColor="accent6" w:themeShade="80"/>
          <w:sz w:val="24"/>
          <w:szCs w:val="24"/>
        </w:rPr>
        <w:t xml:space="preserve">. </w:t>
      </w:r>
      <w:r>
        <w:rPr>
          <w:rFonts w:ascii="Times New Roman" w:hAnsi="Times New Roman"/>
          <w:noProof/>
          <w:color w:val="000000" w:themeColor="text1"/>
          <w:sz w:val="24"/>
          <w:szCs w:val="24"/>
        </w:rPr>
        <w:t xml:space="preserve">Дружествата от ЕС развиват дейност в широк кръг от сектори, главно финансови и бизнес услуги, търговия, логистика, търговия на дребно, хранителни продукти и напитки и строителство.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2019 г. Хонконг бе 18-ият по големина търговски партньор на ЕС в търговията със стоки и 9-ият търговски партньор на ЕС в Азия, с общ обем на търговията от 48 милиарда евро (+3,4 % спрямо предходната година). Износът на стоки от ЕС за Хонконг възлизаше на 36,7 милиарда евро, а вносът от Хонконг беше в общ размер от 11,3 милиарда евро, което доведе до значителен излишък за ЕС в размер на 25,4 милиарда евро (неговият четвърти по големина търговски излишък в двустранната търговия). ЕС запази позицията си на втори по големина търговски партньор на Хонконг след континентален Китай. ЕС беше втората по големина дестинация за износ и трети по големина вносител за Хонконг през годината.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Хонконг продължи да бъде важен разпределителен център за търговията между континентален Китай и ЕС. През 2018 г. през Хонконг преминаваше внос от ЕС за континентален Китай на стойност над 10 милиарда евро, а реекспортът през Хонконг на стоки за ЕС с произход от континентален Китай беше на стойност над 35 милиарда евро.</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Хонконг остана петият по големина</w:t>
      </w:r>
      <w:r>
        <w:rPr>
          <w:rFonts w:ascii="Times New Roman" w:hAnsi="Times New Roman"/>
          <w:noProof/>
          <w:sz w:val="24"/>
          <w:szCs w:val="24"/>
        </w:rPr>
        <w:t xml:space="preserve"> </w:t>
      </w:r>
      <w:r>
        <w:rPr>
          <w:rFonts w:ascii="Times New Roman" w:hAnsi="Times New Roman"/>
          <w:b/>
          <w:bCs/>
          <w:noProof/>
          <w:sz w:val="24"/>
          <w:szCs w:val="24"/>
        </w:rPr>
        <w:t>търговски партньор на ЕС в сферата на услугите</w:t>
      </w:r>
      <w:r>
        <w:rPr>
          <w:rFonts w:ascii="Times New Roman" w:hAnsi="Times New Roman"/>
          <w:noProof/>
          <w:sz w:val="24"/>
          <w:szCs w:val="24"/>
        </w:rPr>
        <w:t xml:space="preserve"> в Азия </w:t>
      </w:r>
      <w:r>
        <w:rPr>
          <w:rFonts w:ascii="Times New Roman" w:hAnsi="Times New Roman"/>
          <w:noProof/>
          <w:color w:val="000000" w:themeColor="text1"/>
          <w:sz w:val="24"/>
          <w:szCs w:val="24"/>
        </w:rPr>
        <w:t>след Китай, Сингапур, Япония и Индия. През</w:t>
      </w:r>
      <w:r>
        <w:rPr>
          <w:rFonts w:ascii="Times New Roman" w:hAnsi="Times New Roman"/>
          <w:noProof/>
          <w:sz w:val="24"/>
          <w:szCs w:val="24"/>
        </w:rPr>
        <w:t xml:space="preserve"> 2018 г. (последната година, за която има налични данни) двустранната търговия с услуги възлизаше </w:t>
      </w:r>
      <w:r>
        <w:rPr>
          <w:rFonts w:ascii="Times New Roman" w:hAnsi="Times New Roman"/>
          <w:noProof/>
          <w:color w:val="000000" w:themeColor="text1"/>
          <w:sz w:val="24"/>
          <w:szCs w:val="24"/>
        </w:rPr>
        <w:t>на 29,3 милиарда евро (+8.7 % в сравнение с предходната година). Вносът на услуги от Хонконг за ЕС достигна стойност от 14,8 милиарда евро, а износът за Хонконг възлезе на 14,5 милиарда евро, като ЕС отчете малък дефицит от 325 милиона евро.</w:t>
      </w:r>
    </w:p>
    <w:p>
      <w:pPr>
        <w:autoSpaceDE w:val="0"/>
        <w:autoSpaceDN w:val="0"/>
        <w:adjustRightInd w:val="0"/>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Двустранните </w:t>
      </w:r>
      <w:r>
        <w:rPr>
          <w:rFonts w:ascii="Times New Roman" w:hAnsi="Times New Roman"/>
          <w:b/>
          <w:noProof/>
          <w:color w:val="000000" w:themeColor="text1"/>
          <w:sz w:val="24"/>
          <w:szCs w:val="24"/>
        </w:rPr>
        <w:t xml:space="preserve">инвестиции </w:t>
      </w:r>
      <w:r>
        <w:rPr>
          <w:rFonts w:ascii="Times New Roman" w:hAnsi="Times New Roman"/>
          <w:noProof/>
          <w:color w:val="000000" w:themeColor="text1"/>
          <w:sz w:val="24"/>
          <w:szCs w:val="24"/>
        </w:rPr>
        <w:t xml:space="preserve">между ЕС и Хонконг продължиха да бъдат изключително важни. Статистическите данни на Хонконг показват, че с изключение на офшорните центрове ЕС е вторият по големина чуждестранен инвеститор в Хонконг с над 2300 дружества и общи инвестиции в размер на </w:t>
      </w:r>
      <w:r>
        <w:rPr>
          <w:rFonts w:ascii="Times New Roman" w:hAnsi="Times New Roman"/>
          <w:noProof/>
          <w:sz w:val="24"/>
          <w:szCs w:val="24"/>
        </w:rPr>
        <w:t>136,2 милиарда </w:t>
      </w:r>
      <w:r>
        <w:rPr>
          <w:rFonts w:ascii="Times New Roman" w:hAnsi="Times New Roman"/>
          <w:noProof/>
          <w:color w:val="000000" w:themeColor="text1"/>
          <w:sz w:val="24"/>
          <w:szCs w:val="24"/>
        </w:rPr>
        <w:t xml:space="preserve">евро и към края на 2018 г. е имал дял от 8,2 % от общия размер на ПЧИ (по последни налични данни). На свой ред към </w:t>
      </w:r>
      <w:r>
        <w:rPr>
          <w:rFonts w:ascii="Times New Roman" w:hAnsi="Times New Roman"/>
          <w:noProof/>
          <w:color w:val="000000"/>
          <w:sz w:val="24"/>
          <w:szCs w:val="24"/>
        </w:rPr>
        <w:t xml:space="preserve">края на 2018 г. общият размер на преките чуждестранни инвестиции на Хонконг в ЕС възлизаше на 168 милиарда евро, което превръща Хонконг в значим </w:t>
      </w:r>
      <w:r>
        <w:rPr>
          <w:rFonts w:ascii="Times New Roman" w:hAnsi="Times New Roman"/>
          <w:noProof/>
          <w:color w:val="000000" w:themeColor="text1"/>
          <w:sz w:val="24"/>
          <w:szCs w:val="24"/>
        </w:rPr>
        <w:t>източник на ПЧИ в ЕС.</w:t>
      </w:r>
      <w:r>
        <w:rPr>
          <w:rFonts w:ascii="Times New Roman" w:hAnsi="Times New Roman"/>
          <w:noProof/>
          <w:sz w:val="24"/>
          <w:szCs w:val="24"/>
          <w:shd w:val="clear" w:color="auto" w:fill="FFFFFF"/>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Важната позиция на Хонконг в инвестиционните отношения с ЕС се дължи отчасти на факта, че голяма част от това, което се регистрира статистическите като „ПЧИ от Хонконг“, всъщност е с произход от континентален Китай. Според Съвета за търговско развитие на Хонконг в действителност повече от 60 % от изходящите инвестиции на Китай са насочени към Хонконг или минават през него. По същия начин значителен процент от ПЧИ на ЕС в Китай преминават през Хонконг</w:t>
      </w:r>
      <w:r>
        <w:rPr>
          <w:rFonts w:ascii="Times New Roman" w:hAnsi="Times New Roman"/>
          <w:noProof/>
          <w:color w:val="984806" w:themeColor="accent6" w:themeShade="80"/>
          <w:sz w:val="24"/>
          <w:szCs w:val="24"/>
        </w:rPr>
        <w:t>.</w:t>
      </w:r>
      <w:r>
        <w:rPr>
          <w:rFonts w:ascii="Times New Roman" w:hAnsi="Times New Roman"/>
          <w:noProof/>
          <w:color w:val="000000" w:themeColor="text1"/>
          <w:sz w:val="24"/>
          <w:szCs w:val="24"/>
        </w:rPr>
        <w:t xml:space="preserve"> Сред основните причини за това са наличието на доставчици на висококачествени услуги, предвидимата регулаторна среда и върховенството на закона в Хонконг.</w:t>
      </w:r>
    </w:p>
    <w:p>
      <w:pPr>
        <w:autoSpaceDE w:val="0"/>
        <w:autoSpaceDN w:val="0"/>
        <w:adjustRightInd w:val="0"/>
        <w:spacing w:before="120" w:after="120" w:line="240" w:lineRule="auto"/>
        <w:jc w:val="both"/>
        <w:rPr>
          <w:rFonts w:ascii="Times New Roman" w:eastAsia="PMingLiU" w:hAnsi="Times New Roman" w:cs="Times New Roman"/>
          <w:noProof/>
          <w:color w:val="984806" w:themeColor="accent6" w:themeShade="80"/>
          <w:sz w:val="24"/>
          <w:szCs w:val="24"/>
        </w:rPr>
      </w:pPr>
      <w:r>
        <w:rPr>
          <w:rFonts w:ascii="Times New Roman" w:hAnsi="Times New Roman"/>
          <w:noProof/>
          <w:color w:val="000000" w:themeColor="text1"/>
          <w:sz w:val="24"/>
          <w:szCs w:val="24"/>
        </w:rPr>
        <w:t xml:space="preserve">През годината ЕС и Хонконг продължиха да работят заедно в областта на </w:t>
      </w:r>
      <w:r>
        <w:rPr>
          <w:rFonts w:ascii="Times New Roman" w:hAnsi="Times New Roman"/>
          <w:b/>
          <w:noProof/>
          <w:color w:val="000000" w:themeColor="text1"/>
          <w:sz w:val="24"/>
          <w:szCs w:val="24"/>
        </w:rPr>
        <w:t>митниците</w:t>
      </w:r>
      <w:r>
        <w:rPr>
          <w:rFonts w:ascii="Times New Roman" w:hAnsi="Times New Roman"/>
          <w:noProof/>
          <w:color w:val="000000" w:themeColor="text1"/>
          <w:sz w:val="24"/>
          <w:szCs w:val="24"/>
        </w:rPr>
        <w:t xml:space="preserve"> съгласно план за действие за подобряване на защитата на правата върху интелектуалната собственост (ПИС), финансиран чрез рамката IP Key. Обхватът на плана за действие беше разширен през 2019 г., за да бъдат включени и морските пристанища на ЕС за осъществяване на съвместно сътрудничество и съвместен контрол над товарите за претоварване. През март в Хонконг се проведе заседание на работната група ЕС—Хонконг по въпросите на интелектуалната собственост, а през юли в Брюксел се проведе 11-ото заседание на Съвместния комитет за митническо сътрудничество ЕС—Хонконг</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color w:val="000000" w:themeColor="text1"/>
          <w:sz w:val="24"/>
          <w:szCs w:val="24"/>
        </w:rPr>
        <w:t>Въпреки отличното сътрудничество Хонконг остана на второ място сред държавите — източник на внасяни в ЕС стоки, нарушаващи ПИС, по стойност на тези стоки, дори те да не са били произведени на негова територия. Двете страни обсъждат какви по-нататъшни действия да предприемат за решаване на този въпрос и за подобряване сътрудничеството в тази област.</w:t>
      </w:r>
    </w:p>
    <w:p>
      <w:pPr>
        <w:autoSpaceDE w:val="0"/>
        <w:autoSpaceDN w:val="0"/>
        <w:adjustRightInd w:val="0"/>
        <w:spacing w:before="120" w:after="120" w:line="240" w:lineRule="auto"/>
        <w:jc w:val="both"/>
        <w:rPr>
          <w:rFonts w:ascii="Times New Roman" w:hAnsi="Times New Roman" w:cs="Times New Roman"/>
          <w:noProof/>
          <w:color w:val="000000" w:themeColor="text1"/>
          <w:sz w:val="24"/>
          <w:szCs w:val="24"/>
          <w:shd w:val="clear" w:color="auto" w:fill="FFFFFF"/>
          <w:lang w:eastAsia="en-GB"/>
        </w:rPr>
      </w:pP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Органите на Хонконг публикуваха две нови покани за заявления за средства в подкрепа на участници в </w:t>
      </w:r>
      <w:r>
        <w:rPr>
          <w:rFonts w:ascii="Times New Roman" w:hAnsi="Times New Roman"/>
          <w:b/>
          <w:noProof/>
          <w:color w:val="000000" w:themeColor="text1"/>
          <w:sz w:val="24"/>
          <w:szCs w:val="24"/>
        </w:rPr>
        <w:t xml:space="preserve">„Хоризонт 2020“ </w:t>
      </w:r>
      <w:r>
        <w:rPr>
          <w:rFonts w:ascii="Times New Roman" w:hAnsi="Times New Roman"/>
          <w:noProof/>
          <w:color w:val="000000" w:themeColor="text1"/>
          <w:sz w:val="24"/>
          <w:szCs w:val="24"/>
        </w:rPr>
        <w:t>от САР Хонконг.</w:t>
      </w:r>
      <w:r>
        <w:rPr>
          <w:rFonts w:ascii="Times New Roman" w:hAnsi="Times New Roman"/>
          <w:noProof/>
          <w:color w:val="984806" w:themeColor="accent6" w:themeShade="80"/>
          <w:sz w:val="24"/>
          <w:szCs w:val="24"/>
        </w:rPr>
        <w:t xml:space="preserve"> </w:t>
      </w:r>
      <w:r>
        <w:rPr>
          <w:rFonts w:ascii="Times New Roman" w:hAnsi="Times New Roman"/>
          <w:noProof/>
          <w:sz w:val="24"/>
          <w:szCs w:val="24"/>
        </w:rPr>
        <w:t xml:space="preserve">По време на </w:t>
      </w:r>
      <w:r>
        <w:rPr>
          <w:rFonts w:ascii="Times New Roman" w:hAnsi="Times New Roman"/>
          <w:noProof/>
          <w:color w:val="000000" w:themeColor="text1"/>
          <w:sz w:val="24"/>
          <w:szCs w:val="24"/>
        </w:rPr>
        <w:t xml:space="preserve">структурирания диалог ЕС и Хонконг се споразумяха да проучат възможността за разширяване на Механизма на Хонконг за съфинансиране по програмата „Хоризонт 2020“ и извън нея, за да включва и частния сектор. </w:t>
      </w:r>
    </w:p>
    <w:p>
      <w:pPr>
        <w:pStyle w:val="Default"/>
        <w:spacing w:before="120" w:after="120"/>
        <w:jc w:val="both"/>
        <w:rPr>
          <w:noProof/>
          <w:color w:val="auto"/>
        </w:rPr>
      </w:pPr>
      <w:r>
        <w:rPr>
          <w:noProof/>
          <w:color w:val="auto"/>
        </w:rPr>
        <w:t xml:space="preserve">По отношение на </w:t>
      </w:r>
      <w:r>
        <w:rPr>
          <w:b/>
          <w:noProof/>
          <w:color w:val="auto"/>
        </w:rPr>
        <w:t>сътрудничеството по данъчните въпроси</w:t>
      </w:r>
      <w:r>
        <w:rPr>
          <w:noProof/>
          <w:color w:val="auto"/>
        </w:rPr>
        <w:t xml:space="preserve">, през февруари 2019 г. Хонконг измени останалите два режима за офшорните фондове и офшорните фондове за дялово участие, за да отговори на загрижеността от страна на ЕС относно техните дискриминационни елементи (ring-fencing). Въз основа на това през март 2019 г. Съветът постигна съгласие, че Хонконг е изпълнил своите ангажименти във връзка с доброто управление в областта на данъчното облагане.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областта на </w:t>
      </w:r>
      <w:r>
        <w:rPr>
          <w:rFonts w:ascii="Times New Roman" w:hAnsi="Times New Roman"/>
          <w:b/>
          <w:noProof/>
          <w:sz w:val="24"/>
          <w:szCs w:val="24"/>
        </w:rPr>
        <w:t>борбата срещу изпирането на пари и финансирането на тероризма</w:t>
      </w:r>
      <w:r>
        <w:rPr>
          <w:rFonts w:ascii="Times New Roman" w:hAnsi="Times New Roman"/>
          <w:noProof/>
          <w:sz w:val="24"/>
          <w:szCs w:val="24"/>
        </w:rPr>
        <w:t xml:space="preserve"> Специална група за финансови действия (FATF) публикува доклада за взаимна оценка на Хонконг през септември 2019 г.</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Хонконг е юрисдикция, в която се извършва значителна дейност във връзка с учредяването на дружества. Хонконг наскоро осъвремени своя режим, за да гарантира, че дружествата събират и съхраняват в своите помещения информация относно действителните собственици, но ефективността на тези нови мерки все още не е напълно доказана. Хонконг трябва също така да предприеме допълнителни действия, за да гарантира, че информацията относно действителните собственици във връзка с правните договорености е по-лесно достъпна и че е вярна.</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и Хонконг продължиха да работят заедно за засилване на </w:t>
      </w:r>
      <w:r>
        <w:rPr>
          <w:rFonts w:ascii="Times New Roman" w:hAnsi="Times New Roman"/>
          <w:b/>
          <w:noProof/>
          <w:sz w:val="24"/>
          <w:szCs w:val="24"/>
        </w:rPr>
        <w:t>контактите между хората</w:t>
      </w:r>
      <w:r>
        <w:rPr>
          <w:rFonts w:ascii="Times New Roman" w:hAnsi="Times New Roman"/>
          <w:noProof/>
          <w:sz w:val="24"/>
          <w:szCs w:val="24"/>
        </w:rPr>
        <w:t>, по-конкретно в сферата на научните изследвания, академичното сътрудничество, мобилността на студентите, културата и творческите сектори.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Бюрото на ЕС в Хонконг изпълнява широк кръг от дейности в сферата на културата, икономиката и публичната дипломация, често в партньорство с държави — членки на ЕС, и техните културните институции. Основните събития през годината включваха Филмовия фестивал на ЕС, Деня на ЕС, посветен на езиците, панаира на книгата в Хонконг, участието в ежегодното събиране за парада на ЛГБТИ лицата, семинар по въпросите, свързани с пластмасовите продукти за еднократна употреба, партньорството с Международната организация по миграция (МОМ) във връзка с филмовия фестивал на „Глобалната миграция“, семинара ЕС—Хонконг относно предотвратяването на трафика на хора, както и прожектиране на филм и провеждане на тематична дискусия относно правата на чуждестранните домашни работници. Бюрото на ЕС провеждаше редовни срещи с правителствени служители, законодатели, представители на академичната общност и гражданското общество. </w:t>
      </w:r>
    </w:p>
    <w:p>
      <w:pPr>
        <w:spacing w:before="120" w:after="120" w:line="240" w:lineRule="auto"/>
        <w:rPr>
          <w:rFonts w:ascii="Times New Roman" w:hAnsi="Times New Roman" w:cs="Times New Roman"/>
          <w:noProof/>
          <w:sz w:val="24"/>
          <w:szCs w:val="24"/>
        </w:rPr>
      </w:pPr>
      <w:r>
        <w:rPr>
          <w:rFonts w:ascii="Times New Roman" w:hAnsi="Times New Roman"/>
          <w:noProof/>
          <w:sz w:val="24"/>
          <w:szCs w:val="24"/>
        </w:rPr>
        <w:t xml:space="preserve"> </w:t>
      </w:r>
    </w:p>
    <w:p>
      <w:pPr>
        <w:spacing w:before="120" w:after="120" w:line="240" w:lineRule="auto"/>
        <w:jc w:val="center"/>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3845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Header"/>
      <w:jc w:val="center"/>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spacing w:val="-6"/>
        </w:rPr>
        <w:t>И двете организации направиха изявления относно насилието, които могат да бъдат намерени на следния адрес: https://www.fcchk.org/fcc-statements/?wpv_aux_current_post_id=1532&amp;wpv_view_count=861-TCPID1532&amp;wpv_paged=2</w:t>
      </w:r>
    </w:p>
  </w:footnote>
  <w:footnote w:id="2">
    <w:p>
      <w:pPr>
        <w:pStyle w:val="FootnoteText"/>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rPr>
        <w:t xml:space="preserve">Хонконг създаде програма за зелени облигации на стойност до 100 милиарда хонконгски долара (11,5 милиарда евро). </w:t>
      </w:r>
      <w:r>
        <w:rPr>
          <w:rFonts w:ascii="Times New Roman" w:hAnsi="Times New Roman"/>
          <w:color w:val="000000" w:themeColor="text1"/>
        </w:rPr>
        <w:t>Също така през май Хонконгският орган по паричната политика (ХОПП) оповести набор от мерки за подпомагане и насърчаване на развитието на зеленото финансиране в Хонконг.</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bCs/>
            <w:color w:val="000000" w:themeColor="text1"/>
          </w:rPr>
          <w:t>https://www.tid.gov.hk/english/aboutus/publications/factsheet/china.html</w:t>
        </w:r>
      </w:hyperlink>
    </w:p>
  </w:footnote>
  <w:footnote w:id="4">
    <w:p>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http://www.fatf-gafi.org/media/fatf/documents/reports/mer4/MER-Hong-Kong-China-2019.pdf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rPr>
    </w:pPr>
  </w:p>
  <w:p>
    <w:pPr>
      <w:pStyle w:val="Header"/>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1C0"/>
    <w:multiLevelType w:val="hybridMultilevel"/>
    <w:tmpl w:val="68700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D3F81"/>
    <w:multiLevelType w:val="hybridMultilevel"/>
    <w:tmpl w:val="DABA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3D6540C-A9FE-44A7-BFB7-0C93EF8EDD60"/>
    <w:docVar w:name="LW_COVERPAGE_TYPE" w:val="1"/>
    <w:docVar w:name="LW_CROSSREFERENCE" w:val="&lt;UNUSED&gt;"/>
    <w:docVar w:name="LW_DocType" w:val="NORMAL"/>
    <w:docVar w:name="LW_EMISSION" w:val="22.7.2020"/>
    <w:docVar w:name="LW_EMISSION_ISODATE" w:val="2020-07-22"/>
    <w:docVar w:name="LW_EMISSION_LOCATION" w:val="BRX"/>
    <w:docVar w:name="LW_EMISSION_PREFIX" w:val="Брюксел, "/>
    <w:docVar w:name="LW_EMISSION_SUFFIX" w:val=" \u1075?."/>
    <w:docVar w:name="LW_ID_DOCTYPE_NONLW" w:val="CP-018"/>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0)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7?\u1055?\u1045?\u1062?\u1048?\u1040?\u1051?\u1045?\u1053? \u1040?\u1044?\u1052?\u1048?\u1053?\u1048?\u1057?\u1058?\u1056?\u1040?\u1058?\u1048?\u1042?\u1045?\u1053? \u1056?\u1040?\u1049?\u1054?\u1053? \u1061?\u1054?\u1053?\u1050?\u1054?\u1053?\u1043?: &lt;/FMT&gt;_x000b_&lt;FMT:Bold&gt;\u1043?\u1054?\u1044?\u1048?\u1064?\u1045?\u1053? \u1044?\u1054?\u1050?\u1051?\u1040?\u1044? \u1047?\u1040? 2019 \u1075?.&lt;/FMT&gt;_x000b_"/>
    <w:docVar w:name="LW_TYPE.DOC.CP" w:val="\u1057?\u1066?\u1042?\u1052?\u1045?\u1057?\u1058?\u1045?\u1053? \u1044?\u1054?\u1050?\u1051?\u1040?\u1044?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088">
      <w:bodyDiv w:val="1"/>
      <w:marLeft w:val="0"/>
      <w:marRight w:val="0"/>
      <w:marTop w:val="0"/>
      <w:marBottom w:val="0"/>
      <w:divBdr>
        <w:top w:val="none" w:sz="0" w:space="0" w:color="auto"/>
        <w:left w:val="none" w:sz="0" w:space="0" w:color="auto"/>
        <w:bottom w:val="none" w:sz="0" w:space="0" w:color="auto"/>
        <w:right w:val="none" w:sz="0" w:space="0" w:color="auto"/>
      </w:divBdr>
    </w:div>
    <w:div w:id="1198084234">
      <w:bodyDiv w:val="1"/>
      <w:marLeft w:val="0"/>
      <w:marRight w:val="0"/>
      <w:marTop w:val="0"/>
      <w:marBottom w:val="0"/>
      <w:divBdr>
        <w:top w:val="none" w:sz="0" w:space="0" w:color="auto"/>
        <w:left w:val="none" w:sz="0" w:space="0" w:color="auto"/>
        <w:bottom w:val="none" w:sz="0" w:space="0" w:color="auto"/>
        <w:right w:val="none" w:sz="0" w:space="0" w:color="auto"/>
      </w:divBdr>
    </w:div>
    <w:div w:id="18985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id.gov.hk/english/aboutus/publications/factsheet/ch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7610-A8E1-4521-8958-A70A5500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7419</Words>
  <Characters>43480</Characters>
  <Application>Microsoft Office Word</Application>
  <DocSecurity>0</DocSecurity>
  <Lines>701</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27</cp:revision>
  <cp:lastPrinted>2020-03-11T11:11:00Z</cp:lastPrinted>
  <dcterms:created xsi:type="dcterms:W3CDTF">2020-06-17T13:28:00Z</dcterms:created>
  <dcterms:modified xsi:type="dcterms:W3CDTF">2020-07-16T07:03:00Z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7.0.1, Build 20190916</vt:lpwstr>
  </property>
  <property fmtid="{D5CDD505-2E9C-101B-9397-08002B2CF9AE}" pid="8" name="Created using">
    <vt:lpwstr>LW 7.0, Build 20190717</vt:lpwstr>
  </property>
</Properties>
</file>