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E61ABB-753C-4CF2-849A-3D250D93FBBB"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2"/>
      </w:r>
      <w:r>
        <w:rPr>
          <w:noProof/>
        </w:rPr>
        <w:t xml:space="preserve"> (наричана по-нататък „Директивата за ДДС“) Съветът, действащ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за да се опрости процедурата за събиране на ДДС или да се предотвратят определени форми на отклонение от данъчно облагане или избягване на данъци.</w:t>
      </w:r>
    </w:p>
    <w:p>
      <w:pPr>
        <w:rPr>
          <w:noProof/>
        </w:rPr>
      </w:pPr>
      <w:r>
        <w:rPr>
          <w:noProof/>
        </w:rPr>
        <w:t>С писмо, заведено в Комисията на 1</w:t>
      </w:r>
      <w:r>
        <w:rPr>
          <w:noProof/>
          <w:lang w:val="ru-RU"/>
        </w:rPr>
        <w:t>3</w:t>
      </w:r>
      <w:r>
        <w:rPr>
          <w:noProof/>
        </w:rPr>
        <w:t xml:space="preserve"> март 2020 г., Румъния поиска удължаване на срока на действие на дерогацията от член 168 от Директивата за ДДС, за да продължи да прилага ограничение на правото да се приспада ДДС върху входящите ресурси по отношение на разходите, свързани с моторни превозни средства. В съответствие с член 395, параграф 2 от Директивата за ДДС с писмо от 2 април 2020 г. Комисията осведоми останалите държави членки за отправеното от Румъния искане. С писмо от 3 април 2020 г. Комисията уведоми Румъния, че разполага с цялата информация, която счита за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Съгласно член 168 от Директивата за ДДС данъчно задълженото лице има правото да приспадне ДДС, начислен върху покупките, извършени за целите на облагаеми сделки. Член 26, параграф 1, буква а) от същата директива съдържа изискването употребата за лични нужди на стоки, които са част от стопанските активи, да се третира като възмездна доставка на услуги, когато ДДС върху тези стоки подлежи на приспадане. Тази система позволява възстановяването на първоначално приспаднатия ДДС във връзка с употребата за лични нужди. </w:t>
      </w:r>
    </w:p>
    <w:p>
      <w:pPr>
        <w:rPr>
          <w:noProof/>
        </w:rPr>
      </w:pPr>
      <w:r>
        <w:rPr>
          <w:noProof/>
        </w:rPr>
        <w:t xml:space="preserve">По отношение на леките пътнически автомобили тя се прилага трудно – най-вече поради факта, че е трудно да се определи границата между употребата за лични нужди и употребата за стопански цели. Когато се водят регистри (отчетност), тяхното поддържане и проверка представляват допълнителна тежест за предприятията и администрацията. </w:t>
      </w:r>
    </w:p>
    <w:p>
      <w:pPr>
        <w:rPr>
          <w:noProof/>
        </w:rPr>
      </w:pPr>
      <w:r>
        <w:rPr>
          <w:noProof/>
        </w:rPr>
        <w:t>С Решение за изпълнение 2012/232/ЕС на Съвета</w:t>
      </w:r>
      <w:r>
        <w:rPr>
          <w:rStyle w:val="FootnoteReference"/>
          <w:noProof/>
        </w:rPr>
        <w:footnoteReference w:id="3"/>
      </w:r>
      <w:r>
        <w:rPr>
          <w:noProof/>
        </w:rPr>
        <w:t xml:space="preserve"> понастоящем на Румъния е предоставено разрешение да ограничи до 50 % правото на приспадане на ДДС, начисляван при закупуване, вътреобщностно придобиване, внос, наемане или лизинг на моторни превозни средства, както и върху свързаните с тях разходи. Някои категории превозни средства бяха изрично изключени от посоченото ограничение, например превозните средства, използвани изключително от службите за спешна помощ, за сигурност или за куриерски услуги, превозните средства, използвани от търговски представители и представители по продажбите или за таксиметрови услуги, превозните средства, използвани за обучение в школи по управление на МПС, превозните средства, използвани за отдаване под наем или на лизинг, и превозните средства, използвани като </w:t>
      </w:r>
      <w:r>
        <w:rPr>
          <w:noProof/>
        </w:rPr>
        <w:lastRenderedPageBreak/>
        <w:t>стоки за търговски цели. Същевременно предприятията са освободени от задължението за отчитане на данъка върху употребата за лични нужди. С Решение за изпълнение 2015/156/ЕС</w:t>
      </w:r>
      <w:r>
        <w:rPr>
          <w:rStyle w:val="FootnoteReference"/>
          <w:noProof/>
        </w:rPr>
        <w:footnoteReference w:id="4"/>
      </w:r>
      <w:r>
        <w:rPr>
          <w:noProof/>
        </w:rPr>
        <w:t xml:space="preserve"> на Съвета на Румъния бе разрешено да продължи прилагането на специалната мярка до 31 декември 2017 г. С Решение за изпълнение (ЕС) 2017/2012 на Съвета от 31 декември 2017 г.</w:t>
      </w:r>
      <w:r>
        <w:rPr>
          <w:rStyle w:val="FootnoteReference"/>
          <w:noProof/>
        </w:rPr>
        <w:footnoteReference w:id="5"/>
      </w:r>
      <w:r>
        <w:rPr>
          <w:noProof/>
        </w:rPr>
        <w:t xml:space="preserve"> срокът на действие на горепосоченото решение беше удължен до 31 декември 2020 г. </w:t>
      </w:r>
    </w:p>
    <w:p>
      <w:pPr>
        <w:rPr>
          <w:noProof/>
        </w:rPr>
      </w:pPr>
      <w:r>
        <w:rPr>
          <w:noProof/>
        </w:rPr>
        <w:t>Румъния поиска да се удължи срокът на разрешението да ограничава правото на първоначалното приспадане до определен процент, като за сметка на това освободи предприятията от изискванията за отчитане на данъка върху употребата за лични нужди. Румъния уведоми Комисията, че основанията за искането срокът на действие на мярката да бъде удължен, до голяма степен съвпадат с изложените при първоначалното искане. В съответствие с член 4, параграф 2 от Решение за изпълнение 2012/232/ЕС на Съвета Румъния представи доклад относно прилаганото от нея ограничение на приспадането. Румъния посочва, че мярката е изпълнила предназначението си и ако срокът ѝ на действие не бъде удължен, отклонението от данъчно облагане, отбелязано в тази област преди въвеждането на мярката, най-вероятно ще възникне отново. Според предадените данни делът на малките предприятия в Румъния е висок: 99,7 % от всички предприятия, извършващи дейност в промишлеността, строителството или услугите през 2017 г., са били малки или средни предприятия; действащите предприятия с до девет наети лица са били 89,4 % от всички стопански и обществени субекти, извършващи дейност в тези четири отрасъла. Румъния твърди, че на практика автомобил, притежаван от такова предприятие, често се използва едновременно за стопански цели и за лични нужди.</w:t>
      </w:r>
    </w:p>
    <w:p>
      <w:pPr>
        <w:rPr>
          <w:noProof/>
        </w:rPr>
      </w:pPr>
      <w:r>
        <w:rPr>
          <w:noProof/>
        </w:rPr>
        <w:t xml:space="preserve">От предоставената от Румъния информация също така е видно, че ограничението от 50 % продължава да съответства на цялостното положение с употребата на превозните средства за стопански цели и за лични нужди от страна на данъчно задължените лица и поради това следва да продължи да се счита за подходящо. </w:t>
      </w:r>
    </w:p>
    <w:p>
      <w:pPr>
        <w:rPr>
          <w:noProof/>
        </w:rPr>
      </w:pPr>
      <w:r>
        <w:rPr>
          <w:noProof/>
        </w:rPr>
        <w:t xml:space="preserve">Срокът на дерогацията следва да бъде ограничен до 31 декември 2023 г., за да може да се прецени дали ограничението от 50 % продължава да отразява правилно общото съотношение между използването на автомобилите за стопански цели и за лични нужди. Всяко искане за удължаване на срока следва да се придружава от доклад, съдържащ преглед на прилаганото процентно ограничение, който следва да се изпрати на Комисията заедно с искането в срок до 31 март 2023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Подобни дерогации във връзка с правото на приспадане са предоставени на други държави членки. </w:t>
      </w:r>
    </w:p>
    <w:p>
      <w:pPr>
        <w:rPr>
          <w:noProof/>
        </w:rPr>
      </w:pPr>
      <w:r>
        <w:rPr>
          <w:noProof/>
        </w:rPr>
        <w:t xml:space="preserve">Съгласно член 176 от Директивата за ДДС Съветът определя разходите, по отношение на които ДДС не подлежи на приспадане. Докато те не бъдат определени, той разрешава на държавите членки да продължат да прилагат изключенията, които са били </w:t>
      </w:r>
      <w:r>
        <w:rPr>
          <w:noProof/>
        </w:rPr>
        <w:lastRenderedPageBreak/>
        <w:t xml:space="preserve">в сила към 1 януари 1979 г. Следователно има известен брой разпоредби за запазване на съществуващото положение, които ограничават правото на приспадане на ДДС във връзка с леките пътнически автомобили. </w:t>
      </w:r>
    </w:p>
    <w:p>
      <w:pPr>
        <w:pBdr>
          <w:top w:val="nil"/>
          <w:left w:val="nil"/>
          <w:bottom w:val="nil"/>
          <w:right w:val="nil"/>
          <w:between w:val="nil"/>
          <w:bar w:val="nil"/>
        </w:pBdr>
        <w:spacing w:before="0" w:after="240"/>
        <w:rPr>
          <w:noProof/>
        </w:rPr>
      </w:pPr>
      <w:r>
        <w:rPr>
          <w:noProof/>
        </w:rPr>
        <w:t>Независимо от предходните инициативи за определяне на правила относно категориите разходи, за които може да се прилага ограничение на правото на приспадане на ДДС</w:t>
      </w:r>
      <w:r>
        <w:rPr>
          <w:rStyle w:val="FootnoteReference"/>
          <w:rFonts w:eastAsia="Arial Unicode MS"/>
          <w:noProof/>
        </w:rPr>
        <w:footnoteReference w:id="6"/>
      </w:r>
      <w:r>
        <w:rPr>
          <w:noProof/>
        </w:rPr>
        <w:t xml:space="preserve">, тази дерогация е подходяща за периода до хармонизирането на тези правила на равнището на ЕС.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rFonts w:eastAsia="Arial Unicode MS"/>
          <w:noProof/>
        </w:rPr>
      </w:pPr>
      <w:r>
        <w:rPr>
          <w:noProof/>
        </w:rPr>
        <w:t xml:space="preserve">Член 395 от Директивата за ДДС.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noProof/>
        </w:rPr>
      </w:pPr>
      <w:r>
        <w:rPr>
          <w:noProof/>
        </w:rPr>
        <w:t xml:space="preserve">Като се има предвид разпоредбата от Директивата за ДДС, на основание на която е съставено предложението, то е от изключителната компетентност на Съюза. Поради това принципът на субсидиарност не се прилага.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noProof/>
        </w:rPr>
      </w:pPr>
      <w:r>
        <w:rPr>
          <w:noProof/>
        </w:rPr>
        <w:t>Решението се отнася до предоставяне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поставената цел, а именно предотвратяване на някои форми на отклонение от данъчно облагане и избягване на данъци. По-специално, като се вземат предвид вероятността предприятията да не декларират изцяло задълженията си и административната тежест за данъчните органи, свързана с проверката на изминатото разстояние, ограничението от 50 % ще опрости събирането на ДДС в конкретен отрасъл.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нормативен акт</w:t>
      </w:r>
    </w:p>
    <w:p>
      <w:pPr>
        <w:pBdr>
          <w:top w:val="nil"/>
          <w:left w:val="nil"/>
          <w:bottom w:val="nil"/>
          <w:right w:val="nil"/>
          <w:between w:val="nil"/>
          <w:bar w:val="nil"/>
        </w:pBdr>
        <w:spacing w:before="0" w:after="240"/>
        <w:rPr>
          <w:rFonts w:eastAsia="Arial Unicode MS"/>
          <w:noProof/>
        </w:rPr>
      </w:pPr>
      <w:r>
        <w:rPr>
          <w:noProof/>
        </w:rPr>
        <w:t>Предлаган нормативен акт: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 2006/112/EО на Съвета дерогация от общите разпоредби за ДДС е възможна единствено с разрешение от Съвета, действащ с единодушие по предложение на Комисията. Решението за изпълнение на Съвета е най-подходящият нормативен акт,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rPr>
      </w:pP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основава на искане, отправено от Румъния, и засяга само тази държава членка.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бяха необходими външни експертни становища.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е предназначено за противодействие на отклонението от облагане с ДДС и опростяване на процедурата за начисляване на данъка, поради което може да окаже положително въздействие както върху предприятията, така и върху администрацията. Според Румъния това решение е подходяща мярка, сравнима с други минали и прилагани понастоящем дерогации.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на дерогацията –  той изтича автоматично на 31 декември 2023 г.</w:t>
      </w:r>
    </w:p>
    <w:p>
      <w:pPr>
        <w:pBdr>
          <w:top w:val="nil"/>
          <w:left w:val="nil"/>
          <w:bottom w:val="nil"/>
          <w:right w:val="nil"/>
          <w:between w:val="nil"/>
          <w:bar w:val="nil"/>
        </w:pBdr>
        <w:spacing w:before="0" w:after="240"/>
        <w:rPr>
          <w:rFonts w:eastAsia="Arial Unicode MS"/>
          <w:noProof/>
        </w:rPr>
      </w:pPr>
      <w:r>
        <w:rPr>
          <w:noProof/>
        </w:rPr>
        <w:t>В случай че Румъния иска срокът на действие на мярката за дерогация да бъде удължен и след 2023 г., тя следва най-късно до 31 март 2023 г. да представи на Комисията искане за удължаване, придружено от доклад, който включва преглед на процентното ограничение.</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2020/0149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2012/232/ЕС на Съвета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7"/>
      </w:r>
      <w:r>
        <w:rPr>
          <w:noProof/>
        </w:rPr>
        <w:t>, и по-специално член 395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168 от Директива 2006/112/ЕО е установено правото на данъчно задължените лица да приспадат данъка върху добавената стойност (ДДС), начислен върху получените от тях доставки на стоки и услуги, които се използват за целите на техните облагаеми сделки. Съгласно член 26, параграф 1, буква а) от същата директива употребата на стопански активи за личните нужди на данъчно задължените лица или за нуждите на техния персонал, или по-общо за цели, различни от стопанската дейност на лицата, трябва се третира като възмездна доставка на услуги.</w:t>
      </w:r>
    </w:p>
    <w:p>
      <w:pPr>
        <w:pStyle w:val="ManualConsidrant"/>
        <w:rPr>
          <w:noProof/>
        </w:rPr>
      </w:pPr>
      <w:r>
        <w:t>(2)</w:t>
      </w:r>
      <w:r>
        <w:tab/>
      </w:r>
      <w:r>
        <w:rPr>
          <w:noProof/>
        </w:rPr>
        <w:t>С Решение за изпълнение 2012/232/ЕС на Съвета</w:t>
      </w:r>
      <w:r>
        <w:rPr>
          <w:rStyle w:val="FootnoteReference"/>
          <w:noProof/>
        </w:rPr>
        <w:footnoteReference w:id="8"/>
      </w:r>
      <w:r>
        <w:rPr>
          <w:noProof/>
        </w:rPr>
        <w:t xml:space="preserve"> на Румъния беше разрешено до 31 декември 2014 г. да ограничи до 50 % правото на приспадане на ДДС, начисляван при закупуването, вътреобщностното придобиване, вноса, наемането или лизинга на някои моторни превозни средства, и на ДДС върху разходите, свързани с тези превозни средства, в т.ч. горивото, когато въпросните превозни средства не се използват изключително за стопански цели, както и да освобождава данъчно задължените лица от задължението по член 26, параграф 1, буква а) от Директива 2006/112/ЕО да третират като доставка на услуги употребата за нестопански цели на такива превозни средства. С Решение за изпълнение 2015/156/ЕС на Съвета</w:t>
      </w:r>
      <w:r>
        <w:rPr>
          <w:rStyle w:val="FootnoteReference"/>
          <w:noProof/>
        </w:rPr>
        <w:footnoteReference w:id="9"/>
      </w:r>
      <w:r>
        <w:rPr>
          <w:noProof/>
        </w:rPr>
        <w:t xml:space="preserve"> на Румъния беше разрешено да продължи да прилага мерките за дерогация до 31 декември 2017 г. По силата на Решение за </w:t>
      </w:r>
      <w:r>
        <w:rPr>
          <w:noProof/>
        </w:rPr>
        <w:lastRenderedPageBreak/>
        <w:t>изпълнение (ЕС) 2017/2012 на Съвета</w:t>
      </w:r>
      <w:r>
        <w:rPr>
          <w:rStyle w:val="FootnoteReference"/>
          <w:noProof/>
        </w:rPr>
        <w:footnoteReference w:id="10"/>
      </w:r>
      <w:r>
        <w:rPr>
          <w:noProof/>
        </w:rPr>
        <w:t xml:space="preserve"> на Румъния бе разрешено да прилага мерките за дерогация до по-ранната от следните две дати — датата на влизане в сила на разпоредби на Съюза за определяне на разходите, които не отговарят на условията за пълно приспадане на ДДС във връзка с моторни превозни средства, или 31 декември 2020 г. </w:t>
      </w:r>
    </w:p>
    <w:p>
      <w:pPr>
        <w:pStyle w:val="ManualConsidrant"/>
        <w:rPr>
          <w:noProof/>
        </w:rPr>
      </w:pPr>
      <w:r>
        <w:t>(3)</w:t>
      </w:r>
      <w:r>
        <w:tab/>
      </w:r>
      <w:r>
        <w:rPr>
          <w:noProof/>
        </w:rPr>
        <w:t xml:space="preserve">С писмо, заведено в Комисията на 13 март 2020 г., Румъния поиска разрешение да продължи да прилага мярка за дерогация от член 26, параграф 1), буква а) и член 168 от Директива 2006/112/ЕО, за да ограничи правото на приспадане по отношение на разходите, свързани с някои моторни превозни средства, които не се използват изключително за стопански цели. </w:t>
      </w:r>
    </w:p>
    <w:p>
      <w:pPr>
        <w:pStyle w:val="ManualConsidrant"/>
        <w:rPr>
          <w:noProof/>
        </w:rPr>
      </w:pPr>
      <w:r>
        <w:t>(4)</w:t>
      </w:r>
      <w:r>
        <w:tab/>
      </w:r>
      <w:r>
        <w:rPr>
          <w:noProof/>
        </w:rPr>
        <w:t>Прилагането на единен процент за размера на ДДС върху разходите, отговарящ на условията за приспадане по отношение на моторните превозни средства, които не се използват изключително за стопански цели, води до опростяване на процедурата по събирането на ДДС.</w:t>
      </w:r>
    </w:p>
    <w:p>
      <w:pPr>
        <w:pStyle w:val="ManualConsidrant"/>
        <w:rPr>
          <w:noProof/>
        </w:rPr>
      </w:pPr>
      <w:r>
        <w:t>(5)</w:t>
      </w:r>
      <w:r>
        <w:tab/>
      </w:r>
      <w:r>
        <w:rPr>
          <w:noProof/>
        </w:rPr>
        <w:t>В съответствие с член 395, параграф 2, втора алинея от Директива 2006/112/ЕО с писмо от 2 април 2020 г. Комисията осведоми другите държави членки за отправеното от Румъния искане. С писмо от 3 април 2020 г. Комисията уведоми Румъния, че разполага с цялата информация, която счита за необходима за разглеждане на искането.</w:t>
      </w:r>
    </w:p>
    <w:p>
      <w:pPr>
        <w:pStyle w:val="ManualConsidrant"/>
        <w:rPr>
          <w:noProof/>
        </w:rPr>
      </w:pPr>
      <w:r>
        <w:t>(6)</w:t>
      </w:r>
      <w:r>
        <w:tab/>
      </w:r>
      <w:r>
        <w:rPr>
          <w:noProof/>
        </w:rPr>
        <w:t xml:space="preserve">В съответствие с член 4, параграф 2 от Решение за изпълнение 2012/232/ЕС заедно с искането за удължаване Румъния представи на Комисията доклад за прилагането на посоченото решение за изпълнение. Въз основа на наличната в момента информация Румъния е на мнение, че прилагането на ограничение от 50 % все още е оправдано и целесъобразно. </w:t>
      </w:r>
    </w:p>
    <w:p>
      <w:pPr>
        <w:pStyle w:val="ManualConsidrant"/>
        <w:rPr>
          <w:noProof/>
        </w:rPr>
      </w:pPr>
      <w:r>
        <w:t>(7)</w:t>
      </w:r>
      <w:r>
        <w:tab/>
      </w:r>
      <w:r>
        <w:rPr>
          <w:noProof/>
        </w:rPr>
        <w:t>Удължаването на срока на действие на мерките за дерогация следва да е ограничено до времето, необходимо за извършване на оценка на тяхната ефективност и на целесъобразността на процентното ограничение. Поради това на Румъния следва да се разреши да продължи да прилага мерките за дерогация до 31 декември 2023 г.</w:t>
      </w:r>
    </w:p>
    <w:p>
      <w:pPr>
        <w:pStyle w:val="ManualConsidrant"/>
        <w:rPr>
          <w:noProof/>
        </w:rPr>
      </w:pPr>
      <w:r>
        <w:t>(8)</w:t>
      </w:r>
      <w:r>
        <w:tab/>
      </w:r>
      <w:r>
        <w:rPr>
          <w:noProof/>
        </w:rPr>
        <w:t>Ако Румъния прецени, че е необходимо удължаване на срока на разрешението след 2023 г., тя следва най-късно до 31 март 2023 г. да представи на Комисията искане за удължаване, придружавано от доклад, който включва преглед на процентното ограничение.</w:t>
      </w:r>
    </w:p>
    <w:p>
      <w:pPr>
        <w:pStyle w:val="ManualConsidrant"/>
        <w:rPr>
          <w:noProof/>
        </w:rPr>
      </w:pPr>
      <w:r>
        <w:t>(9)</w:t>
      </w:r>
      <w:r>
        <w:tab/>
      </w:r>
      <w:r>
        <w:rPr>
          <w:noProof/>
        </w:rPr>
        <w:t>Мерките за дерогация ще окажат незначително въздействие върху общия размер на данъчните приходи на страната, събирани на етапа на крайното потребление, и няма да окаже отрицателно въздействие върху собствените ресурси на Съюза от ДДС.</w:t>
      </w:r>
    </w:p>
    <w:p>
      <w:pPr>
        <w:pStyle w:val="ManualConsidrant"/>
        <w:rPr>
          <w:noProof/>
        </w:rPr>
      </w:pPr>
      <w:r>
        <w:t>(10)</w:t>
      </w:r>
      <w:r>
        <w:tab/>
      </w:r>
      <w:r>
        <w:rPr>
          <w:noProof/>
        </w:rPr>
        <w:t>Решение за изпълнение 2012/232/ЕС следва да бъде съответно изменено,</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Член 4 от Решение за изпълнение 2012/232/ЕС се заменя със следното:</w:t>
      </w:r>
    </w:p>
    <w:p>
      <w:pPr>
        <w:pStyle w:val="Titrearticle"/>
        <w:rPr>
          <w:noProof/>
        </w:rPr>
      </w:pPr>
      <w:r>
        <w:rPr>
          <w:noProof/>
        </w:rPr>
        <w:t>„Член 4</w:t>
      </w:r>
    </w:p>
    <w:p>
      <w:pPr>
        <w:pStyle w:val="ManualNumPar1"/>
        <w:rPr>
          <w:noProof/>
        </w:rPr>
      </w:pPr>
      <w:r>
        <w:t>1.</w:t>
      </w:r>
      <w:r>
        <w:tab/>
      </w:r>
      <w:r>
        <w:rPr>
          <w:noProof/>
        </w:rPr>
        <w:t>Срокът на действие на настоящото решение изтича на по-ранната от следните две дати – датата на влизане в сила на разпоредби на Съюза за определяне на разходите, които не отговарят на условията за пълно приспадане на ДДС във връзка с моторни превозни средства, или 31 декември 2023 г.</w:t>
      </w:r>
    </w:p>
    <w:p>
      <w:pPr>
        <w:pStyle w:val="ManualNumPar1"/>
        <w:rPr>
          <w:noProof/>
        </w:rPr>
      </w:pPr>
      <w:r>
        <w:t>2.</w:t>
      </w:r>
      <w:r>
        <w:tab/>
      </w:r>
      <w:r>
        <w:rPr>
          <w:noProof/>
        </w:rPr>
        <w:t>Всяко искане за разрешение за удължаване на срока на действие на мерките за дерогация, разрешени по силата на настоящото решение, се представя на Комисията до 31 март 2023 г.</w:t>
      </w:r>
    </w:p>
    <w:p>
      <w:pPr>
        <w:rPr>
          <w:noProof/>
        </w:rPr>
      </w:pPr>
      <w:r>
        <w:rPr>
          <w:noProof/>
        </w:rPr>
        <w:t xml:space="preserve">Такова искане се придружава от доклад, който включва преглед на процентното ограничение, прилагано за правото на приспадане на ДДС на основание на настоящото решение.“ </w:t>
      </w:r>
    </w:p>
    <w:p>
      <w:pPr>
        <w:pStyle w:val="Titrearticle"/>
        <w:rPr>
          <w:noProof/>
        </w:rPr>
      </w:pPr>
      <w:r>
        <w:rPr>
          <w:noProof/>
        </w:rPr>
        <w:t>Член 2</w:t>
      </w:r>
    </w:p>
    <w:p>
      <w:pPr>
        <w:rPr>
          <w:noProof/>
        </w:rPr>
      </w:pPr>
      <w:r>
        <w:rPr>
          <w:noProof/>
        </w:rPr>
        <w:t>Адресат на настоящото решение е Румъния.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347, 11.12.2006 г., стр. 1.</w:t>
      </w:r>
    </w:p>
  </w:footnote>
  <w:footnote w:id="3">
    <w:p>
      <w:pPr>
        <w:pStyle w:val="FootnoteText"/>
      </w:pPr>
      <w:r>
        <w:rPr>
          <w:rStyle w:val="FootnoteReference"/>
        </w:rPr>
        <w:footnoteRef/>
      </w:r>
      <w:r>
        <w:tab/>
        <w:t xml:space="preserve">Решение за изпълнение 2012/232/ЕС на Съвета от 26 април 2012 г.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(ОВ L 117, 1.5. 2012 г., стр. 7).  </w:t>
      </w:r>
    </w:p>
  </w:footnote>
  <w:footnote w:id="4">
    <w:p>
      <w:pPr>
        <w:pStyle w:val="FootnoteText"/>
      </w:pPr>
      <w:r>
        <w:rPr>
          <w:rStyle w:val="FootnoteReference"/>
        </w:rPr>
        <w:footnoteRef/>
      </w:r>
      <w:r>
        <w:tab/>
        <w:t>Решение за изпълнение (ЕС) 2015/156 на Съвета от 27 януари 2015 г. за удължаване на срока на действие на Решение за изпълнение 2012/232/ЕС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(ОВ L 26, 31.1.2015 г., стр. 27).</w:t>
      </w:r>
    </w:p>
  </w:footnote>
  <w:footnote w:id="5">
    <w:p>
      <w:pPr>
        <w:pStyle w:val="FootnoteText"/>
      </w:pPr>
      <w:r>
        <w:rPr>
          <w:rStyle w:val="FootnoteReference"/>
        </w:rPr>
        <w:footnoteRef/>
      </w:r>
      <w:r>
        <w:tab/>
        <w:t>Решение за изпълнение (ЕС) 2017/2012 на Съвета от 7 ноември 2017 г. за изменение на Решение за изпълнение 2012/232/ЕС на Съвета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(ОВ L 292, 10.11.2017 г., стр. 57–58).</w:t>
      </w:r>
    </w:p>
  </w:footnote>
  <w:footnote w:id="6">
    <w:p>
      <w:pPr>
        <w:pStyle w:val="FootnoteText"/>
        <w:jc w:val="left"/>
      </w:pPr>
      <w:r>
        <w:rPr>
          <w:rStyle w:val="FootnoteReference"/>
        </w:rPr>
        <w:footnoteRef/>
      </w:r>
      <w:r>
        <w:tab/>
        <w:t xml:space="preserve">COM(2004) 728 окончателен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(ОВ C 153, 21. 5. 2014 г., стр. 3). </w:t>
      </w:r>
    </w:p>
  </w:footnote>
  <w:footnote w:id="7">
    <w:p>
      <w:pPr>
        <w:pStyle w:val="FootnoteText"/>
      </w:pPr>
      <w:r>
        <w:rPr>
          <w:rStyle w:val="FootnoteReference"/>
        </w:rPr>
        <w:footnoteRef/>
      </w:r>
      <w:r>
        <w:tab/>
        <w:t xml:space="preserve">ОВ L 347, 11.12.2006 г., стр. 1. </w:t>
      </w:r>
    </w:p>
  </w:footnote>
  <w:footnote w:id="8">
    <w:p>
      <w:pPr>
        <w:pStyle w:val="FootnoteText"/>
      </w:pPr>
      <w:r>
        <w:rPr>
          <w:rStyle w:val="FootnoteReference"/>
        </w:rPr>
        <w:footnoteRef/>
      </w:r>
      <w:r>
        <w:tab/>
        <w:t xml:space="preserve">Решение за изпълнение 2012/232/ЕС на Съвета от 26 април 2012 г.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(ОВ L 117, 1.5.2012 г., стр. 7). </w:t>
      </w:r>
    </w:p>
  </w:footnote>
  <w:footnote w:id="9">
    <w:p>
      <w:pPr>
        <w:pStyle w:val="FootnoteText"/>
      </w:pPr>
      <w:r>
        <w:rPr>
          <w:rStyle w:val="FootnoteReference"/>
        </w:rPr>
        <w:footnoteRef/>
      </w:r>
      <w:r>
        <w:tab/>
        <w:t>Решение за изпълнение (ЕС) 2015/156 на Съвета от 27 януари 2015 г. за удължаване на срока на действие на Решение за изпълнение 2012/232/ЕС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(ОВ L 26, 31.1.2015 г., стр. 27).</w:t>
      </w:r>
    </w:p>
  </w:footnote>
  <w:footnote w:id="10">
    <w:p>
      <w:pPr>
        <w:pStyle w:val="FootnoteText"/>
      </w:pPr>
      <w:r>
        <w:rPr>
          <w:rStyle w:val="FootnoteReference"/>
        </w:rPr>
        <w:footnoteRef/>
      </w:r>
      <w:r>
        <w:tab/>
        <w:t>Решение за изпълнение (ЕС) 2017/2012 на Съвета от 7 ноември 2017 г. за изменение на Решение за изпълнение 2012/232/ЕС на Съвета за даване на разрешение на Румъния да прилага мерки за дерогация от член 26, параграф 1, буква а) и член 168 от Директива 2006/112/ЕО относно общата система на данъка върху добавената стойност (ОВ L 292, 10.11.2017 г., стр.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4469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6A32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8A8E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BE1D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0A9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7E05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E18D2"/>
    <w:lvl w:ilvl="0">
      <w:start w:val="1"/>
      <w:numFmt w:val="decimal"/>
      <w:pStyle w:val="ListNumber"/>
      <w:lvlText w:val="%1."/>
      <w:lvlJc w:val="left"/>
      <w:pPr>
        <w:tabs>
          <w:tab w:val="num" w:pos="360"/>
        </w:tabs>
        <w:ind w:left="360" w:hanging="360"/>
      </w:pPr>
    </w:lvl>
  </w:abstractNum>
  <w:abstractNum w:abstractNumId="7">
    <w:nsid w:val="FFFFFF89"/>
    <w:multiLevelType w:val="singleLevel"/>
    <w:tmpl w:val="BA083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7-15 08:50: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E61ABB-753C-4CF2-849A-3D250D93FBBB"/>
    <w:docVar w:name="LW_COVERPAGE_TYPE" w:val="1"/>
    <w:docVar w:name="LW_CROSSREFERENCE" w:val="&lt;UNUSED&gt;"/>
    <w:docVar w:name="LW_DocType" w:val="COM"/>
    <w:docVar w:name="LW_EMISSION" w:val="23.7.2020"/>
    <w:docVar w:name="LW_EMISSION_ISODATE" w:val="2020-07-23"/>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9"/>
    <w:docVar w:name="LW_REF.II.NEW.CP_YEAR" w:val="2020"/>
    <w:docVar w:name="LW_REF.INST.NEW" w:val="COM"/>
    <w:docVar w:name="LW_REF.INST.NEW_ADOPTED" w:val="final"/>
    <w:docVar w:name="LW_REF.INST.NEW_TEXT" w:val="(2020)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2/232/\u1045?\u1057? \u1085?\u1072? \u1057?\u1098?\u1074?\u1077?\u1090?\u1072? \u1079?\u1072? \u1076?\u1072?\u1074?\u1072?\u1085?\u1077? \u1085?\u1072? \u1088?\u1072?\u1079?\u1088?\u1077?\u1096?\u1077?\u1085?\u1080?\u1077? \u1085?\u1072? \u1056?\u1091?\u1084?\u1098?\u1085?\u1080?\u1103? \u1076?\u1072? \u1087?\u1088?\u1080?\u1083?\u1072?\u1075?\u1072? \u1084?\u1077?\u1088?\u1082?\u1080? \u1079?\u1072? \u1076?\u1077?\u1088?\u1086?\u1075?\u1072?\u1094?\u1080?\u1103? \u1086?\u1090? \u1095?\u1083?\u1077?\u1085? 26, \u1087?\u1072?\u1088?\u1072?\u1075?\u1088?\u1072?\u1092? 1, \u1073?\u1091?\u1082?\u1074?\u1072? \u1072?) \u1080? \u1095?\u1083?\u1077?\u1085? 168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1314">
      <w:bodyDiv w:val="1"/>
      <w:marLeft w:val="0"/>
      <w:marRight w:val="0"/>
      <w:marTop w:val="0"/>
      <w:marBottom w:val="0"/>
      <w:divBdr>
        <w:top w:val="none" w:sz="0" w:space="0" w:color="auto"/>
        <w:left w:val="none" w:sz="0" w:space="0" w:color="auto"/>
        <w:bottom w:val="none" w:sz="0" w:space="0" w:color="auto"/>
        <w:right w:val="none" w:sz="0" w:space="0" w:color="auto"/>
      </w:divBdr>
    </w:div>
    <w:div w:id="735589105">
      <w:bodyDiv w:val="1"/>
      <w:marLeft w:val="0"/>
      <w:marRight w:val="0"/>
      <w:marTop w:val="0"/>
      <w:marBottom w:val="0"/>
      <w:divBdr>
        <w:top w:val="none" w:sz="0" w:space="0" w:color="auto"/>
        <w:left w:val="none" w:sz="0" w:space="0" w:color="auto"/>
        <w:bottom w:val="none" w:sz="0" w:space="0" w:color="auto"/>
        <w:right w:val="none" w:sz="0" w:space="0" w:color="auto"/>
      </w:divBdr>
    </w:div>
    <w:div w:id="16820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5888-A8A2-4D9F-94E1-5C259413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2150</Words>
  <Characters>12042</Characters>
  <Application>Microsoft Office Word</Application>
  <DocSecurity>0</DocSecurity>
  <Lines>227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2020-06-16T16:22:00Z</cp:lastPrinted>
  <dcterms:created xsi:type="dcterms:W3CDTF">2020-07-13T12:35:00Z</dcterms:created>
  <dcterms:modified xsi:type="dcterms:W3CDTF">2020-07-15T06:50:00Z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SJ-020</vt:lpwstr>
  </property>
  <property fmtid="{D5CDD505-2E9C-101B-9397-08002B2CF9AE}" pid="9" name="Level of sensitivity">
    <vt:lpwstr>Standard treatment</vt:lpwstr>
  </property>
  <property fmtid="{D5CDD505-2E9C-101B-9397-08002B2CF9AE}" pid="10" name="DQCStatus">
    <vt:lpwstr>Green (DQC version 03)</vt:lpwstr>
  </property>
</Properties>
</file>