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C2D7ADD-A6AB-411D-B17E-507CAF94195F"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2"/>
      </w:r>
      <w:r>
        <w:rPr>
          <w:noProof/>
        </w:rPr>
        <w:t>,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13 March 2020, Romania requested an extension of the derogation from Article 168 of the VAT Directive in order to continue to restrict the right to deduct the input VAT on expenditure connected with motor vehicles. In accordance with Article 395(2) of the VAT Directive, the Commission informed the other Member States by letter dated 2 April 2020 of the request made by Romania. By letter dated 3 April 2020, the Commission notified Romania that it had all the information it considered necessary for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Articles 168 VAT Directive provides that a taxable person is entitled to deduct VAT charged on purchases made for the purpose of taxed transactions. Article 26(1)(a) of the same Directive requires the use of goods forming part of the assets of a business for private purposes to be a supply of services for consideration if the VAT on the goods was eligible for deduction. This system allows for the recovery of initially deducted VAT in relation to the private use. </w:t>
      </w:r>
    </w:p>
    <w:p>
      <w:pPr>
        <w:rPr>
          <w:noProof/>
        </w:rPr>
      </w:pPr>
      <w:r>
        <w:rPr>
          <w:noProof/>
        </w:rPr>
        <w:t xml:space="preserve">In the case of passenger cars, this system is difficult to apply, in particular because it is difficult to identify the split between private and business use. Where records are kept, they add an additional burden to both the business and the administration in maintaining and checking them. </w:t>
      </w:r>
    </w:p>
    <w:p>
      <w:pPr>
        <w:rPr>
          <w:noProof/>
        </w:rPr>
      </w:pPr>
      <w:r>
        <w:rPr>
          <w:noProof/>
        </w:rPr>
        <w:t>Romania is currently authorised on the basis of Council Implementing Decision 2012/232/EU</w:t>
      </w:r>
      <w:r>
        <w:rPr>
          <w:rStyle w:val="FootnoteReference"/>
          <w:noProof/>
        </w:rPr>
        <w:footnoteReference w:id="3"/>
      </w:r>
      <w:r>
        <w:rPr>
          <w:noProof/>
        </w:rPr>
        <w:t xml:space="preserve"> to restrict to 50 % the right to deduct VAT on the purchase, intra-Community acquisition, importation, hire or leasing of motorised road vehicles as well as expenditure related thereto. Some categories of vehicles were specifically excluded from this restriction, such as vehicles used exclusively for emergency, security or courier services, vehicles used by agents and taxis, vehicles used for instruction by driving schools, used for hire or leasing or used as commodities for trading purposes. At the same time, businesses are relieved from accounting from tax on the private use. Council Implementing Decision 2015/156/EU</w:t>
      </w:r>
      <w:r>
        <w:rPr>
          <w:rStyle w:val="FootnoteReference"/>
          <w:noProof/>
        </w:rPr>
        <w:footnoteReference w:id="4"/>
      </w:r>
      <w:r>
        <w:rPr>
          <w:noProof/>
        </w:rPr>
        <w:t xml:space="preserve"> authorised Romania to continue to apply until 31 December 2017 the special measure. The period of validity of this decision was extended by Council Implementing Decision (EU) 2017/2012 of 7 November 2017</w:t>
      </w:r>
      <w:r>
        <w:rPr>
          <w:rStyle w:val="FootnoteReference"/>
          <w:noProof/>
        </w:rPr>
        <w:footnoteReference w:id="5"/>
      </w:r>
      <w:r>
        <w:rPr>
          <w:noProof/>
        </w:rPr>
        <w:t xml:space="preserve"> until 31 December 2020. </w:t>
      </w:r>
    </w:p>
    <w:p>
      <w:pPr>
        <w:rPr>
          <w:noProof/>
        </w:rPr>
      </w:pPr>
      <w:r>
        <w:rPr>
          <w:noProof/>
        </w:rPr>
        <w:lastRenderedPageBreak/>
        <w:t>Romania has requested to prolong the authorisation to limit the initial deduction to a set percentage and in turn to relieve the business from accounting for tax on the private use. Romania informed the Commission that the grounds for the prolongation of the measure are largely the same as described in the initial request. In accordance with Article 4(2) of Council Decision 2012/232/EU Romania has presented a report on the deduction limit applied by Romania. Romania submits that the measure fulfilled its role and that if the measure were not prolonged, the tax evasion recorded in this area before the introduction of the measure would most probably re-appear. According to the data submitted, the share of small enterprises in Romania is high: 99.7% of all the enterprises active in the industrial sector, the construction sector or the services sector in 2017 were small or medium-sized enterprises; and active enterprises with up to nine employees accounted for 89.4% of all economic and social operators active in those four sectors. Romania argues that, in practice, a car owned by such enterprises is often used both for business activities and for personal purposes.</w:t>
      </w:r>
    </w:p>
    <w:p>
      <w:pPr>
        <w:rPr>
          <w:noProof/>
        </w:rPr>
      </w:pPr>
      <w:r>
        <w:rPr>
          <w:noProof/>
        </w:rPr>
        <w:t xml:space="preserve">It also appears from the information provided by Romania that the limitation of 50% still reflects the overall business and private use of vehicles by taxable persons in Romania and that this limit therefore should still be regarded as appropriate. </w:t>
      </w:r>
    </w:p>
    <w:p>
      <w:pPr>
        <w:rPr>
          <w:noProof/>
        </w:rPr>
      </w:pPr>
      <w:r>
        <w:rPr>
          <w:noProof/>
        </w:rPr>
        <w:t xml:space="preserve">The derogation should be limited in time to 31 December 2023, so that it can be assessed whether the 50% restriction is still a correct reflection of the overall apportionment between business and private use. Any extension request should be accompanied by a report which includes a review of the percentage applied and should be sent to the Commission with that request by 31 March 2023.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Similar derogations in relation to the right of deduction have been granted to other Member States. </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VAT in relation to passenger cars. </w:t>
      </w:r>
    </w:p>
    <w:p>
      <w:pPr>
        <w:pBdr>
          <w:top w:val="nil"/>
          <w:left w:val="nil"/>
          <w:bottom w:val="nil"/>
          <w:right w:val="nil"/>
          <w:between w:val="nil"/>
          <w:bar w:val="nil"/>
        </w:pBdr>
        <w:spacing w:before="0" w:after="240"/>
        <w:rPr>
          <w:noProof/>
        </w:rPr>
      </w:pPr>
      <w:r>
        <w:rPr>
          <w:noProof/>
        </w:rPr>
        <w:t>Notwithstanding previous initiatives to establish rules on which categories of expenditure may be subject to a restriction on the right to deduct VAT</w:t>
      </w:r>
      <w:r>
        <w:rPr>
          <w:rStyle w:val="FootnoteReference"/>
          <w:rFonts w:eastAsia="Arial Unicode MS"/>
          <w:noProof/>
        </w:rPr>
        <w:footnoteReference w:id="6"/>
      </w:r>
      <w:r>
        <w:rPr>
          <w:noProof/>
        </w:rPr>
        <w:t xml:space="preserve">, such derogation is appropriate in the awaiting of a harmonisation of these rules at EU level.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Considering the provision of the VAT Directive on which the proposal is based, the proposal falls under the exclusive competence of the Union. The subsidiarity principle therefore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the limited scope of the derogation, the special measure is proportionate to the aim pursued, i.e. to prevent certain forms of tax evasion or avoidance. </w:t>
      </w:r>
      <w:r>
        <w:rPr>
          <w:noProof/>
        </w:rPr>
        <w:t xml:space="preserve">In particular, given the potential for businesses to under declare their liability and the burdensome check of mileage data for tax authorities, the 50% restriction would </w:t>
      </w:r>
      <w:r>
        <w:rPr>
          <w:rFonts w:eastAsia="Arial Unicode MS"/>
          <w:noProof/>
        </w:rPr>
        <w:t>simplify the VAT collection in a specific sector.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This proposal is based on a request made by Romania and concerns only this Member State.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is designed to counter VAT evasion and to simplify the procedure for charging tax and has, therefore, a potential positive impact for both businesses and administrations. The solution has been identified by Romania as a suitable measure and is comparable to other past and present derogations.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negative implication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2023.</w:t>
      </w:r>
    </w:p>
    <w:p>
      <w:pPr>
        <w:pBdr>
          <w:top w:val="nil"/>
          <w:left w:val="nil"/>
          <w:bottom w:val="nil"/>
          <w:right w:val="nil"/>
          <w:between w:val="nil"/>
          <w:bar w:val="nil"/>
        </w:pBdr>
        <w:spacing w:before="0" w:after="240"/>
        <w:rPr>
          <w:rFonts w:eastAsia="Arial Unicode MS"/>
          <w:noProof/>
        </w:rPr>
      </w:pPr>
      <w:r>
        <w:rPr>
          <w:rFonts w:eastAsia="Arial Unicode MS"/>
          <w:noProof/>
        </w:rPr>
        <w:t>In case Romania would consider another extension of the derogating measure beyond 2023, a report including a review of the percentage limit should be submitted to the Commission together with the extension request no later than 31 March 2023.</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2020/0149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2012/232/EU authorising Romania to apply measures derogating from Article 26(1)(a) and Article 168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7"/>
      </w:r>
      <w:r>
        <w:rPr>
          <w:noProof/>
        </w:rPr>
        <w:t>, and in particular Article 395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168 of Directive 2006/112/EC establishes a right for taxable persons to deduct value added tax (VAT) charged on supplies to them of goods and services that are used  for the purposes of their taxed transactions. Pursuant to Article 26(1)(a) of that Directive, the use  of business assets for private use of taxable persons or their staff or, more generally, for purposes other than those of their business is to be treated as a supply of services.</w:t>
      </w:r>
    </w:p>
    <w:p>
      <w:pPr>
        <w:pStyle w:val="ManualConsidrant"/>
        <w:rPr>
          <w:noProof/>
        </w:rPr>
      </w:pPr>
      <w:r>
        <w:t>(2)</w:t>
      </w:r>
      <w:r>
        <w:tab/>
      </w:r>
      <w:r>
        <w:rPr>
          <w:noProof/>
        </w:rPr>
        <w:t>By Council Implementing Decision 2012/232/EU</w:t>
      </w:r>
      <w:r>
        <w:rPr>
          <w:rStyle w:val="FootnoteReference"/>
          <w:noProof/>
        </w:rPr>
        <w:footnoteReference w:id="8"/>
      </w:r>
      <w:r>
        <w:rPr>
          <w:noProof/>
        </w:rPr>
        <w:t xml:space="preserve"> Romania was authorised, until 31 December 2014, to limit to 50% the right to deduct VAT on the purchase, intra-Community acquisition, importation, hire or leasing of certain motorised road vehicles, and on expenditure related to those vehicles, including fuel, when such vehicles are not used exclusively for business purposes, and to relieve taxable persons from having to treat non-business use of such vehicles as a supply of services in accordance with Article 26(1)(a) of Directive 2006/112/EC. By Council Implementing Decision 2015/156/EU</w:t>
      </w:r>
      <w:r>
        <w:rPr>
          <w:rStyle w:val="FootnoteReference"/>
          <w:noProof/>
        </w:rPr>
        <w:footnoteReference w:id="9"/>
      </w:r>
      <w:r>
        <w:rPr>
          <w:noProof/>
        </w:rPr>
        <w:t xml:space="preserve"> Romania was authorised to apply the derogating measures until 31 December 2017. By Council Implementing Decision (EU) 2017/2012</w:t>
      </w:r>
      <w:r>
        <w:rPr>
          <w:rStyle w:val="FootnoteReference"/>
          <w:noProof/>
        </w:rPr>
        <w:footnoteReference w:id="10"/>
      </w:r>
      <w:r>
        <w:rPr>
          <w:noProof/>
        </w:rPr>
        <w:t xml:space="preserve"> Romania was authorised to apply the derogating measures until the date of entry </w:t>
      </w:r>
      <w:r>
        <w:rPr>
          <w:noProof/>
          <w:shd w:val="clear" w:color="auto" w:fill="FFFFFF"/>
        </w:rPr>
        <w:t xml:space="preserve">into force of Union rules determining the expenditure relating to motorised road vehicles </w:t>
      </w:r>
      <w:r>
        <w:rPr>
          <w:noProof/>
          <w:shd w:val="clear" w:color="auto" w:fill="FFFFFF"/>
        </w:rPr>
        <w:lastRenderedPageBreak/>
        <w:t>that is not eligible for full deduction of VAT or</w:t>
      </w:r>
      <w:r>
        <w:rPr>
          <w:noProof/>
        </w:rPr>
        <w:t xml:space="preserve"> 31 December 2020, whichever is earlier. </w:t>
      </w:r>
    </w:p>
    <w:p>
      <w:pPr>
        <w:pStyle w:val="ManualConsidrant"/>
        <w:rPr>
          <w:noProof/>
        </w:rPr>
      </w:pPr>
      <w:r>
        <w:t>(3)</w:t>
      </w:r>
      <w:r>
        <w:tab/>
      </w:r>
      <w:r>
        <w:rPr>
          <w:noProof/>
        </w:rPr>
        <w:t xml:space="preserve">By letter registered with the Commission on 13 March 2020, Romania requested authorisation to continue to apply a measure derogating from Article 26(1)(a) and Article 168 of Directive 2006/112/EC in order to restrict the right of deduction in relation to expenditure on certain motorised road vehicles not used exclusively for business purposes. </w:t>
      </w:r>
    </w:p>
    <w:p>
      <w:pPr>
        <w:pStyle w:val="ManualConsidrant"/>
        <w:rPr>
          <w:noProof/>
        </w:rPr>
      </w:pPr>
      <w:r>
        <w:t>(4)</w:t>
      </w:r>
      <w:r>
        <w:tab/>
      </w:r>
      <w:r>
        <w:rPr>
          <w:noProof/>
        </w:rPr>
        <w:t>The application of a flat percentage rate for the amount of VAT on expenditure eligible for deduction concerning motorised road vehicles which are not used exclusively for business purposes simplifies the procedure for collecting VAT.</w:t>
      </w:r>
    </w:p>
    <w:p>
      <w:pPr>
        <w:pStyle w:val="ManualConsidrant"/>
        <w:rPr>
          <w:noProof/>
        </w:rPr>
      </w:pPr>
      <w:r>
        <w:t>(5)</w:t>
      </w:r>
      <w:r>
        <w:tab/>
      </w:r>
      <w:r>
        <w:rPr>
          <w:noProof/>
        </w:rPr>
        <w:t>In accordance with Article 395(2), the second subparagraph, of Directive 2006/112/EC, the Commission informed the other Member States by letter dated 2 April 2020 of the request made by Romania. By letter dated 3 April 2020, the Commission notified Romania that it had all the information it considered necessary for appraisal of the request.</w:t>
      </w:r>
    </w:p>
    <w:p>
      <w:pPr>
        <w:pStyle w:val="ManualConsidrant"/>
        <w:rPr>
          <w:noProof/>
        </w:rPr>
      </w:pPr>
      <w:r>
        <w:t>(6)</w:t>
      </w:r>
      <w:r>
        <w:tab/>
      </w:r>
      <w:r>
        <w:rPr>
          <w:noProof/>
        </w:rPr>
        <w:t xml:space="preserve">In accordance with Article 4(2) of Implementing Decision 2012/232/EU Romania submitted, together with the extension request, a report to the Commission on the application of that Implementing Decision. Based on currently available information, Romania submits that the limit of 50 % is still justifiable and remains appropriate. </w:t>
      </w:r>
    </w:p>
    <w:p>
      <w:pPr>
        <w:pStyle w:val="ManualConsidrant"/>
        <w:rPr>
          <w:noProof/>
        </w:rPr>
      </w:pPr>
      <w:r>
        <w:t>(7)</w:t>
      </w:r>
      <w:r>
        <w:tab/>
      </w:r>
      <w:r>
        <w:rPr>
          <w:noProof/>
        </w:rPr>
        <w:t>Extension of the derogating measures should be limited to the time needed to evaluate the effectiveness of those measures and the appropriateness of the percentage limitation. Romania should therefore be authorised to continue to apply the derogating measures until 31 December 2023.</w:t>
      </w:r>
    </w:p>
    <w:p>
      <w:pPr>
        <w:pStyle w:val="ManualConsidrant"/>
        <w:rPr>
          <w:noProof/>
        </w:rPr>
      </w:pPr>
      <w:r>
        <w:t>(8)</w:t>
      </w:r>
      <w:r>
        <w:tab/>
      </w:r>
      <w:r>
        <w:rPr>
          <w:noProof/>
        </w:rPr>
        <w:t>In the event that Romania considers that an extension of the authorisation beyond 2023 is necessary, it should submit a request for an extension to the Commission by 31 March 2023, together with a report which includes a review of the percentage limit applied.</w:t>
      </w:r>
    </w:p>
    <w:p>
      <w:pPr>
        <w:pStyle w:val="ManualConsidrant"/>
        <w:rPr>
          <w:noProof/>
        </w:rPr>
      </w:pPr>
      <w:r>
        <w:t>(9)</w:t>
      </w:r>
      <w:r>
        <w:tab/>
      </w:r>
      <w:r>
        <w:rPr>
          <w:noProof/>
        </w:rPr>
        <w:t>The derogation measures will only have a negligible effect on the overall amount of tax revenue of Romania collected at the stage of final consumption and will have no adverse impact on the Union’s own resources accruing from VAT.</w:t>
      </w:r>
    </w:p>
    <w:p>
      <w:pPr>
        <w:pStyle w:val="ManualConsidrant"/>
        <w:rPr>
          <w:noProof/>
        </w:rPr>
      </w:pPr>
      <w:r>
        <w:t>(10)</w:t>
      </w:r>
      <w:r>
        <w:tab/>
      </w:r>
      <w:r>
        <w:rPr>
          <w:noProof/>
        </w:rPr>
        <w:t>Implementing Decision 2012/232/EU should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4 of Implementing Decision 2012/232/EU is replaced by the following:</w:t>
      </w:r>
    </w:p>
    <w:p>
      <w:pPr>
        <w:pStyle w:val="Titrearticle"/>
        <w:rPr>
          <w:noProof/>
        </w:rPr>
      </w:pPr>
      <w:r>
        <w:rPr>
          <w:noProof/>
        </w:rPr>
        <w:t>'Article 4</w:t>
      </w:r>
    </w:p>
    <w:p>
      <w:pPr>
        <w:pStyle w:val="ManualNumPar1"/>
        <w:rPr>
          <w:noProof/>
        </w:rPr>
      </w:pPr>
      <w:r>
        <w:t>1.</w:t>
      </w:r>
      <w:r>
        <w:tab/>
      </w:r>
      <w:r>
        <w:rPr>
          <w:noProof/>
        </w:rPr>
        <w:t>This Decision shall expire on the date of entry into force of Union rules determining the expenditure relating to motorised road vehicles that is not eligible for full deduction of VAT, or on 31 December 2023, whichever is the earlier.</w:t>
      </w:r>
    </w:p>
    <w:p>
      <w:pPr>
        <w:pStyle w:val="ManualNumPar1"/>
        <w:rPr>
          <w:noProof/>
        </w:rPr>
      </w:pPr>
      <w:r>
        <w:t>2.</w:t>
      </w:r>
      <w:r>
        <w:tab/>
      </w:r>
      <w:r>
        <w:rPr>
          <w:noProof/>
        </w:rPr>
        <w:t>Any request for authorisation to extend the derogating measures authorised by this Decision shall be submitted to the Commission by 31 March 2023.</w:t>
      </w:r>
    </w:p>
    <w:p>
      <w:pPr>
        <w:rPr>
          <w:noProof/>
        </w:rPr>
      </w:pPr>
      <w:r>
        <w:rPr>
          <w:noProof/>
        </w:rPr>
        <w:t xml:space="preserve">Such request shall be accompanied by a report which includes a review of the percentage restriction applied on the right to deduct VAT on the basis of this Decision.'. </w:t>
      </w:r>
    </w:p>
    <w:p>
      <w:pPr>
        <w:pStyle w:val="Titrearticle"/>
        <w:rPr>
          <w:noProof/>
        </w:rPr>
      </w:pPr>
      <w:r>
        <w:rPr>
          <w:noProof/>
        </w:rPr>
        <w:lastRenderedPageBreak/>
        <w:t>Article 2</w:t>
      </w:r>
    </w:p>
    <w:p>
      <w:pPr>
        <w:rPr>
          <w:noProof/>
        </w:rPr>
      </w:pPr>
      <w:r>
        <w:rPr>
          <w:noProof/>
        </w:rPr>
        <w:t>This Decision is addressed to Romania.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tab/>
        <w:t>OJ L 347, 11.12.2006, p. 1.</w:t>
      </w:r>
    </w:p>
  </w:footnote>
  <w:footnote w:id="3">
    <w:p>
      <w:pPr>
        <w:pStyle w:val="FootnoteText"/>
      </w:pPr>
      <w:r>
        <w:rPr>
          <w:rStyle w:val="FootnoteReference"/>
        </w:rPr>
        <w:footnoteRef/>
      </w:r>
      <w:r>
        <w:tab/>
        <w:t xml:space="preserve">Council Implementing Decision 2012/232/EU of 26 April 2012 authorising Romania to apply measures derogating from Article 26(1)(a) and Article 168 of Directive 2006/112/EC on the common system of value added tax (OJ L 117, 1.05.2012, p. 7).  </w:t>
      </w:r>
    </w:p>
  </w:footnote>
  <w:footnote w:id="4">
    <w:p>
      <w:pPr>
        <w:pStyle w:val="FootnoteText"/>
      </w:pPr>
      <w:r>
        <w:rPr>
          <w:rStyle w:val="FootnoteReference"/>
        </w:rPr>
        <w:footnoteRef/>
      </w:r>
      <w:r>
        <w:tab/>
        <w:t>Council Implementing Decision 2015/156/EU of 27 January 2015 extending the period of validity of Implementing Decision 2012/232/EU authorising Romania to apply measures derogating from Article 26(1)(a) and Article 168 of Directive 2006/112/EC on the common system of value added tax (OJ L 26, 31.1.2015, p. 27).</w:t>
      </w:r>
    </w:p>
  </w:footnote>
  <w:footnote w:id="5">
    <w:p>
      <w:pPr>
        <w:pStyle w:val="FootnoteText"/>
        <w:rPr>
          <w:lang w:val="en-US"/>
        </w:rPr>
      </w:pPr>
      <w:r>
        <w:rPr>
          <w:rStyle w:val="FootnoteReference"/>
        </w:rPr>
        <w:footnoteRef/>
      </w:r>
      <w:r>
        <w:tab/>
      </w:r>
      <w:r>
        <w:rPr>
          <w:lang w:val="en-US"/>
        </w:rPr>
        <w:t>Council Implementing Decision (EU) 2017/2012 of 7 November 2017 amending Implementing Decision 2012/232/EU authorising Romania to apply measures derogating from Article 26(1)(a) and Article 168 of Directive 2006/112/EC on the common system of value added tax (OJ L 292, 10.11.2017, p. 57–58).</w:t>
      </w:r>
    </w:p>
  </w:footnote>
  <w:footnote w:id="6">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7">
    <w:p>
      <w:pPr>
        <w:pStyle w:val="FootnoteText"/>
      </w:pPr>
      <w:r>
        <w:rPr>
          <w:rStyle w:val="FootnoteReference"/>
        </w:rPr>
        <w:footnoteRef/>
      </w:r>
      <w:r>
        <w:tab/>
        <w:t xml:space="preserve">OJ L 347, 11.12.2006, p. 1. </w:t>
      </w:r>
    </w:p>
  </w:footnote>
  <w:footnote w:id="8">
    <w:p>
      <w:pPr>
        <w:pStyle w:val="FootnoteText"/>
      </w:pPr>
      <w:r>
        <w:rPr>
          <w:rStyle w:val="FootnoteReference"/>
        </w:rPr>
        <w:footnoteRef/>
      </w:r>
      <w:r>
        <w:tab/>
        <w:t xml:space="preserve">Council Implementing Decision 2012/232/EU of 26 April 2012 authorising Romania to apply measures derogating from Article 26(1)(a) and Article 168 of Directive 2006/112/EC on the common system of value added tax (OJ L 117, 1.5.2012, p. 7). </w:t>
      </w:r>
    </w:p>
  </w:footnote>
  <w:footnote w:id="9">
    <w:p>
      <w:pPr>
        <w:pStyle w:val="FootnoteText"/>
      </w:pPr>
      <w:r>
        <w:rPr>
          <w:rStyle w:val="FootnoteReference"/>
        </w:rPr>
        <w:footnoteRef/>
      </w:r>
      <w:r>
        <w:tab/>
        <w:t>Council Implementing Decision 2015/156/EU of 27 January 2015 extending the period of validity of Implementing Decision 2012/232/EU authorising Romania to apply measures derogating from Articles 26(1)(a) and Article 168 of Directive 2006/112/EC on the common system of value added tax (OJ L 26, 31.1.2015, p. 27).</w:t>
      </w:r>
    </w:p>
  </w:footnote>
  <w:footnote w:id="10">
    <w:p>
      <w:pPr>
        <w:pStyle w:val="FootnoteText"/>
        <w:rPr>
          <w:lang w:val="en-US"/>
        </w:rPr>
      </w:pPr>
      <w:r>
        <w:rPr>
          <w:rStyle w:val="FootnoteReference"/>
        </w:rPr>
        <w:footnoteRef/>
      </w:r>
      <w:r>
        <w:tab/>
      </w:r>
      <w:r>
        <w:rPr>
          <w:lang w:val="en-US"/>
        </w:rPr>
        <w:t>Council Implementing Decision (EU) 2017/2012 of 7 November 2017 amending Implementing Decision 2012/232/EU authorising Romania to apply measures derogating from Article 26(1)(a) and Article 168 of Directive 2006/112/EC on the common system of value added tax (OJ L 292, 10.11.2017, 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4469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6A32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8A8E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BE1D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0A9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7E05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E1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083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7-15 08:50: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C2D7ADD-A6AB-411D-B17E-507CAF94195F"/>
    <w:docVar w:name="LW_COVERPAGE_TYPE" w:val="1"/>
    <w:docVar w:name="LW_CROSSREFERENCE" w:val="&lt;UNUSED&gt;"/>
    <w:docVar w:name="LW_DocType" w:val="COM"/>
    <w:docVar w:name="LW_EMISSION" w:val="23.7.2020"/>
    <w:docVar w:name="LW_EMISSION_ISODATE" w:val="2020-07-23"/>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9"/>
    <w:docVar w:name="LW_REF.II.NEW.CP_YEAR" w:val="2020"/>
    <w:docVar w:name="LW_REF.INST.NEW" w:val="COM"/>
    <w:docVar w:name="LW_REF.INST.NEW_ADOPTED" w:val="final"/>
    <w:docVar w:name="LW_REF.INST.NEW_TEXT" w:val="(2020)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2012/232/EU authorising Romania to apply measures derogating from Article 26(1)(a) and Article 168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1314">
      <w:bodyDiv w:val="1"/>
      <w:marLeft w:val="0"/>
      <w:marRight w:val="0"/>
      <w:marTop w:val="0"/>
      <w:marBottom w:val="0"/>
      <w:divBdr>
        <w:top w:val="none" w:sz="0" w:space="0" w:color="auto"/>
        <w:left w:val="none" w:sz="0" w:space="0" w:color="auto"/>
        <w:bottom w:val="none" w:sz="0" w:space="0" w:color="auto"/>
        <w:right w:val="none" w:sz="0" w:space="0" w:color="auto"/>
      </w:divBdr>
    </w:div>
    <w:div w:id="735589105">
      <w:bodyDiv w:val="1"/>
      <w:marLeft w:val="0"/>
      <w:marRight w:val="0"/>
      <w:marTop w:val="0"/>
      <w:marBottom w:val="0"/>
      <w:divBdr>
        <w:top w:val="none" w:sz="0" w:space="0" w:color="auto"/>
        <w:left w:val="none" w:sz="0" w:space="0" w:color="auto"/>
        <w:bottom w:val="none" w:sz="0" w:space="0" w:color="auto"/>
        <w:right w:val="none" w:sz="0" w:space="0" w:color="auto"/>
      </w:divBdr>
    </w:div>
    <w:div w:id="16820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1460-1E24-49E2-B2DB-886CB8C1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1992</Words>
  <Characters>10661</Characters>
  <Application>Microsoft Office Word</Application>
  <DocSecurity>0</DocSecurity>
  <Lines>190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2020-06-16T16:22:00Z</cp:lastPrinted>
  <dcterms:created xsi:type="dcterms:W3CDTF">2020-07-10T09:40:00Z</dcterms:created>
  <dcterms:modified xsi:type="dcterms:W3CDTF">2020-07-15T06:50:00Z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