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261EB49-EF7A-4388-8204-1C29618DFEF5" style="width:450.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От 1923 г. за традиционния ром, произвеждан в най-отдалечените региони на Франция, се прилага специален режим на облагане с акциз на пазара на континентална Франция. След създаването на вътрешния пазар и хармонизирането на акцизите в Европа действието на този специален режим на облагане с акциз е удължено със съгласието на Европейския съюз (ЕС).</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Предложението се отнася до решение на Съвета, което да замени действащото Решение № 189/2014/ЕС на Съвета от 20 февруари 2014 г.</w:t>
      </w:r>
      <w:r>
        <w:rPr>
          <w:rStyle w:val="FootnoteReference"/>
          <w:noProof/>
        </w:rPr>
        <w:footnoteReference w:id="1"/>
      </w:r>
      <w:r>
        <w:rPr>
          <w:noProof/>
        </w:rPr>
        <w:t>, прието на основание на член 349 от Договора за функционирането на Европейския съюз (ДФЕС). Разпоредбата по посочения член позволява предприемането на специфични мерки за най-отдалечените региони, тъй като в него се признава, че дълготрайността и съчетанието на ограниченията им се отразяват тежко на тяхното развитие и засягат икономическото и социалното им положение. Тази разпоредба позволява такива мерки, при условие че те не нарушават целостта и съгласуваността на правния ред на Съюза, включително вътрешния пазар и общите политики. С действащото сега решение на Франция се разрешава да прилага намалена ставка на някои косвени данъци</w:t>
      </w:r>
      <w:r>
        <w:rPr>
          <w:rStyle w:val="FootnoteReference"/>
          <w:noProof/>
        </w:rPr>
        <w:footnoteReference w:id="2"/>
      </w:r>
      <w:r>
        <w:rPr>
          <w:noProof/>
        </w:rPr>
        <w:t xml:space="preserve"> върху традиционния ром, произвеждан във френските най-отдалечени региони Гваделупа, Френска Гвиана, Мартиника и Реюнион, когато се превозва до континентална Франция и се потребява там. Намалението на косвените данъци не може да надвишава 50 % от стандартния френски акциз върху алкохола и е ограничено до годишна квота от 144 000 хектолитра чист алкохол. Срокът на действие на изключението изтича на 31 декември 2020 г.</w:t>
      </w:r>
    </w:p>
    <w:p>
      <w:pPr>
        <w:rPr>
          <w:noProof/>
        </w:rPr>
      </w:pPr>
      <w:r>
        <w:rPr>
          <w:noProof/>
        </w:rPr>
        <w:t xml:space="preserve">Целта на този режим е да се компенсират по-високата себестойност (производствени разходи) на традиционния ром във френските най-отдалечени региони и да се обезпечи достъп до пазара в континенталната част на Франция, която е техен основен пазар. Неблагоприятното конкурентно положение на икономическите оператори се дължи на особеностите на френските най-отдалечени региони – отдалечеността им, островния им характер, малката им площ, трудния им релеф и климат и икономическата им зависимост от малък брой производства, а именно веригата на производство захарна тръстика – захар – ром. Всичко това се отразява тежко на икономическото им развитие. </w:t>
      </w:r>
    </w:p>
    <w:p>
      <w:pPr>
        <w:rPr>
          <w:noProof/>
        </w:rPr>
      </w:pPr>
      <w:r>
        <w:rPr>
          <w:noProof/>
        </w:rPr>
        <w:t xml:space="preserve">Въз основа на аналитичния документ към настоящото предложение, в който се разглежда сегашният режим и потенциалното въздействие на възможните варианти за действие за периода след 2020 г., Комисията предлага действието на този режим да бъде удължено до 2027 г. с по-висока годишна квота от 153 000 хектолитра чист алкохол (хлча). Максималният размер на намалението се запазва на равнище 50 %. Увеличението на годишната квота до 153 000 хлча е в съответствие с увеличенията на квотата през минали периоди и ще отговаря на растежа на производството. То е достатъчно за ограничаване на потребността от допълнителни изменения преди </w:t>
      </w:r>
      <w:r>
        <w:rPr>
          <w:noProof/>
        </w:rPr>
        <w:lastRenderedPageBreak/>
        <w:t>изтичането на седемгодишния срок на действие на новото решение. Така ще се разреши установеният проблем с квотата с постоянен обем, поради който тя периодично се променя чрез изменения на решенията на Съвета, обикновено с обратно действие. Това е оказало отрицателно въздействие върху способността на производителите да планират производството си и в някои случаи – дългосрочните си инвестиции. Освен това малкото увеличение на квотата осигурява последователност спрямо политиката в областта на общественото здравеопазване и конкуренцията.</w:t>
      </w:r>
    </w:p>
    <w:p>
      <w:pPr>
        <w:rPr>
          <w:noProof/>
        </w:rPr>
      </w:pPr>
    </w:p>
    <w:p>
      <w:pPr>
        <w:pStyle w:val="ManualHeading2"/>
        <w:rPr>
          <w:rFonts w:eastAsia="Arial Unicode MS"/>
          <w:noProof/>
          <w:color w:val="000000"/>
          <w:u w:color="000000"/>
          <w:bdr w:val="nil"/>
        </w:rPr>
      </w:pP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Style w:val="None"/>
          <w:noProof/>
        </w:rPr>
      </w:pPr>
      <w:r>
        <w:rPr>
          <w:noProof/>
        </w:rPr>
        <w:t>В Съобщението от 2017 г. „Засилено и обновено стратегическо партньорство с най-отдалечените региони на ЕС“</w:t>
      </w:r>
      <w:r>
        <w:rPr>
          <w:rStyle w:val="FootnoteReference"/>
          <w:noProof/>
        </w:rPr>
        <w:footnoteReference w:id="3"/>
      </w:r>
      <w:r>
        <w:rPr>
          <w:noProof/>
        </w:rPr>
        <w:t xml:space="preserve"> се отбелязва, че най-отдалечените региони продължават да се сблъскват със сериозни предизвикателства, много от които са трайни.</w:t>
      </w:r>
      <w:r>
        <w:rPr>
          <w:rStyle w:val="None"/>
          <w:noProof/>
        </w:rPr>
        <w:t xml:space="preserve"> В това съобщение е представен подходът на Комисията по отношение на подпомагането на тези региони в надграждането на техните единствени по рода си предимства, като се определят нови сектори за растеж и създаване на работни места.</w:t>
      </w:r>
    </w:p>
    <w:p>
      <w:pPr>
        <w:pBdr>
          <w:top w:val="nil"/>
          <w:left w:val="nil"/>
          <w:bottom w:val="nil"/>
          <w:right w:val="nil"/>
          <w:between w:val="nil"/>
          <w:bar w:val="nil"/>
        </w:pBdr>
        <w:spacing w:before="0" w:after="240"/>
        <w:rPr>
          <w:rFonts w:eastAsia="Arial Unicode MS"/>
          <w:noProof/>
        </w:rPr>
      </w:pPr>
      <w:r>
        <w:rPr>
          <w:noProof/>
        </w:rPr>
        <w:t>В този контекст целта на настоящото предложение е да се подкрепят френските най-отдалечени региони в надграждането на техните предимства, за да се осигури възможност за местен растеж и създаване на работни места в производството на захарна тръстика и ром. Настоящото предложение допълва Програмата от специфични мерки за отдалечените региони и за островите (POSEI)</w:t>
      </w:r>
      <w:r>
        <w:rPr>
          <w:rStyle w:val="FootnoteReference"/>
          <w:noProof/>
        </w:rPr>
        <w:footnoteReference w:id="4"/>
      </w:r>
      <w:r>
        <w:rPr>
          <w:noProof/>
        </w:rPr>
        <w:t>, която е насочена към подпомагане на първичния сектор и производството на суровини.</w:t>
      </w:r>
    </w:p>
    <w:p>
      <w:pPr>
        <w:pStyle w:val="ManualHeading2"/>
        <w:rPr>
          <w:rFonts w:eastAsia="Arial Unicode MS"/>
          <w:noProof/>
        </w:rPr>
      </w:pP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със стратегията за единния пазар от 2015 г.</w:t>
      </w:r>
      <w:r>
        <w:rPr>
          <w:rStyle w:val="FootnoteReference"/>
          <w:noProof/>
        </w:rPr>
        <w:footnoteReference w:id="5"/>
      </w:r>
      <w:r>
        <w:rPr>
          <w:noProof/>
        </w:rPr>
        <w:t xml:space="preserve">, съгласно която Комисията предвижда да осигури по-задълбочен и по-справедлив единен пазар, който ще бъде от полза за всички заинтересовани страни. Една от целите на предложената мярка е да се смекчат допълнителните разходи, пред които са изправени дружествата в най-отдалечените региони, което възпрепятства пълноценното им участие на единния пазар. Поради ограничените обеми в случая (обемът на рома в случая представлява под 1,5 % от потреблението на алкохолни напитки във Франция) не се предвижда отрицателно въздействие върху безпрепятствената работа на единния пазар.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е член 349 от ДФЕС. Тази разпоредба дава възможност на Съвета да приеме специални разпоредби за адаптиране на прилагането на Договорите към най-отдалечените региони на ЕС.</w:t>
      </w:r>
    </w:p>
    <w:p>
      <w:pPr>
        <w:pStyle w:val="ManualHeading2"/>
        <w:rPr>
          <w:rFonts w:eastAsia="Arial Unicode MS"/>
          <w:noProof/>
          <w:u w:color="000000"/>
          <w:bdr w:val="nil"/>
        </w:rPr>
      </w:pPr>
      <w:r>
        <w:rPr>
          <w:noProof/>
          <w:u w:color="000000"/>
          <w:bdr w:val="nil"/>
        </w:rPr>
        <w:lastRenderedPageBreak/>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Единствено Съветът разполага с правомощия да приема въз основа на член 349 от ДФЕС специфични мерки с цел да адаптира прилагането на Договорите към най-отдалечените региони на ЕС, включително общите политики, поради наличието на трайни ограничения, които оказват въздействие върху икономическото и социалното положение на тези региони. Това се отнася и за разрешаването на изключения от член 110 от ДФЕС. Следователно предложението за решение на Съвета е съобразено с принципа на субсидиарността.</w:t>
      </w:r>
    </w:p>
    <w:p>
      <w:pPr>
        <w:pStyle w:val="ManualHeading2"/>
        <w:rPr>
          <w:rFonts w:eastAsia="Arial Unicode MS"/>
          <w:noProof/>
          <w:u w:color="000000"/>
          <w:bdr w:val="nil"/>
        </w:rPr>
      </w:pP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 xml:space="preserve">Настоящото предложение е съобразено с принципа на пропорционалността, определен в член 5, параграф 4 от Договора за Европейския съюз. Предложените изменения не надхвърлят необходимото за разрешаване на разглежданите въпроси и съответно за постигане на целите на Договора за осигуряване на правилната и ефективна работа на вътрешния пазар. </w:t>
      </w:r>
    </w:p>
    <w:p>
      <w:pPr>
        <w:pBdr>
          <w:top w:val="nil"/>
          <w:left w:val="nil"/>
          <w:bottom w:val="nil"/>
          <w:right w:val="nil"/>
          <w:between w:val="nil"/>
          <w:bar w:val="nil"/>
        </w:pBdr>
        <w:spacing w:before="0" w:after="240"/>
        <w:rPr>
          <w:rFonts w:eastAsia="Arial Unicode MS"/>
          <w:noProof/>
        </w:rPr>
      </w:pPr>
      <w:r>
        <w:rPr>
          <w:noProof/>
        </w:rPr>
        <w:t>Квотата от 153 000 хлча отговаря на наблюдавания през минали периоди годишен растеж на производството на ром от 2 %.</w:t>
      </w:r>
    </w:p>
    <w:p>
      <w:pPr>
        <w:pStyle w:val="ManualHeading2"/>
        <w:rPr>
          <w:rFonts w:eastAsia="Arial Unicode MS"/>
          <w:noProof/>
          <w:u w:color="000000"/>
          <w:bdr w:val="nil"/>
        </w:rPr>
      </w:pPr>
      <w:r>
        <w:rPr>
          <w:noProof/>
          <w:u w:color="000000"/>
          <w:bdr w:val="nil"/>
        </w:rPr>
        <w:t>Избор на нормативен акт</w:t>
      </w:r>
    </w:p>
    <w:p>
      <w:pPr>
        <w:pBdr>
          <w:top w:val="nil"/>
          <w:left w:val="nil"/>
          <w:bottom w:val="nil"/>
          <w:right w:val="nil"/>
          <w:between w:val="nil"/>
          <w:bar w:val="nil"/>
        </w:pBdr>
        <w:spacing w:before="0" w:after="240"/>
        <w:rPr>
          <w:noProof/>
        </w:rPr>
      </w:pPr>
      <w:r>
        <w:rPr>
          <w:noProof/>
        </w:rPr>
        <w:t>Предлага се решение на Съвета за замяна на Решение № 189/2014/ЕС на Съвета.</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 xml:space="preserve">С външното проучване се потвърди целесъобразността на режима, защото в сравнение със сходните им предприятия в континенталната част производителите от най-отдалечените региони продължават да имат по-висока себестойност на продукцията, която понастоящем се компенсира от намалението на акциза. </w:t>
      </w:r>
    </w:p>
    <w:p>
      <w:pPr>
        <w:rPr>
          <w:noProof/>
          <w:szCs w:val="24"/>
        </w:rPr>
      </w:pPr>
      <w:r>
        <w:rPr>
          <w:noProof/>
        </w:rPr>
        <w:t xml:space="preserve">Нарастването на производството на ром е довело до нарастване на търсенето на захарна тръстика и според проучването продукцията от 53 000 тона захарна тръстика се дължи на режима, като вследствие на това са били създадени 400 работни места в производствената верига захарна тръстика – захар – ром. В рамките на проучването е установено, че от финансова гледна точка разходите надвишават ползите от режима. Ромът играе важна роля в икономиките на френските най-отдалечени региони, която трябва да бъде отчетена при определянето на общата ефикасност на режима. </w:t>
      </w:r>
    </w:p>
    <w:p>
      <w:pPr>
        <w:pBdr>
          <w:top w:val="nil"/>
          <w:left w:val="nil"/>
          <w:bottom w:val="nil"/>
          <w:right w:val="nil"/>
          <w:between w:val="nil"/>
          <w:bar w:val="nil"/>
        </w:pBdr>
        <w:spacing w:before="0" w:after="240"/>
        <w:rPr>
          <w:noProof/>
        </w:rPr>
      </w:pPr>
      <w:r>
        <w:rPr>
          <w:noProof/>
        </w:rPr>
        <w:t xml:space="preserve">Въпреки спада на пазарния дял на традиционния ром от френските най-отдалечени региони, според проучването режимът като цяло е бил ефективен за запазването на достъпа до пазара на континенталната част на страната в абсолютно изражение. </w:t>
      </w:r>
    </w:p>
    <w:p>
      <w:pPr>
        <w:pBdr>
          <w:top w:val="nil"/>
          <w:left w:val="nil"/>
          <w:bottom w:val="nil"/>
          <w:right w:val="nil"/>
          <w:between w:val="nil"/>
          <w:bar w:val="nil"/>
        </w:pBdr>
        <w:spacing w:before="0" w:after="240"/>
        <w:rPr>
          <w:noProof/>
        </w:rPr>
      </w:pPr>
      <w:r>
        <w:rPr>
          <w:noProof/>
        </w:rPr>
        <w:t>Общата ефективност на режима обаче намалява заради механизма на квотата. В проучването се отбелязва също така, че общата ефикасност би могла да бъде повишена, ако се подобри рамката за наблюдението.</w:t>
      </w:r>
    </w:p>
    <w:p>
      <w:pPr>
        <w:pBdr>
          <w:top w:val="nil"/>
          <w:left w:val="nil"/>
          <w:bottom w:val="nil"/>
          <w:right w:val="nil"/>
          <w:between w:val="nil"/>
          <w:bar w:val="nil"/>
        </w:pBdr>
        <w:spacing w:before="0" w:after="240"/>
        <w:rPr>
          <w:rFonts w:eastAsia="Arial Unicode MS"/>
          <w:noProof/>
        </w:rPr>
      </w:pPr>
      <w:r>
        <w:rPr>
          <w:noProof/>
        </w:rPr>
        <w:t xml:space="preserve">Накрая, в рамките на проучването е установено, че режимът остава съобразен с другите имащи отношение политики на Съюза. </w:t>
      </w:r>
    </w:p>
    <w:p>
      <w:pPr>
        <w:pStyle w:val="ManualHeading2"/>
        <w:rPr>
          <w:rFonts w:eastAsia="Arial Unicode MS"/>
          <w:noProof/>
          <w:u w:color="000000"/>
          <w:bdr w:val="nil"/>
        </w:rPr>
      </w:pPr>
      <w:r>
        <w:rPr>
          <w:noProof/>
          <w:u w:color="000000"/>
          <w:bdr w:val="nil"/>
        </w:rPr>
        <w:lastRenderedPageBreak/>
        <w:t>Консултации със заинтересованите страни</w:t>
      </w:r>
    </w:p>
    <w:p>
      <w:pPr>
        <w:pBdr>
          <w:top w:val="nil"/>
          <w:left w:val="nil"/>
          <w:bottom w:val="nil"/>
          <w:right w:val="nil"/>
          <w:between w:val="nil"/>
          <w:bar w:val="nil"/>
        </w:pBdr>
        <w:spacing w:before="0" w:after="240"/>
        <w:rPr>
          <w:noProof/>
        </w:rPr>
      </w:pPr>
      <w:r>
        <w:rPr>
          <w:noProof/>
        </w:rPr>
        <w:t>Като част от външното проучване, извършено във връзка с анализа на сегашния режим, всички заинтересовани лица са изразили мнения чрез въпросници, събеседвания и обсъждания. В рамките на обществената консултация имаше възможност мнение да изразят по-широк кръг от заинтересовани лица, въпреки че участието бе ограничено до пет мнения от граждани на ЕС, две от икономически оператори, едно от неправителствена организация, едно от профсъюзна организация и едно от стопанско сдружение (общо десет).</w:t>
      </w:r>
    </w:p>
    <w:p>
      <w:pPr>
        <w:pStyle w:val="ManualHeading2"/>
        <w:rPr>
          <w:rFonts w:eastAsia="Arial Unicode MS"/>
          <w:noProof/>
          <w:u w:color="000000"/>
          <w:bdr w:val="nil"/>
        </w:rPr>
      </w:pP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Тази инициатива е подготвена като успоредна процедура: последваща оценка на настоящия режим, следвана непосредствено от прогнозна оценка. Такава оценка на потенциалните въздействия от продължаването и евентуалното изменение на съществуващия режим е направена в аналитичен документ, включващ приложение за оценка. Този документ се основава на външно проучване и на информацията, предоставена от държавата членка.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не оказва въздействие върху бюджета на Европейския съюз, тъй като приходите от акцизи са изцяло за държавите членки.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наблюдение, оценяване и докладване</w:t>
      </w:r>
    </w:p>
    <w:p>
      <w:pPr>
        <w:pBdr>
          <w:top w:val="nil"/>
          <w:left w:val="nil"/>
          <w:bottom w:val="nil"/>
          <w:right w:val="nil"/>
          <w:between w:val="nil"/>
          <w:bar w:val="nil"/>
        </w:pBdr>
        <w:spacing w:before="0" w:after="240"/>
        <w:rPr>
          <w:noProof/>
        </w:rPr>
      </w:pPr>
      <w:r>
        <w:rPr>
          <w:noProof/>
        </w:rPr>
        <w:t xml:space="preserve">Както досега, наблюдението на прилагането и действието на изключението ще бъде задача на френските власти и на Комисията. </w:t>
      </w:r>
    </w:p>
    <w:p>
      <w:pPr>
        <w:pBdr>
          <w:top w:val="nil"/>
          <w:left w:val="nil"/>
          <w:bottom w:val="nil"/>
          <w:right w:val="nil"/>
          <w:between w:val="nil"/>
          <w:bar w:val="nil"/>
        </w:pBdr>
        <w:spacing w:before="0" w:after="240"/>
        <w:rPr>
          <w:noProof/>
        </w:rPr>
      </w:pPr>
      <w:r>
        <w:rPr>
          <w:noProof/>
        </w:rPr>
        <w:t xml:space="preserve">Франция ще трябва до 30 септември 2025 г. да представи доклад за наблюдението за периода от 2019 г. до 2024 г. Този доклад ще включва следното: </w:t>
      </w:r>
    </w:p>
    <w:p>
      <w:pPr>
        <w:pStyle w:val="Bullet0"/>
        <w:numPr>
          <w:ilvl w:val="0"/>
          <w:numId w:val="6"/>
        </w:numPr>
        <w:rPr>
          <w:noProof/>
        </w:rPr>
      </w:pPr>
      <w:r>
        <w:rPr>
          <w:noProof/>
        </w:rPr>
        <w:t>информация за допълнителните разходи, свързани с производството</w:t>
      </w:r>
    </w:p>
    <w:p>
      <w:pPr>
        <w:pStyle w:val="Bullet0"/>
        <w:rPr>
          <w:noProof/>
        </w:rPr>
      </w:pPr>
      <w:r>
        <w:rPr>
          <w:noProof/>
        </w:rPr>
        <w:t xml:space="preserve">икономически изкривявания и пазарни въздействия </w:t>
      </w:r>
    </w:p>
    <w:p>
      <w:pPr>
        <w:pStyle w:val="Bullet0"/>
        <w:rPr>
          <w:noProof/>
        </w:rPr>
      </w:pPr>
      <w:r>
        <w:rPr>
          <w:noProof/>
        </w:rPr>
        <w:t xml:space="preserve">информация за оценка на ефективността, ефикасността и съгласуваността с други политики на ЕС </w:t>
      </w:r>
    </w:p>
    <w:p>
      <w:pPr>
        <w:pStyle w:val="Bullet0"/>
        <w:rPr>
          <w:noProof/>
        </w:rPr>
      </w:pPr>
      <w:r>
        <w:rPr>
          <w:noProof/>
        </w:rPr>
        <w:t xml:space="preserve">информация за запазването на целесъобразността на новия законодателен акт и за добавената стойност от ЕС. </w:t>
      </w:r>
    </w:p>
    <w:p>
      <w:pPr>
        <w:pBdr>
          <w:top w:val="nil"/>
          <w:left w:val="nil"/>
          <w:bottom w:val="nil"/>
          <w:right w:val="nil"/>
          <w:between w:val="nil"/>
          <w:bar w:val="nil"/>
        </w:pBdr>
        <w:spacing w:before="0" w:after="240"/>
        <w:rPr>
          <w:noProof/>
        </w:rPr>
      </w:pPr>
      <w:r>
        <w:rPr>
          <w:noProof/>
        </w:rPr>
        <w:t>Процедурата по докладване следва също така да има за цел събиране на информация от всички заинтересовани страни по отношение на равнището и изменението на техните допълнителни производствени разходи, разходите за спазване на изискванията и всички случаи на изкривяване на пазара.</w:t>
      </w:r>
    </w:p>
    <w:p>
      <w:pPr>
        <w:pBdr>
          <w:top w:val="nil"/>
          <w:left w:val="nil"/>
          <w:bottom w:val="nil"/>
          <w:right w:val="nil"/>
          <w:between w:val="nil"/>
          <w:bar w:val="nil"/>
        </w:pBdr>
        <w:spacing w:before="0" w:after="240"/>
        <w:rPr>
          <w:noProof/>
        </w:rPr>
      </w:pPr>
      <w:r>
        <w:rPr>
          <w:noProof/>
        </w:rPr>
        <w:t xml:space="preserve">За да се гарантира, че информацията, събрана от френските власти, съдържа необходимите данни, за да може Комисията да вземе информирано решение относно основателността и жизнеспособността на схемата в бъдеще, Комисията ще изготви конкретни насоки относно изискваната информация. Доколкото е възможно, тези </w:t>
      </w:r>
      <w:r>
        <w:rPr>
          <w:noProof/>
        </w:rPr>
        <w:lastRenderedPageBreak/>
        <w:t>насоки ще са приложими и за други подобни схеми за най-отдалечените региони на ЕС, уредени от подобно законодателство.</w:t>
      </w:r>
    </w:p>
    <w:p>
      <w:pPr>
        <w:pBdr>
          <w:top w:val="nil"/>
          <w:left w:val="nil"/>
          <w:bottom w:val="nil"/>
          <w:right w:val="nil"/>
          <w:between w:val="nil"/>
          <w:bar w:val="nil"/>
        </w:pBdr>
        <w:spacing w:before="0" w:after="240"/>
        <w:rPr>
          <w:noProof/>
        </w:rPr>
      </w:pPr>
      <w:r>
        <w:rPr>
          <w:noProof/>
        </w:rPr>
        <w:t>Това ще даде възможност на Комисията да прецени дали основанията за изключението все още съществуват, дали предоставеното от Франция фискално облекчение все още е пропорционално и дали са възможни други мерки вместо изключението от данъчното законодателство, като се отчита тяхното международно измерение.</w:t>
      </w:r>
    </w:p>
    <w:p>
      <w:pPr>
        <w:pBdr>
          <w:top w:val="nil"/>
          <w:left w:val="nil"/>
          <w:bottom w:val="nil"/>
          <w:right w:val="nil"/>
          <w:between w:val="nil"/>
          <w:bar w:val="nil"/>
        </w:pBdr>
        <w:spacing w:before="0" w:after="240"/>
        <w:rPr>
          <w:rFonts w:eastAsia="Arial Unicode MS"/>
          <w:noProof/>
        </w:rPr>
      </w:pPr>
      <w:r>
        <w:rPr>
          <w:noProof/>
        </w:rPr>
        <w:t xml:space="preserve">Структурата и данните, изисквани в доклада за наблюдението, са представени в приложение 1 към предложението. </w:t>
      </w:r>
    </w:p>
    <w:p>
      <w:pPr>
        <w:pStyle w:val="Text1"/>
        <w:rPr>
          <w:noProof/>
          <w:lang w:eastAsia="en-GB"/>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rStyle w:val="None"/>
          <w:noProof/>
        </w:rPr>
      </w:pPr>
      <w:r>
        <w:rPr>
          <w:noProof/>
        </w:rPr>
        <w:lastRenderedPageBreak/>
        <w:t>2020/0150 (CNS)</w:t>
      </w:r>
    </w:p>
    <w:p>
      <w:pPr>
        <w:pStyle w:val="Statut"/>
        <w:rPr>
          <w:rStyle w:val="None"/>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предоставяне на разрешение на Франция да прилага намалена ставка на някои косвени данъци върху „традиционния“ ром, произвеждан в Гваделупа, Френска Гвиана, Мартиника и Реюнион</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349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6"/>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С Решение № 189/2014/ЕС на Съвета</w:t>
      </w:r>
      <w:r>
        <w:rPr>
          <w:rStyle w:val="FootnoteReference"/>
          <w:noProof/>
        </w:rPr>
        <w:footnoteReference w:id="7"/>
      </w:r>
      <w:r>
        <w:rPr>
          <w:noProof/>
        </w:rPr>
        <w:t xml:space="preserve"> на Франция се разрешава по отношение на „традиционния“ ром, произвеждан в Гваделупа, Френска Гвиана, Мартиника и Реюнион и продаван в континентална Франция, да прилага намалена ставка на акциза, която може да бъде под минималната ставка на акциза, определена в Директива 92/84/ЕИО на Съвета, но не може да бъде по-ниска с повече от 50 % от стандартната национална ставка на акциза върху алкохола. Прилагането на намалената ставка на акциза се ограничава до годишна квота от 144 000 хектолитра чист алкохол. Срокът на действие на изключението изтича на 31 декември 2020 г.</w:t>
      </w:r>
    </w:p>
    <w:p>
      <w:pPr>
        <w:pStyle w:val="ManualConsidrant"/>
        <w:rPr>
          <w:noProof/>
        </w:rPr>
      </w:pPr>
      <w:r>
        <w:t>(2)</w:t>
      </w:r>
      <w:r>
        <w:tab/>
      </w:r>
      <w:r>
        <w:rPr>
          <w:noProof/>
        </w:rPr>
        <w:t xml:space="preserve">На 18 октомври 2019 г. френските власти поискаха от Комисията да представи предложение за решение на Съвета за удължаване на срока на разрешението, предоставено с Решение № 189/2014/ЕС, с по-голяма квота, за нов седемгодишен срок – от 1 януари 2021 г. до 31 декември 2027 г. </w:t>
      </w:r>
    </w:p>
    <w:p>
      <w:pPr>
        <w:pStyle w:val="ManualConsidrant"/>
        <w:rPr>
          <w:noProof/>
        </w:rPr>
      </w:pPr>
      <w:r>
        <w:t>(3)</w:t>
      </w:r>
      <w:r>
        <w:tab/>
      </w:r>
      <w:r>
        <w:rPr>
          <w:noProof/>
        </w:rPr>
        <w:t>Поради малкия размер на местния пазар дестилериите в четирите най-отдалечени региона, за които се отнася това разрешение, могат да развиват дейността си само ако имат достатъчен достъп до пазара на континентална Франция, който е основен пазар за произвеждания от тях ром (65 % от рома). „Традиционният“ ром трудно може да се конкурира на пазара на Съюза по две причини: по-висока себестойност и по-високи данъци на бутилка, тъй като „традиционният“ ром обикновено се предлага с по-високо алкохолно съдържание и в по-големи бутилки.</w:t>
      </w:r>
    </w:p>
    <w:p>
      <w:pPr>
        <w:pStyle w:val="ManualConsidrant"/>
        <w:rPr>
          <w:noProof/>
        </w:rPr>
      </w:pPr>
      <w:r>
        <w:t>(4)</w:t>
      </w:r>
      <w:r>
        <w:tab/>
      </w:r>
      <w:r>
        <w:rPr>
          <w:noProof/>
        </w:rPr>
        <w:t xml:space="preserve">Производствените разходи по веригата захарна тръстика–захар–ром в тези четири най-отдалечени региона са по-високи, отколкото в други региони на </w:t>
      </w:r>
      <w:r>
        <w:rPr>
          <w:noProof/>
        </w:rPr>
        <w:lastRenderedPageBreak/>
        <w:t xml:space="preserve">света. В частност, отдалечеността и неблагоприятният им релеф и климат оказват значително въздействие върху разходите за съставките и за производствения процес. Освен това разходите за труд са по-високи в сравнение със съседните държави, защото в Гваделупа, Френска Гвиана, Мартиника и Реюнион се прилага френското социално законодателство. Тези най-отдалечени региони спазват също така стандартите на Съюза по отношение на околната среда и безопасността, изискващи значителни инвестиции и разходи, които макар и отчасти съфинансирани по линия на структурните фондове на Съюза, не са пряко свързани с производителността. Освен това дестилериите в тези най-отдалечени региони са по-малки от дестилериите на международните групи. Това води до по-висока себестойност на единица продукция. </w:t>
      </w:r>
    </w:p>
    <w:p>
      <w:pPr>
        <w:pStyle w:val="ManualConsidrant"/>
        <w:rPr>
          <w:noProof/>
        </w:rPr>
      </w:pPr>
      <w:r>
        <w:t>(5)</w:t>
      </w:r>
      <w:r>
        <w:tab/>
      </w:r>
      <w:r>
        <w:rPr>
          <w:noProof/>
        </w:rPr>
        <w:t>В континентална Франция „традиционният“ ром обикновено се предлага в по-големи бутилки (36 % от рома се продава в бутилки от 1 литър) и с по-високо алкохолно съдържание (между 40° и 59°) от конкурентните напитки с ром, които обикновено се предлагат в бутилки от 0,7 литра и с алкохолно съдържание 37,5°. По-високите нива на алкохолно съдържание от своя страна водят до по-високи акцизи, по-висок налог „vignette sécurité sociale – VSS“, както и по-висок данък върху добавената стойност (ДДС) на литър продаден ром. По този начин намалената ставка на акциза, която не е с повече от 50 % по-ниска от стандартната национална ставка на акциза върху алкохола, остава пропорционална на съвкупните допълнителни разходи, дължащи се на по-високата себестойност и по-високия акциз, VSS и ДДС.</w:t>
      </w:r>
    </w:p>
    <w:p>
      <w:pPr>
        <w:pStyle w:val="ManualConsidrant"/>
        <w:rPr>
          <w:noProof/>
        </w:rPr>
      </w:pPr>
      <w:r>
        <w:t>(6)</w:t>
      </w:r>
      <w:r>
        <w:tab/>
      </w:r>
      <w:r>
        <w:rPr>
          <w:noProof/>
        </w:rPr>
        <w:t>Поради това следва да бъдат отчетени и допълнителните разходи, произтичащи от дългогодишната пазарна практика „традиционният“ ром да бъде продаван с по-високо алкохолно съдържание и следователно да бъде облаган с по-високи данъци.</w:t>
      </w:r>
    </w:p>
    <w:p>
      <w:pPr>
        <w:pStyle w:val="ManualConsidrant"/>
        <w:rPr>
          <w:noProof/>
        </w:rPr>
      </w:pPr>
      <w:r>
        <w:t>(7)</w:t>
      </w:r>
      <w:r>
        <w:tab/>
      </w:r>
      <w:r>
        <w:rPr>
          <w:noProof/>
        </w:rPr>
        <w:t xml:space="preserve">За да бъде разрешено фискално облекчение, обхващащо както хармонизираните ставки на акцизите, така и VSS, то следва да бъде пропорционално, така че да не нарушава целостта и съгласуваността на правния ред на Съюза, включително защитата на конкуренцията без нарушения на вътрешния пазар и в рамките на политиките за държавните помощи. </w:t>
      </w:r>
    </w:p>
    <w:p>
      <w:pPr>
        <w:pStyle w:val="ManualConsidrant"/>
        <w:rPr>
          <w:noProof/>
        </w:rPr>
      </w:pPr>
      <w:r>
        <w:t>(8)</w:t>
      </w:r>
      <w:r>
        <w:tab/>
      </w:r>
      <w:r>
        <w:rPr>
          <w:noProof/>
        </w:rPr>
        <w:t xml:space="preserve">Досега фискалното облекчение не е оказало въздействие върху единния пазар, защото пазарният дял на традиционния ром е намалял с 11 % през последните години поради нарастващата конкуренция от страна на алкохолни напитки, съдържащи ром. </w:t>
      </w:r>
    </w:p>
    <w:p>
      <w:pPr>
        <w:pStyle w:val="ManualConsidrant"/>
        <w:rPr>
          <w:noProof/>
        </w:rPr>
      </w:pPr>
      <w:r>
        <w:t>(9)</w:t>
      </w:r>
      <w:r>
        <w:tab/>
      </w:r>
      <w:r>
        <w:rPr>
          <w:noProof/>
        </w:rPr>
        <w:t xml:space="preserve">За да се избегне съществено ограничаване на икономическото развитие на френските най-отдалечени региони и да се обезпечи продължаването на производството на захарна тръстика, захар и ром и осигуряваната от него заетост в тези региони, е необходимо годишната квота съгласно разрешението по Решение № 189/2014/ЕС да бъде подновена и увеличена. </w:t>
      </w:r>
    </w:p>
    <w:p>
      <w:pPr>
        <w:pStyle w:val="ManualConsidrant"/>
        <w:rPr>
          <w:noProof/>
        </w:rPr>
      </w:pPr>
      <w:r>
        <w:t>(10)</w:t>
      </w:r>
      <w:r>
        <w:tab/>
      </w:r>
      <w:r>
        <w:rPr>
          <w:noProof/>
        </w:rPr>
        <w:t>За да се гарантира, че настоящото решение не вреди на единния пазар, количеството на рома с произход от отвъдморските департаменти, което отговаря на условията за тази мярка, следва да бъде определено на 153 000 хектолитра чист алкохол годишно.</w:t>
      </w:r>
    </w:p>
    <w:p>
      <w:pPr>
        <w:pStyle w:val="ManualConsidrant"/>
        <w:rPr>
          <w:noProof/>
        </w:rPr>
      </w:pPr>
      <w:r>
        <w:t>(11)</w:t>
      </w:r>
      <w:r>
        <w:tab/>
      </w:r>
      <w:r>
        <w:rPr>
          <w:noProof/>
        </w:rPr>
        <w:t xml:space="preserve">Тъй като данъчното облекчение не надхвърля необходимото за компенсиране на допълнителните разходи и тъй като въпросните количества са сравнително малки, а данъчното облекчение е ограничено до потреблението в континентална </w:t>
      </w:r>
      <w:r>
        <w:rPr>
          <w:noProof/>
        </w:rPr>
        <w:lastRenderedPageBreak/>
        <w:t>Франция, мярката не нарушава целостта и съгласуваността на правния ред на Съюза.</w:t>
      </w:r>
    </w:p>
    <w:p>
      <w:pPr>
        <w:pStyle w:val="ManualConsidrant"/>
        <w:rPr>
          <w:noProof/>
        </w:rPr>
      </w:pPr>
      <w:r>
        <w:t>(12)</w:t>
      </w:r>
      <w:r>
        <w:tab/>
      </w:r>
      <w:r>
        <w:rPr>
          <w:noProof/>
        </w:rPr>
        <w:t>За да може Комисията да прецени дали условията, обосноваващи разрешението, все още са изпълнени, до 30 септември 2025 г. френските власти следва да представят на Комисията доклад за наблюдението.</w:t>
      </w:r>
    </w:p>
    <w:p>
      <w:pPr>
        <w:pStyle w:val="ManualConsidrant"/>
        <w:rPr>
          <w:noProof/>
        </w:rPr>
      </w:pPr>
      <w:r>
        <w:t>(13)</w:t>
      </w:r>
      <w:r>
        <w:tab/>
      </w:r>
      <w:r>
        <w:rPr>
          <w:noProof/>
        </w:rPr>
        <w:t>Настоящото решение не засяга възможното прилагане на членове 107 и 108 от ДФЕС,</w:t>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Като изключение от член 110 от Договора на Франция се разрешава по отношение на „традиционния“ ром, произвеждан в Гваделупа, Френска Гвиана, Мартиника и Реюнион, да удължи прилагането в своята континентална част на ставка на акциза, която е по-ниска от пълната ставка на акциза върху алкохола, определена в член 3 от Директива 92/84/ЕИО</w:t>
      </w:r>
      <w:r>
        <w:rPr>
          <w:rStyle w:val="FootnoteReference"/>
          <w:rFonts w:eastAsia="Times New Roman"/>
          <w:noProof/>
          <w:szCs w:val="20"/>
          <w:lang w:eastAsia="fr-FR"/>
        </w:rPr>
        <w:footnoteReference w:id="8"/>
      </w:r>
      <w:r>
        <w:rPr>
          <w:noProof/>
        </w:rPr>
        <w:t xml:space="preserve">, и на ставка на налога, наречен „cotisation sur les boissons alcooliques (VSS)“, по-ниска от пълната ставка, която би била приложима в съответствие с националното законодателство. </w:t>
      </w:r>
    </w:p>
    <w:p>
      <w:pPr>
        <w:pStyle w:val="Titrearticle"/>
        <w:rPr>
          <w:noProof/>
        </w:rPr>
      </w:pPr>
      <w:r>
        <w:rPr>
          <w:noProof/>
        </w:rPr>
        <w:t>Член 2</w:t>
      </w:r>
    </w:p>
    <w:p>
      <w:pPr>
        <w:rPr>
          <w:noProof/>
        </w:rPr>
      </w:pPr>
      <w:r>
        <w:rPr>
          <w:noProof/>
        </w:rPr>
        <w:t>Изключението по член 1 се прилага за рома – съгласно определението в точка 1, буква е) от приложение ІІ към Регламент (ЕО) № 110/2008 на Европейския парламент и на Съвета</w:t>
      </w:r>
      <w:r>
        <w:rPr>
          <w:rStyle w:val="FootnoteReference"/>
          <w:noProof/>
        </w:rPr>
        <w:footnoteReference w:id="9"/>
      </w:r>
      <w:r>
        <w:rPr>
          <w:noProof/>
        </w:rPr>
        <w:t xml:space="preserve"> до 24 май 2021 г. и за рома съгласно определението в точка 1, буква ж), подточка i) от приложение І към Регламент (ЕС) 2019/787 на Европейския парламент и на Съвета</w:t>
      </w:r>
      <w:r>
        <w:rPr>
          <w:rStyle w:val="FootnoteReference"/>
          <w:noProof/>
        </w:rPr>
        <w:footnoteReference w:id="10"/>
      </w:r>
      <w:r>
        <w:rPr>
          <w:noProof/>
        </w:rPr>
        <w:t xml:space="preserve"> от 25 май 2021 г. нататък – който се произвежда в Гваделупа, Френска Гвиана, Мартиника и Реюнион от захарна тръстика, събрана на мястото на производството, и който е със съдържание на летливи вещества, различни от етилов и метилов алкохол, равняващо се или надвишаващо 225 грама на хектолитър чист алкохол, и с алкохолно съдържание по обем 40 % или повече.</w:t>
      </w:r>
    </w:p>
    <w:p>
      <w:pPr>
        <w:pStyle w:val="Titrearticle"/>
        <w:rPr>
          <w:noProof/>
        </w:rPr>
      </w:pPr>
      <w:r>
        <w:rPr>
          <w:noProof/>
        </w:rPr>
        <w:t>Член 3</w:t>
      </w:r>
    </w:p>
    <w:p>
      <w:pPr>
        <w:pStyle w:val="Point0"/>
        <w:rPr>
          <w:noProof/>
        </w:rPr>
      </w:pPr>
      <w:r>
        <w:t>(1)</w:t>
      </w:r>
      <w:r>
        <w:tab/>
      </w:r>
      <w:r>
        <w:rPr>
          <w:noProof/>
        </w:rPr>
        <w:t>Намалените ставки на акциза и VSS по член 1 от настоящото решение, които се прилагат за рома по член 2 от настоящото решение, се ограничават в рамките на годишна квота от 153 000 хектолитра чист алкохол.</w:t>
      </w:r>
    </w:p>
    <w:p>
      <w:pPr>
        <w:rPr>
          <w:noProof/>
        </w:rPr>
      </w:pPr>
    </w:p>
    <w:p>
      <w:pPr>
        <w:pStyle w:val="Point0"/>
        <w:rPr>
          <w:noProof/>
        </w:rPr>
      </w:pPr>
      <w:r>
        <w:t>(2)</w:t>
      </w:r>
      <w:r>
        <w:tab/>
      </w:r>
      <w:r>
        <w:rPr>
          <w:noProof/>
        </w:rPr>
        <w:t>Всяка от намалените ставки на акциза и VSS по член 1 от настоящото решение може да бъде по-ниска от минималната ставка на акциза върху алкохола, определена в Директива 92/84/ЕИО, но не може да бъде по-ниска с повече от 50 % от пълната ставка на акциза върху алкохола, определена съгласно член 3 от Директива 92/84/ЕИО, или от пълната ставка на VSS върху алкохола.</w:t>
      </w:r>
    </w:p>
    <w:p>
      <w:pPr>
        <w:rPr>
          <w:noProof/>
        </w:rPr>
      </w:pPr>
    </w:p>
    <w:p>
      <w:pPr>
        <w:pStyle w:val="Point0"/>
        <w:rPr>
          <w:noProof/>
        </w:rPr>
      </w:pPr>
      <w:r>
        <w:t>(3)</w:t>
      </w:r>
      <w:r>
        <w:tab/>
      </w:r>
      <w:r>
        <w:rPr>
          <w:noProof/>
        </w:rPr>
        <w:t xml:space="preserve">Съвкупното фискално облекчение, разрешено в съответствие с параграф 2 от настоящия член, не може да надхвърля 50 % от пълната ставка на акциза върху алкохола, определена съгласно член 3 от Директива 92/84/ЕИО. </w:t>
      </w:r>
    </w:p>
    <w:p>
      <w:pPr>
        <w:pStyle w:val="Titrearticle"/>
        <w:rPr>
          <w:noProof/>
        </w:rPr>
      </w:pPr>
      <w:r>
        <w:rPr>
          <w:noProof/>
        </w:rPr>
        <w:t>Член 4</w:t>
      </w:r>
    </w:p>
    <w:p>
      <w:pPr>
        <w:rPr>
          <w:noProof/>
        </w:rPr>
      </w:pPr>
      <w:r>
        <w:rPr>
          <w:noProof/>
        </w:rPr>
        <w:t>До 30 септември 2025 г. Франция представя на Комисията доклад за наблюдението, за да ѝ даде възможност да прецени дали все още са изпълнени условията, обосноваващи разрешението по член 1. Докладът съдържа информацията, изисквана в приложението.</w:t>
      </w:r>
    </w:p>
    <w:p>
      <w:pPr>
        <w:pStyle w:val="Titrearticle"/>
        <w:rPr>
          <w:noProof/>
        </w:rPr>
      </w:pPr>
      <w:r>
        <w:rPr>
          <w:noProof/>
        </w:rPr>
        <w:t>Член 5</w:t>
      </w:r>
    </w:p>
    <w:p>
      <w:pPr>
        <w:rPr>
          <w:noProof/>
        </w:rPr>
      </w:pPr>
      <w:r>
        <w:rPr>
          <w:noProof/>
        </w:rPr>
        <w:t>Настоящото решение се прилага от 1 януари 2021 г. до 31 декември 2027 г.</w:t>
      </w:r>
    </w:p>
    <w:p>
      <w:pPr>
        <w:pStyle w:val="Titrearticle"/>
        <w:rPr>
          <w:noProof/>
        </w:rPr>
      </w:pPr>
      <w:r>
        <w:rPr>
          <w:noProof/>
        </w:rPr>
        <w:t>Член 6</w:t>
      </w:r>
    </w:p>
    <w:p>
      <w:pPr>
        <w:rPr>
          <w:noProof/>
        </w:rPr>
      </w:pPr>
      <w:r>
        <w:rPr>
          <w:noProof/>
        </w:rPr>
        <w:t>Адресат на настоящото решение е Френската република.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ОВ L 59, 28.2.2014 г., стр. 1.</w:t>
      </w:r>
    </w:p>
  </w:footnote>
  <w:footnote w:id="2">
    <w:p>
      <w:pPr>
        <w:pStyle w:val="FootnoteText"/>
      </w:pPr>
      <w:r>
        <w:rPr>
          <w:rStyle w:val="FootnoteReference"/>
        </w:rPr>
        <w:footnoteRef/>
      </w:r>
      <w:r>
        <w:tab/>
        <w:t>Тези косвени данъци са акцизите и един особен налог, наречен „vignette sécurité sociale – VSS“. Акцизите представляват косвени данъци върху продажбата или използването на определени продукти, като алкохол и тютюневи изделия, и обикновено се налагат под формата на определена сума на количество продукт. Всички приходи от акцизи се получават изцяло от държавите членки. VSS е социалноосигурителна вноска, събирана върху продаваните във Франция алкохолни напитки с цел противодействие на рисковете от прекомерното потребление на етилов алкохол. Тя се събира като допълнение спрямо националния акциз.</w:t>
      </w:r>
    </w:p>
  </w:footnote>
  <w:footnote w:id="3">
    <w:p>
      <w:pPr>
        <w:pStyle w:val="FootnoteText"/>
      </w:pPr>
      <w:r>
        <w:rPr>
          <w:rStyle w:val="FootnoteReference"/>
        </w:rPr>
        <w:footnoteRef/>
      </w:r>
      <w:r>
        <w:tab/>
        <w:t>СОМ(2017) 623 final.</w:t>
      </w:r>
    </w:p>
  </w:footnote>
  <w:footnote w:id="4">
    <w:p>
      <w:pPr>
        <w:pStyle w:val="FootnoteText"/>
      </w:pPr>
      <w:r>
        <w:rPr>
          <w:rStyle w:val="FootnoteReference"/>
        </w:rPr>
        <w:footnoteRef/>
      </w:r>
      <w:r>
        <w:tab/>
        <w:t>Регламент (ЕС) № 228/2013 на Европейския парламент и на Съвета от 13 март 2013 г.</w:t>
      </w:r>
    </w:p>
  </w:footnote>
  <w:footnote w:id="5">
    <w:p>
      <w:pPr>
        <w:pStyle w:val="FootnoteText"/>
      </w:pPr>
      <w:r>
        <w:rPr>
          <w:rStyle w:val="FootnoteReference"/>
        </w:rPr>
        <w:footnoteRef/>
      </w:r>
      <w:r>
        <w:tab/>
        <w:t>Съобщение на Комисията до Европейския парламент, Съвета, Европейския</w:t>
      </w:r>
    </w:p>
    <w:p>
      <w:pPr>
        <w:pStyle w:val="FootnoteText"/>
      </w:pPr>
      <w:r>
        <w:tab/>
        <w:t>икономически и социален комитет и Комитета на регионите: „Осъвременяване на единния пазар: повече</w:t>
      </w:r>
      <w:r>
        <w:rPr>
          <w:lang w:val="ru-RU"/>
        </w:rPr>
        <w:t xml:space="preserve"> </w:t>
      </w:r>
      <w:r>
        <w:t>възможности за гражданите и предприятията (COM(2015) 550 final), стр. 4.</w:t>
      </w:r>
    </w:p>
  </w:footnote>
  <w:footnote w:id="6">
    <w:p>
      <w:pPr>
        <w:pStyle w:val="FootnoteText"/>
      </w:pPr>
      <w:r>
        <w:rPr>
          <w:rStyle w:val="FootnoteReference"/>
        </w:rPr>
        <w:footnoteRef/>
      </w:r>
      <w:r>
        <w:tab/>
        <w:t>ОВ C XXX, XXX, стр. XXX.</w:t>
      </w:r>
    </w:p>
  </w:footnote>
  <w:footnote w:id="7">
    <w:p>
      <w:pPr>
        <w:pStyle w:val="FootnoteText"/>
        <w:ind w:left="0" w:firstLine="0"/>
      </w:pPr>
      <w:r>
        <w:rPr>
          <w:rStyle w:val="FootnoteReference"/>
        </w:rPr>
        <w:footnoteRef/>
      </w:r>
      <w:r>
        <w:tab/>
      </w:r>
      <w:hyperlink r:id="rId1" w:history="1">
        <w:r>
          <w:rPr>
            <w:rStyle w:val="Hyperlink0"/>
          </w:rPr>
          <w:t>https://eur-lex.europa.eu/legal-content/BG/TXT/?qid=1594280274090&amp;uri=CELEX%3A32014D0189</w:t>
        </w:r>
      </w:hyperlink>
    </w:p>
  </w:footnote>
  <w:footnote w:id="8">
    <w:p>
      <w:pPr>
        <w:pStyle w:val="FootnoteText"/>
      </w:pPr>
      <w:r>
        <w:rPr>
          <w:rStyle w:val="FootnoteReference"/>
        </w:rPr>
        <w:footnoteRef/>
      </w:r>
      <w:r>
        <w:tab/>
        <w:t>Директива 92/84/ЕИО на Съвета от 19 октомври 1992 г. относно сближаването на акцизните ставки на алкохола и алкохолните напитки (ОВ L 316, 31.10.1992 г., стр. 29).</w:t>
      </w:r>
    </w:p>
  </w:footnote>
  <w:footnote w:id="9">
    <w:p>
      <w:pPr>
        <w:pStyle w:val="FootnoteText"/>
      </w:pPr>
      <w:r>
        <w:rPr>
          <w:rStyle w:val="FootnoteReference"/>
        </w:rPr>
        <w:footnoteRef/>
      </w:r>
      <w:r>
        <w:tab/>
        <w:t>Регламент (ЕО) № 110/2008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 (OВ L 39, 13.2.2008 г., стр. 16).</w:t>
      </w:r>
    </w:p>
  </w:footnote>
  <w:footnote w:id="10">
    <w:p>
      <w:pPr>
        <w:pStyle w:val="FootnoteText"/>
      </w:pPr>
      <w:r>
        <w:rPr>
          <w:rStyle w:val="FootnoteReference"/>
        </w:rPr>
        <w:footnoteRef/>
      </w:r>
      <w:r>
        <w:tab/>
      </w:r>
      <w:r>
        <w:rPr>
          <w:color w:val="444444"/>
          <w:shd w:val="clear" w:color="auto" w:fill="FFFFFF"/>
        </w:rPr>
        <w:t>Регламент (ЕС) 2019/787 на Европейския парламент и на Съвета от 17 април 2019 г. за определението, описанието, представянето и етикетирането на спиртни напитки, за използването на наименованията на спиртните напитки при представянето и етикетирането на други храни, за защитата на географските указания на спиртни напитки, за използването на етилов алкохол и дестилати от земеделски произход в алкохолните напитки и за отмяна на Регламент (ЕС) № 110/2008 (ОВ L 130, 17.5.2019 г., стр.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DCBF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9688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561B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DC66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8643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2CCC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DCFDF6"/>
    <w:lvl w:ilvl="0">
      <w:start w:val="1"/>
      <w:numFmt w:val="decimal"/>
      <w:pStyle w:val="ListNumber"/>
      <w:lvlText w:val="%1."/>
      <w:lvlJc w:val="left"/>
      <w:pPr>
        <w:tabs>
          <w:tab w:val="num" w:pos="360"/>
        </w:tabs>
        <w:ind w:left="360" w:hanging="360"/>
      </w:pPr>
    </w:lvl>
  </w:abstractNum>
  <w:abstractNum w:abstractNumId="7">
    <w:nsid w:val="FFFFFF89"/>
    <w:multiLevelType w:val="singleLevel"/>
    <w:tmpl w:val="B6CE79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nsid w:val="7E21044F"/>
    <w:multiLevelType w:val="hybridMultilevel"/>
    <w:tmpl w:val="E55E0782"/>
    <w:styleLink w:val="ImportedStyle3"/>
    <w:lvl w:ilvl="0" w:tplc="87AC4916">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383CA9A2">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3CBC6C58">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D438F9F2">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6CDEF416">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8036312A">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A6385710">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9370ABE2">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A252A550">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7"/>
  </w:num>
  <w:num w:numId="3">
    <w:abstractNumId w:val="5"/>
  </w:num>
  <w:num w:numId="4">
    <w:abstractNumId w:val="4"/>
  </w:num>
  <w:num w:numId="5">
    <w:abstractNumId w:val="3"/>
  </w:num>
  <w:num w:numId="6">
    <w:abstractNumId w:val="14"/>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6 13:46: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261EB49-EF7A-4388-8204-1C29618DFEF5"/>
    <w:docVar w:name="LW_COVERPAGE_TYPE" w:val="1"/>
    <w:docVar w:name="LW_CROSSREFERENCE" w:val="{SWD(2020) 141 final}"/>
    <w:docVar w:name="LW_DocType" w:val="COM"/>
    <w:docVar w:name="LW_EMISSION" w:val="24.7.2020"/>
    <w:docVar w:name="LW_EMISSION_ISODATE" w:val="2020-07-2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50"/>
    <w:docVar w:name="LW_REF.II.NEW.CP_YEAR" w:val="2020"/>
    <w:docVar w:name="LW_REF.INST.NEW" w:val="COM"/>
    <w:docVar w:name="LW_REF.INST.NEW_ADOPTED" w:val="final"/>
    <w:docVar w:name="LW_REF.INST.NEW_TEXT" w:val="(2020)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60?\u1088?\u1072?\u1085?\u1094?\u1080?\u1103? \u1076?\u1072? \u1087?\u1088?\u1080?\u1083?\u1072?\u1075?\u1072? \u1085?\u1072?\u1084?\u1072?\u1083?\u1077?\u1085?\u1072? \u1089?\u1090?\u1072?\u1074?\u1082?\u1072? \u1085?\u1072? \u1085?\u1103?\u1082?\u1086?\u1080? \u1082?\u1086?\u1089?\u1074?\u1077?\u1085?\u1080? \u1076?\u1072?\u1085?\u1098?\u1094?\u1080? \u1074?\u1098?\u1088?\u1093?\u1091? \u8222?\u1090?\u1088?\u1072?\u1076?\u1080?\u1094?\u1080?\u1086?\u1085?\u1085?\u1080?\u1103?\u8220? \u1088?\u1086?\u1084?, \u1087?\u1088?\u1086?\u1080?\u1079?\u1074?\u1077?\u1078?\u1076?\u1072?\u1085? \u1074? \u1043?\u1074?\u1072?\u1076?\u1077?\u1083?\u1091?\u1087?\u1072?, \u1060?\u1088?\u1077?\u1085?\u1089?\u1082?\u1072? \u1043?\u1074?\u1080?\u1072?\u1085?\u1072?, \u1052?\u1072?\u1088?\u1090?\u1080?\u1085?\u1080?\u1082?\u1072? \u1080? \u1056?\u1077?\u1102?\u1085?\u1080?\u1086?\u108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fr-BE"/>
      <w14:textOutline w14:w="0" w14:cap="flat" w14:cmpd="sng" w14:algn="ctr">
        <w14:noFill/>
        <w14:prstDash w14:val="solid"/>
        <w14:bevel/>
      </w14:textOutline>
    </w:rPr>
  </w:style>
  <w:style w:type="character" w:customStyle="1" w:styleId="Hyperlink0">
    <w:name w:val="Hyperlink.0"/>
    <w:basedOn w:val="DefaultParagraphFont"/>
    <w:rPr>
      <w:color w:val="000000"/>
      <w:u w:val="single" w:color="000000"/>
      <w14:textOutline w14:w="0" w14:cap="rnd" w14:cmpd="sng" w14:algn="ctr">
        <w14:noFill/>
        <w14:prstDash w14:val="solid"/>
        <w14:bevel/>
      </w14:textOutline>
    </w:rPr>
  </w:style>
  <w:style w:type="numbering" w:customStyle="1" w:styleId="ImportedStyle3">
    <w:name w:val="Imported Style 3"/>
    <w:pPr>
      <w:numPr>
        <w:numId w:val="1"/>
      </w:numPr>
    </w:p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customStyle="1" w:styleId="None">
    <w:name w:val="Non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fr-BE"/>
      <w14:textOutline w14:w="0" w14:cap="flat" w14:cmpd="sng" w14:algn="ctr">
        <w14:noFill/>
        <w14:prstDash w14:val="solid"/>
        <w14:bevel/>
      </w14:textOutline>
    </w:rPr>
  </w:style>
  <w:style w:type="character" w:customStyle="1" w:styleId="Hyperlink0">
    <w:name w:val="Hyperlink.0"/>
    <w:basedOn w:val="DefaultParagraphFont"/>
    <w:rPr>
      <w:color w:val="000000"/>
      <w:u w:val="single" w:color="000000"/>
      <w14:textOutline w14:w="0" w14:cap="rnd" w14:cmpd="sng" w14:algn="ctr">
        <w14:noFill/>
        <w14:prstDash w14:val="solid"/>
        <w14:bevel/>
      </w14:textOutline>
    </w:rPr>
  </w:style>
  <w:style w:type="numbering" w:customStyle="1" w:styleId="ImportedStyle3">
    <w:name w:val="Imported Style 3"/>
    <w:pPr>
      <w:numPr>
        <w:numId w:val="1"/>
      </w:numPr>
    </w:p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customStyle="1" w:styleId="None">
    <w:name w:val="Non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qid=1594280274090&amp;uri=CELEX%3A32014D01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131B5-6F56-47DA-A541-5D234282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2837</Words>
  <Characters>16461</Characters>
  <Application>Microsoft Office Word</Application>
  <DocSecurity>0</DocSecurity>
  <Lines>304</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2020-07-15T09:09:00Z</dcterms:created>
  <dcterms:modified xsi:type="dcterms:W3CDTF">2020-07-16T11:46:00Z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