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6D3" w:rsidRDefault="0015526A" w:rsidP="0015526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A6954C0-1044-41E1-A7FC-4125C766D673" style="width:450.75pt;height:375.3pt">
            <v:imagedata r:id="rId8" o:title=""/>
          </v:shape>
        </w:pict>
      </w:r>
    </w:p>
    <w:bookmarkEnd w:id="0"/>
    <w:p w:rsidR="005156D3" w:rsidRDefault="005156D3">
      <w:pPr>
        <w:rPr>
          <w:noProof/>
        </w:rPr>
        <w:sectPr w:rsidR="005156D3" w:rsidSect="0015526A">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156D3" w:rsidRDefault="0015526A">
      <w:pPr>
        <w:pStyle w:val="Heading1"/>
        <w:rPr>
          <w:rFonts w:eastAsiaTheme="minorHAnsi"/>
          <w:noProof/>
        </w:rPr>
      </w:pPr>
      <w:bookmarkStart w:id="1" w:name="_GoBack"/>
      <w:bookmarkEnd w:id="1"/>
      <w:r>
        <w:rPr>
          <w:rFonts w:eastAsiaTheme="minorHAnsi"/>
          <w:noProof/>
        </w:rPr>
        <w:lastRenderedPageBreak/>
        <w:t>Background and rationale</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Article 45(1) of Regulation (EU) 2017/2402</w:t>
      </w:r>
      <w:r>
        <w:rPr>
          <w:rStyle w:val="FootnoteReference"/>
          <w:rFonts w:ascii="Times New Roman" w:hAnsi="Times New Roman" w:cs="Times New Roman"/>
          <w:noProof/>
        </w:rPr>
        <w:footnoteReference w:id="1"/>
      </w:r>
      <w:r>
        <w:rPr>
          <w:rFonts w:ascii="Times New Roman" w:hAnsi="Times New Roman" w:cs="Times New Roman"/>
          <w:noProof/>
        </w:rPr>
        <w:t xml:space="preserve"> (</w:t>
      </w:r>
      <w:r>
        <w:rPr>
          <w:rFonts w:ascii="Times New Roman" w:hAnsi="Times New Roman" w:cs="Times New Roman"/>
          <w:i/>
          <w:noProof/>
        </w:rPr>
        <w:t>hereafter “Securitisation Regulation”</w:t>
      </w:r>
      <w:r>
        <w:rPr>
          <w:rFonts w:ascii="Times New Roman" w:hAnsi="Times New Roman" w:cs="Times New Roman"/>
          <w:noProof/>
        </w:rPr>
        <w:t>) requires the European Banking Authority</w:t>
      </w:r>
      <w:r>
        <w:rPr>
          <w:rFonts w:ascii="Times New Roman" w:hAnsi="Times New Roman" w:cs="Times New Roman"/>
          <w:noProof/>
        </w:rPr>
        <w:t xml:space="preserve"> (</w:t>
      </w:r>
      <w:r>
        <w:rPr>
          <w:rFonts w:ascii="Times New Roman" w:hAnsi="Times New Roman" w:cs="Times New Roman"/>
          <w:i/>
          <w:noProof/>
        </w:rPr>
        <w:t>hereafter “EBA”</w:t>
      </w:r>
      <w:r>
        <w:rPr>
          <w:rFonts w:ascii="Times New Roman" w:hAnsi="Times New Roman" w:cs="Times New Roman"/>
          <w:noProof/>
        </w:rPr>
        <w:t>) to publish a report on the feasibility of a specific framework for simple, transparent and standardised (</w:t>
      </w:r>
      <w:r>
        <w:rPr>
          <w:rFonts w:ascii="Times New Roman" w:hAnsi="Times New Roman" w:cs="Times New Roman"/>
          <w:i/>
          <w:noProof/>
        </w:rPr>
        <w:t>hereafter “STS”)</w:t>
      </w:r>
      <w:r>
        <w:rPr>
          <w:rFonts w:ascii="Times New Roman" w:hAnsi="Times New Roman" w:cs="Times New Roman"/>
          <w:noProof/>
        </w:rPr>
        <w:t xml:space="preserve"> synthetic securitisation, limited to balance-sheet synthetic securitisation. Balance-sheet synthetic securitisation</w:t>
      </w:r>
      <w:r>
        <w:rPr>
          <w:rFonts w:ascii="Times New Roman" w:hAnsi="Times New Roman" w:cs="Times New Roman"/>
          <w:noProof/>
        </w:rPr>
        <w:t>s (</w:t>
      </w:r>
      <w:r>
        <w:rPr>
          <w:rFonts w:ascii="Times New Roman" w:hAnsi="Times New Roman" w:cs="Times New Roman"/>
          <w:i/>
          <w:noProof/>
        </w:rPr>
        <w:t>hereafter “BSSS”</w:t>
      </w:r>
      <w:r>
        <w:rPr>
          <w:rFonts w:ascii="Times New Roman" w:hAnsi="Times New Roman" w:cs="Times New Roman"/>
          <w:noProof/>
        </w:rPr>
        <w:t>) are securitisation transactions where the originating institution, typically a bank, uses financial guarantees or credit derivatives to transfer to third parties the credit risk of a specified pool of assets that it holds on its balanc</w:t>
      </w:r>
      <w:r>
        <w:rPr>
          <w:rFonts w:ascii="Times New Roman" w:hAnsi="Times New Roman" w:cs="Times New Roman"/>
          <w:noProof/>
        </w:rPr>
        <w:t>e sheet and for which, in the vast majority of cases, it was also the original lender. The underlying assets are typically corporate loans, SME loans or trade finance – assets that are for various reasons more difficult or less attractive for the originato</w:t>
      </w:r>
      <w:r>
        <w:rPr>
          <w:rFonts w:ascii="Times New Roman" w:hAnsi="Times New Roman" w:cs="Times New Roman"/>
          <w:noProof/>
        </w:rPr>
        <w:t xml:space="preserve">r to securitise in a traditional way. As such, BSSS can be clearly distinguished from arbitrage synthetic securitisations, which involve underlying assets that are not owned by the originator of the securitisation. Instead of hedging credit risk, the main </w:t>
      </w:r>
      <w:r>
        <w:rPr>
          <w:rFonts w:ascii="Times New Roman" w:hAnsi="Times New Roman" w:cs="Times New Roman"/>
          <w:noProof/>
        </w:rPr>
        <w:t xml:space="preserve">aim of an arbitrage synthetic transaction is to seek arbitrage between the spread on the credit quality of a pool of assets or product indices and the spread on the resulting securitisation product. </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Recital 24 of the Securitisation Regulation also invites</w:t>
      </w:r>
      <w:r>
        <w:rPr>
          <w:rFonts w:ascii="Times New Roman" w:hAnsi="Times New Roman" w:cs="Times New Roman"/>
          <w:noProof/>
        </w:rPr>
        <w:t xml:space="preserve"> the EBA to determine relevant criteria for such specific framework “with a view to promoting the financing of the real economy and in particular of SMEs, which benefit the most from such securitisations”. </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Article 45(2) of the Securitisation Regulation re</w:t>
      </w:r>
      <w:r>
        <w:rPr>
          <w:rFonts w:ascii="Times New Roman" w:hAnsi="Times New Roman" w:cs="Times New Roman"/>
          <w:noProof/>
        </w:rPr>
        <w:t>quires the Commission to submit to the European Parliament and the Council a report on the creation of a specific STS framework for balance-sheet synthetic securitisation, on the basis of the aforementioned EBA report, and accompany it with a legislative p</w:t>
      </w:r>
      <w:r>
        <w:rPr>
          <w:rFonts w:ascii="Times New Roman" w:hAnsi="Times New Roman" w:cs="Times New Roman"/>
          <w:noProof/>
        </w:rPr>
        <w:t>roposal, if appropriate.</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The EBA report was published on 6 May 2020</w:t>
      </w:r>
      <w:r>
        <w:rPr>
          <w:rStyle w:val="FootnoteReference"/>
          <w:rFonts w:ascii="Times New Roman" w:hAnsi="Times New Roman" w:cs="Times New Roman"/>
          <w:noProof/>
        </w:rPr>
        <w:footnoteReference w:id="2"/>
      </w:r>
      <w:r>
        <w:rPr>
          <w:rFonts w:ascii="Times New Roman" w:hAnsi="Times New Roman" w:cs="Times New Roman"/>
          <w:noProof/>
        </w:rPr>
        <w:t>. The report builds on the previous EBA Report on Synthetic Securitisation, published in December 2015</w:t>
      </w:r>
      <w:r>
        <w:rPr>
          <w:rStyle w:val="FootnoteReference"/>
          <w:rFonts w:ascii="Times New Roman" w:hAnsi="Times New Roman" w:cs="Times New Roman"/>
          <w:noProof/>
        </w:rPr>
        <w:footnoteReference w:id="3"/>
      </w:r>
      <w:r>
        <w:rPr>
          <w:rFonts w:ascii="Times New Roman" w:hAnsi="Times New Roman" w:cs="Times New Roman"/>
          <w:noProof/>
        </w:rPr>
        <w:t>, whose recommendations are already reflected in the Capital Requirements Regulation</w:t>
      </w:r>
      <w:r>
        <w:rPr>
          <w:rStyle w:val="FootnoteReference"/>
          <w:rFonts w:ascii="Times New Roman" w:hAnsi="Times New Roman" w:cs="Times New Roman"/>
          <w:noProof/>
        </w:rPr>
        <w:footnoteReference w:id="4"/>
      </w:r>
      <w:r>
        <w:rPr>
          <w:rFonts w:ascii="Times New Roman" w:hAnsi="Times New Roman" w:cs="Times New Roman"/>
          <w:noProof/>
        </w:rPr>
        <w:t xml:space="preserve"> (</w:t>
      </w:r>
      <w:r>
        <w:rPr>
          <w:rFonts w:ascii="Times New Roman" w:hAnsi="Times New Roman" w:cs="Times New Roman"/>
          <w:i/>
          <w:noProof/>
        </w:rPr>
        <w:t>hereafter “CRR”)</w:t>
      </w:r>
      <w:r>
        <w:rPr>
          <w:rFonts w:ascii="Times New Roman" w:hAnsi="Times New Roman" w:cs="Times New Roman"/>
          <w:noProof/>
        </w:rPr>
        <w:t>, and on the Discussion Paper on Significant Risk Transfer</w:t>
      </w:r>
      <w:r>
        <w:rPr>
          <w:rStyle w:val="FootnoteReference"/>
          <w:rFonts w:ascii="Times New Roman" w:hAnsi="Times New Roman" w:cs="Times New Roman"/>
          <w:noProof/>
        </w:rPr>
        <w:footnoteReference w:id="5"/>
      </w:r>
      <w:r>
        <w:rPr>
          <w:rFonts w:ascii="Times New Roman" w:hAnsi="Times New Roman" w:cs="Times New Roman"/>
          <w:noProof/>
        </w:rPr>
        <w:t xml:space="preserve"> in Securitisation, published in September 2017</w:t>
      </w:r>
      <w:r>
        <w:rPr>
          <w:rStyle w:val="FootnoteReference"/>
          <w:rFonts w:ascii="Times New Roman" w:hAnsi="Times New Roman" w:cs="Times New Roman"/>
          <w:noProof/>
        </w:rPr>
        <w:footnoteReference w:id="6"/>
      </w:r>
      <w:r>
        <w:rPr>
          <w:rFonts w:ascii="Times New Roman" w:hAnsi="Times New Roman" w:cs="Times New Roman"/>
          <w:noProof/>
        </w:rPr>
        <w:t>. Significant risk transfer (</w:t>
      </w:r>
      <w:r>
        <w:rPr>
          <w:rFonts w:ascii="Times New Roman" w:hAnsi="Times New Roman" w:cs="Times New Roman"/>
          <w:i/>
          <w:noProof/>
        </w:rPr>
        <w:t xml:space="preserve">hereafter “SRT”) </w:t>
      </w:r>
      <w:r>
        <w:rPr>
          <w:rFonts w:ascii="Times New Roman" w:hAnsi="Times New Roman" w:cs="Times New Roman"/>
          <w:noProof/>
        </w:rPr>
        <w:t xml:space="preserve">is particularly important for synthetic securitisation, as the transfer of risk, and </w:t>
      </w:r>
      <w:r>
        <w:rPr>
          <w:rFonts w:ascii="Times New Roman" w:hAnsi="Times New Roman" w:cs="Times New Roman"/>
          <w:noProof/>
        </w:rPr>
        <w:t>associated capital relief, are one of the motivations for engaging in this type of securitisation.</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In preparing its report, the EBA published a discussion paper in September 2019 for a two-month consultation. With most of the responses expressing strong su</w:t>
      </w:r>
      <w:r>
        <w:rPr>
          <w:rFonts w:ascii="Times New Roman" w:hAnsi="Times New Roman" w:cs="Times New Roman"/>
          <w:noProof/>
        </w:rPr>
        <w:t>pport both for the analysis of the market and for the rationale for the development of an STS framework for synthetic securitisation, the EBA report builds on a broad consensus among stakeholders, for both the feasibility of such framework and the relevant</w:t>
      </w:r>
      <w:r>
        <w:rPr>
          <w:rFonts w:ascii="Times New Roman" w:hAnsi="Times New Roman" w:cs="Times New Roman"/>
          <w:noProof/>
        </w:rPr>
        <w:t xml:space="preserve"> criteria that would make synthetic securitisation part of it.</w:t>
      </w:r>
    </w:p>
    <w:p w:rsidR="005156D3" w:rsidRDefault="005156D3">
      <w:pPr>
        <w:spacing w:line="240" w:lineRule="auto"/>
        <w:rPr>
          <w:rFonts w:ascii="Times New Roman" w:hAnsi="Times New Roman" w:cs="Times New Roman"/>
          <w:b/>
          <w:smallCaps/>
          <w:noProof/>
          <w:sz w:val="24"/>
          <w:szCs w:val="20"/>
        </w:rPr>
      </w:pPr>
    </w:p>
    <w:p w:rsidR="005156D3" w:rsidRDefault="0015526A">
      <w:pPr>
        <w:pStyle w:val="Heading1"/>
        <w:rPr>
          <w:rFonts w:eastAsiaTheme="minorHAnsi"/>
          <w:noProof/>
        </w:rPr>
      </w:pPr>
      <w:r>
        <w:rPr>
          <w:rFonts w:eastAsiaTheme="minorHAnsi"/>
          <w:noProof/>
        </w:rPr>
        <w:lastRenderedPageBreak/>
        <w:t>Specificities of balance-sheet synthetic securitisation</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 xml:space="preserve">Synthetic securitisation and traditional/true-sale securitisation do not fundamentally differ in terms of the nature of the underlying exposures, risk tranching and capital (waterfall) structures. Where they differ considerably, however, is in the ways of </w:t>
      </w:r>
      <w:r>
        <w:rPr>
          <w:rFonts w:ascii="Times New Roman" w:hAnsi="Times New Roman" w:cs="Times New Roman"/>
          <w:noProof/>
        </w:rPr>
        <w:t xml:space="preserve">transferring risk from the originator to the investor. </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 xml:space="preserve">Traditional securitisation involves the effective legal transfer of the assets by the issuer of the securities in a way that the ownership is actually transferred to a Securitisation Special Purpose </w:t>
      </w:r>
      <w:r>
        <w:rPr>
          <w:rFonts w:ascii="Times New Roman" w:hAnsi="Times New Roman" w:cs="Times New Roman"/>
          <w:noProof/>
        </w:rPr>
        <w:t>Entity (SSPE) that hence becomes entitled to the cash flows generated by those assets. BSSS realises the risk transfer by means of a credit protection contract (credit derivatives or financial guarantees) between the originator and the investor, in a way t</w:t>
      </w:r>
      <w:r>
        <w:rPr>
          <w:rFonts w:ascii="Times New Roman" w:hAnsi="Times New Roman" w:cs="Times New Roman"/>
          <w:noProof/>
        </w:rPr>
        <w:t>hat the underlying exposures in the ownership of the originator are left on its balance sheet. Therefore, while traditional securitisation requires both an SSPE and actual issuance of securities, neither of those would be strictly necessary for synthetic s</w:t>
      </w:r>
      <w:r>
        <w:rPr>
          <w:rFonts w:ascii="Times New Roman" w:hAnsi="Times New Roman" w:cs="Times New Roman"/>
          <w:noProof/>
        </w:rPr>
        <w:t>ecuritisation.</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 xml:space="preserve">BSSS tends to be easier to execute than traditional securitisation, owing to the greater flexibility of the synthetic mechanism. In addition, it tends to be cheaper in terms of costs and quicker to arrange. It allows the originator to avoid </w:t>
      </w:r>
      <w:r>
        <w:rPr>
          <w:rFonts w:ascii="Times New Roman" w:hAnsi="Times New Roman" w:cs="Times New Roman"/>
          <w:noProof/>
        </w:rPr>
        <w:t xml:space="preserve">the legal and operational difficulties that can arise in the process of the transferring the ownership of the underlying exposures in a traditional transaction. </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Recent years have brought about significant simplification in BSSS market practices and indust</w:t>
      </w:r>
      <w:r>
        <w:rPr>
          <w:rFonts w:ascii="Times New Roman" w:hAnsi="Times New Roman" w:cs="Times New Roman"/>
          <w:noProof/>
        </w:rPr>
        <w:t>ry evidence suggests that the documentation accompanying the instrument have decreased from around 500 pages before the global financial crisis to less than 50 pages nowadays, pointing to a significant reduction in complexity.</w:t>
      </w:r>
      <w:r>
        <w:rPr>
          <w:rStyle w:val="FootnoteReference"/>
          <w:rFonts w:ascii="Times New Roman" w:hAnsi="Times New Roman" w:cs="Times New Roman"/>
          <w:noProof/>
        </w:rPr>
        <w:t xml:space="preserve"> </w:t>
      </w:r>
      <w:r>
        <w:rPr>
          <w:rStyle w:val="FootnoteReference"/>
          <w:rFonts w:ascii="Times New Roman" w:hAnsi="Times New Roman" w:cs="Times New Roman"/>
          <w:noProof/>
        </w:rPr>
        <w:footnoteReference w:id="7"/>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The risk transfer in synthe</w:t>
      </w:r>
      <w:r>
        <w:rPr>
          <w:rFonts w:ascii="Times New Roman" w:hAnsi="Times New Roman" w:cs="Times New Roman"/>
          <w:noProof/>
        </w:rPr>
        <w:t>tic securitisation depends not only on the capital structure of the transaction (</w:t>
      </w:r>
      <w:r>
        <w:rPr>
          <w:rFonts w:ascii="Times New Roman" w:hAnsi="Times New Roman" w:cs="Times New Roman"/>
          <w:i/>
          <w:noProof/>
        </w:rPr>
        <w:t xml:space="preserve">i.e. </w:t>
      </w:r>
      <w:r>
        <w:rPr>
          <w:rFonts w:ascii="Times New Roman" w:hAnsi="Times New Roman" w:cs="Times New Roman"/>
          <w:noProof/>
        </w:rPr>
        <w:t>the tranching</w:t>
      </w:r>
      <w:r>
        <w:rPr>
          <w:rFonts w:ascii="Times New Roman" w:hAnsi="Times New Roman" w:cs="Times New Roman"/>
          <w:i/>
          <w:noProof/>
        </w:rPr>
        <w:t>)</w:t>
      </w:r>
      <w:r>
        <w:rPr>
          <w:rFonts w:ascii="Times New Roman" w:hAnsi="Times New Roman" w:cs="Times New Roman"/>
          <w:noProof/>
        </w:rPr>
        <w:t xml:space="preserve"> and potential mechanisms of support from the originator (as it is the case for true-sale securitisation), but also on the features of the credit protection</w:t>
      </w:r>
      <w:r>
        <w:rPr>
          <w:rFonts w:ascii="Times New Roman" w:hAnsi="Times New Roman" w:cs="Times New Roman"/>
          <w:noProof/>
        </w:rPr>
        <w:t xml:space="preserve"> contract entered into by the parties as well as on the creditworthiness of the investor. The recourse to credit protection, in particular if it is unfunded and provided by non-public protection sellers, exposes individual banks to counterparty risk and ma</w:t>
      </w:r>
      <w:r>
        <w:rPr>
          <w:rFonts w:ascii="Times New Roman" w:hAnsi="Times New Roman" w:cs="Times New Roman"/>
          <w:noProof/>
        </w:rPr>
        <w:t>y, in case of a high concentration of protection sellers create an interconnectedness in the financial system that can have systemic implications (as demonstrated in the 2008/9 financial crisis).This notwithstanding, when both parties enter into the transa</w:t>
      </w:r>
      <w:r>
        <w:rPr>
          <w:rFonts w:ascii="Times New Roman" w:hAnsi="Times New Roman" w:cs="Times New Roman"/>
          <w:noProof/>
        </w:rPr>
        <w:t>ction with full knowledge of the underlying risks, the risk of misalignment of interest between originators and investors is reduced as risk management is equally important for both the protection seller and the protection buyer.</w:t>
      </w:r>
    </w:p>
    <w:p w:rsidR="005156D3" w:rsidRDefault="0015526A">
      <w:pPr>
        <w:spacing w:line="240" w:lineRule="auto"/>
        <w:jc w:val="both"/>
        <w:rPr>
          <w:noProof/>
        </w:rPr>
      </w:pPr>
      <w:r>
        <w:rPr>
          <w:rFonts w:ascii="Times New Roman" w:hAnsi="Times New Roman" w:cs="Times New Roman"/>
          <w:noProof/>
        </w:rPr>
        <w:t>Synthetic securitisation a</w:t>
      </w:r>
      <w:r>
        <w:rPr>
          <w:rFonts w:ascii="Times New Roman" w:hAnsi="Times New Roman" w:cs="Times New Roman"/>
          <w:noProof/>
        </w:rPr>
        <w:t>lso differs from traditional securitisation in terms of purpose. The use of synthetic securitisation has indeed emerged as a useful tool for a large number of banks in their credit risk and capital management activities, as it enables them to transfer cred</w:t>
      </w:r>
      <w:r>
        <w:rPr>
          <w:rFonts w:ascii="Times New Roman" w:hAnsi="Times New Roman" w:cs="Times New Roman"/>
          <w:noProof/>
        </w:rPr>
        <w:t>it risk to the private capital markets efficiently, thus freeing up both capital and lending limits and allowing them to continue lending activities, while traditional securitisation is more commonly used to obtain funding from the sale of assets, rather t</w:t>
      </w:r>
      <w:r>
        <w:rPr>
          <w:rFonts w:ascii="Times New Roman" w:hAnsi="Times New Roman" w:cs="Times New Roman"/>
          <w:noProof/>
        </w:rPr>
        <w:t xml:space="preserve">han as a credit risk management tool. </w:t>
      </w:r>
    </w:p>
    <w:p w:rsidR="005156D3" w:rsidRDefault="0015526A">
      <w:pPr>
        <w:pStyle w:val="Heading1"/>
        <w:rPr>
          <w:rFonts w:eastAsiaTheme="minorHAnsi"/>
          <w:noProof/>
        </w:rPr>
      </w:pPr>
      <w:r>
        <w:rPr>
          <w:rFonts w:eastAsiaTheme="minorHAnsi"/>
          <w:noProof/>
        </w:rPr>
        <w:t>Market performance</w:t>
      </w:r>
    </w:p>
    <w:p w:rsidR="005156D3" w:rsidRDefault="0015526A">
      <w:pPr>
        <w:spacing w:line="240" w:lineRule="auto"/>
        <w:jc w:val="both"/>
        <w:rPr>
          <w:rFonts w:ascii="Times New Roman" w:hAnsi="Times New Roman" w:cs="Times New Roman"/>
          <w:noProof/>
        </w:rPr>
      </w:pPr>
      <w:r>
        <w:rPr>
          <w:rFonts w:ascii="Times New Roman" w:hAnsi="Times New Roman" w:cs="Times New Roman"/>
          <w:i/>
          <w:noProof/>
        </w:rPr>
        <w:t>Market dynamics</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Unavailability of comprehensive data about market developments and performance of synthetic securitisations were among the key factors that resulted in limiting the STS label to trad</w:t>
      </w:r>
      <w:r>
        <w:rPr>
          <w:rFonts w:ascii="Times New Roman" w:hAnsi="Times New Roman" w:cs="Times New Roman"/>
          <w:noProof/>
        </w:rPr>
        <w:t xml:space="preserve">itional securitisations in Regulation (EU) 2017/2402. The EBA filled this gap by collecting i) data on the volume of BSSS transactions for the period 2008 – early 2019; ii) data on the default performance of BSSS for the same period; iii) supervisory data </w:t>
      </w:r>
      <w:r>
        <w:rPr>
          <w:rFonts w:ascii="Times New Roman" w:hAnsi="Times New Roman" w:cs="Times New Roman"/>
          <w:noProof/>
        </w:rPr>
        <w:t>on transactions that have achieved SRT; and iv) information gathered from industry in a roundtable event in March 2019 as well as other market analysis. Despite this significant effort, however, the picture is not fully complete, largely because of the bil</w:t>
      </w:r>
      <w:r>
        <w:rPr>
          <w:rFonts w:ascii="Times New Roman" w:hAnsi="Times New Roman" w:cs="Times New Roman"/>
          <w:noProof/>
        </w:rPr>
        <w:t xml:space="preserve">ateral and private nature of these types of transactions in the years since the global financial </w:t>
      </w:r>
      <w:r>
        <w:rPr>
          <w:rFonts w:ascii="Times New Roman" w:hAnsi="Times New Roman" w:cs="Times New Roman"/>
          <w:noProof/>
        </w:rPr>
        <w:lastRenderedPageBreak/>
        <w:t>crisis. Moreover, a lot of the transactions reported were originated in recent years and therefore have not gone through a full business cycle yet. Finally, so</w:t>
      </w:r>
      <w:r>
        <w:rPr>
          <w:rFonts w:ascii="Times New Roman" w:hAnsi="Times New Roman" w:cs="Times New Roman"/>
          <w:noProof/>
        </w:rPr>
        <w:t xml:space="preserve">me of the data was collected through surveys of market participants and therefore may not be fully representative of the entire market. </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The gathered information demonstrated that the 2008 financial crisis has profoundly reshaped the synthetic securitisati</w:t>
      </w:r>
      <w:r>
        <w:rPr>
          <w:rFonts w:ascii="Times New Roman" w:hAnsi="Times New Roman" w:cs="Times New Roman"/>
          <w:noProof/>
        </w:rPr>
        <w:t>on market. Before the crisis, European synthetic securitisation peaked in 2004-2005 with volumes above EUR 180 billion due to a large supply of arbitrage synthetic transactions. The latter suffered significant losses during the crisis, reflecting their com</w:t>
      </w:r>
      <w:r>
        <w:rPr>
          <w:rFonts w:ascii="Times New Roman" w:hAnsi="Times New Roman" w:cs="Times New Roman"/>
          <w:noProof/>
        </w:rPr>
        <w:t>plexity, lack of transparency and imperfect alignment of interest, and seem to have largely disappeared, and the market now consists primarily of balance-sheet transactions.</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The data on issuance point to a positive trend. Following a few years of subdued a</w:t>
      </w:r>
      <w:r>
        <w:rPr>
          <w:rFonts w:ascii="Times New Roman" w:hAnsi="Times New Roman" w:cs="Times New Roman"/>
          <w:noProof/>
        </w:rPr>
        <w:t>ctivity after the financial crisis, reflecting the stigma that was attached to the securitisation instrument, the synthetic market has been recovering in the recent years, with both the number and volume of transactions steadily increasing. According to da</w:t>
      </w:r>
      <w:r>
        <w:rPr>
          <w:rFonts w:ascii="Times New Roman" w:hAnsi="Times New Roman" w:cs="Times New Roman"/>
          <w:noProof/>
        </w:rPr>
        <w:t>ta collected by the International Association of Credit Portfolio Managers (IACPM), 2018 saw the initiation of some 49 transactions with a total volume of 105 billion EUR, the highest since the financial crisis (see Figure 1).</w:t>
      </w:r>
    </w:p>
    <w:p w:rsidR="005156D3" w:rsidRDefault="0015526A">
      <w:pPr>
        <w:spacing w:after="0" w:line="240" w:lineRule="auto"/>
        <w:jc w:val="both"/>
        <w:rPr>
          <w:rFonts w:ascii="Times New Roman" w:hAnsi="Times New Roman" w:cs="Times New Roman"/>
          <w:b/>
          <w:noProof/>
        </w:rPr>
      </w:pPr>
      <w:r>
        <w:rPr>
          <w:rFonts w:ascii="Times New Roman" w:hAnsi="Times New Roman" w:cs="Times New Roman"/>
          <w:b/>
          <w:noProof/>
        </w:rPr>
        <w:t>Figure 1: European balance sh</w:t>
      </w:r>
      <w:r>
        <w:rPr>
          <w:rFonts w:ascii="Times New Roman" w:hAnsi="Times New Roman" w:cs="Times New Roman"/>
          <w:b/>
          <w:noProof/>
        </w:rPr>
        <w:t>eet securitisation issuance after the global financial crisis</w:t>
      </w:r>
    </w:p>
    <w:p w:rsidR="005156D3" w:rsidRDefault="0015526A">
      <w:pPr>
        <w:spacing w:after="0" w:line="240" w:lineRule="auto"/>
        <w:rPr>
          <w:rFonts w:ascii="Times New Roman" w:hAnsi="Times New Roman" w:cs="Times New Roman"/>
          <w:noProof/>
        </w:rPr>
      </w:pPr>
      <w:r>
        <w:rPr>
          <w:noProof/>
          <w:lang w:eastAsia="en-GB"/>
        </w:rPr>
        <w:drawing>
          <wp:inline distT="0" distB="0" distL="0" distR="0">
            <wp:extent cx="4555331"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56D3" w:rsidRDefault="0015526A">
      <w:pPr>
        <w:spacing w:line="240" w:lineRule="auto"/>
        <w:rPr>
          <w:rFonts w:ascii="Times New Roman" w:hAnsi="Times New Roman" w:cs="Times New Roman"/>
          <w:i/>
          <w:noProof/>
          <w:sz w:val="20"/>
        </w:rPr>
      </w:pPr>
      <w:r>
        <w:rPr>
          <w:rFonts w:ascii="Times New Roman" w:hAnsi="Times New Roman" w:cs="Times New Roman"/>
          <w:i/>
          <w:noProof/>
          <w:sz w:val="20"/>
        </w:rPr>
        <w:t>Source: EBA, IACPM</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 xml:space="preserve">The change in the nature of European synthetic securitisation market and the prevalence of the balance-sheet segment might be explained by the low default rates of the </w:t>
      </w:r>
      <w:r>
        <w:rPr>
          <w:rFonts w:ascii="Times New Roman" w:hAnsi="Times New Roman" w:cs="Times New Roman"/>
          <w:noProof/>
        </w:rPr>
        <w:t>instrument even throughout the 2008 financial crisis. According to the data collected by the EBA, investors in on-balance sheet transactions have borne materially lower losses than investors in arbitrage synthetics (see Figure 2). In fact, the lifetime def</w:t>
      </w:r>
      <w:r>
        <w:rPr>
          <w:rFonts w:ascii="Times New Roman" w:hAnsi="Times New Roman" w:cs="Times New Roman"/>
          <w:noProof/>
        </w:rPr>
        <w:t>ault rates of on-balance-sheet transactions tended to outperform traditional securitisations as well, for all rating grades and asset classes (see Figure 3).</w:t>
      </w:r>
    </w:p>
    <w:p w:rsidR="005156D3" w:rsidRDefault="0015526A">
      <w:pPr>
        <w:spacing w:after="0" w:line="240" w:lineRule="auto"/>
        <w:jc w:val="both"/>
        <w:rPr>
          <w:rFonts w:ascii="Times New Roman" w:hAnsi="Times New Roman" w:cs="Times New Roman"/>
          <w:b/>
          <w:noProof/>
        </w:rPr>
      </w:pPr>
      <w:r>
        <w:rPr>
          <w:rFonts w:ascii="Times New Roman" w:hAnsi="Times New Roman" w:cs="Times New Roman"/>
          <w:b/>
          <w:noProof/>
        </w:rPr>
        <w:t>Figure 2: Lifetime Default Rate for synthetic tranches, as of end 2018</w:t>
      </w:r>
    </w:p>
    <w:p w:rsidR="005156D3" w:rsidRDefault="0015526A">
      <w:pPr>
        <w:spacing w:line="240" w:lineRule="auto"/>
        <w:rPr>
          <w:noProof/>
        </w:rPr>
      </w:pPr>
      <w:r>
        <w:rPr>
          <w:noProof/>
          <w:lang w:eastAsia="en-GB"/>
        </w:rPr>
        <w:lastRenderedPageBreak/>
        <w:drawing>
          <wp:inline distT="0" distB="0" distL="0" distR="0">
            <wp:extent cx="5575935" cy="1780540"/>
            <wp:effectExtent l="0" t="0" r="5715" b="101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56D3" w:rsidRDefault="0015526A">
      <w:pPr>
        <w:spacing w:line="240" w:lineRule="auto"/>
        <w:rPr>
          <w:rFonts w:ascii="Times New Roman" w:hAnsi="Times New Roman" w:cs="Times New Roman"/>
          <w:i/>
          <w:iCs/>
          <w:noProof/>
          <w:sz w:val="20"/>
        </w:rPr>
      </w:pPr>
      <w:r>
        <w:rPr>
          <w:rFonts w:ascii="Times New Roman" w:hAnsi="Times New Roman" w:cs="Times New Roman"/>
          <w:i/>
          <w:iCs/>
          <w:noProof/>
          <w:sz w:val="20"/>
        </w:rPr>
        <w:t>Source: EBA, S&amp;P</w:t>
      </w:r>
    </w:p>
    <w:p w:rsidR="005156D3" w:rsidRDefault="0015526A">
      <w:pPr>
        <w:spacing w:after="0" w:line="240" w:lineRule="auto"/>
        <w:jc w:val="both"/>
        <w:rPr>
          <w:rFonts w:ascii="Times New Roman" w:hAnsi="Times New Roman" w:cs="Times New Roman"/>
          <w:b/>
          <w:noProof/>
        </w:rPr>
      </w:pPr>
      <w:r>
        <w:rPr>
          <w:rFonts w:ascii="Times New Roman" w:hAnsi="Times New Roman" w:cs="Times New Roman"/>
          <w:b/>
          <w:noProof/>
        </w:rPr>
        <w:t>Figure 3</w:t>
      </w:r>
      <w:r>
        <w:rPr>
          <w:rFonts w:ascii="Times New Roman" w:hAnsi="Times New Roman" w:cs="Times New Roman"/>
          <w:b/>
          <w:noProof/>
        </w:rPr>
        <w:t>: Lifetime Default Rates for balance-sheet synthetic and true-sale securitisaion, selected asset classes (as of end 2018)</w:t>
      </w:r>
    </w:p>
    <w:p w:rsidR="005156D3" w:rsidRDefault="0015526A">
      <w:pPr>
        <w:spacing w:line="240" w:lineRule="auto"/>
        <w:rPr>
          <w:noProof/>
        </w:rPr>
      </w:pPr>
      <w:r>
        <w:rPr>
          <w:noProof/>
          <w:lang w:eastAsia="en-GB"/>
        </w:rPr>
        <w:drawing>
          <wp:inline distT="0" distB="0" distL="0" distR="0">
            <wp:extent cx="5575935" cy="1534160"/>
            <wp:effectExtent l="0" t="0" r="5715"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56D3" w:rsidRDefault="0015526A">
      <w:pPr>
        <w:spacing w:line="240" w:lineRule="auto"/>
        <w:rPr>
          <w:rFonts w:ascii="Times New Roman" w:hAnsi="Times New Roman" w:cs="Times New Roman"/>
          <w:i/>
          <w:iCs/>
          <w:noProof/>
          <w:sz w:val="20"/>
        </w:rPr>
      </w:pPr>
      <w:r>
        <w:rPr>
          <w:rFonts w:ascii="Times New Roman" w:hAnsi="Times New Roman" w:cs="Times New Roman"/>
          <w:i/>
          <w:iCs/>
          <w:noProof/>
          <w:sz w:val="20"/>
        </w:rPr>
        <w:t xml:space="preserve">Source: EBA </w:t>
      </w:r>
    </w:p>
    <w:p w:rsidR="005156D3" w:rsidRDefault="0015526A">
      <w:pPr>
        <w:spacing w:line="240" w:lineRule="auto"/>
        <w:jc w:val="both"/>
        <w:rPr>
          <w:rFonts w:ascii="Times New Roman" w:hAnsi="Times New Roman" w:cs="Times New Roman"/>
          <w:i/>
          <w:noProof/>
        </w:rPr>
      </w:pPr>
      <w:r>
        <w:rPr>
          <w:rFonts w:ascii="Times New Roman" w:hAnsi="Times New Roman" w:cs="Times New Roman"/>
          <w:i/>
          <w:noProof/>
        </w:rPr>
        <w:t>Asset composition, buyers and sellers</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The data collected by the EBA shows that BSSS appear to be used to transfer corpo</w:t>
      </w:r>
      <w:r>
        <w:rPr>
          <w:rFonts w:ascii="Times New Roman" w:hAnsi="Times New Roman" w:cs="Times New Roman"/>
          <w:noProof/>
        </w:rPr>
        <w:t>rate risk from banks to capital markets to a much larger extent than traditional securitisations. The predominant asset classes in balance sheet transactions are loans large corporates and SMEs, followed by trade finance (see Figure 4).</w:t>
      </w:r>
      <w:r>
        <w:rPr>
          <w:rStyle w:val="FootnoteReference"/>
          <w:rFonts w:ascii="Times New Roman" w:hAnsi="Times New Roman" w:cs="Times New Roman"/>
          <w:noProof/>
        </w:rPr>
        <w:footnoteReference w:id="8"/>
      </w:r>
      <w:r>
        <w:rPr>
          <w:rFonts w:ascii="Times New Roman" w:hAnsi="Times New Roman" w:cs="Times New Roman"/>
          <w:noProof/>
        </w:rPr>
        <w:t xml:space="preserve"> </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To maximise the o</w:t>
      </w:r>
      <w:r>
        <w:rPr>
          <w:rFonts w:ascii="Times New Roman" w:hAnsi="Times New Roman" w:cs="Times New Roman"/>
          <w:noProof/>
        </w:rPr>
        <w:t>bjective of capital relief, BSSS originators tend to select asset classes with high risk weights. Moreover, the EBA analysis indicates that originators of BSSS tend to select portfolios that represent their core business, which might reflect demand from in</w:t>
      </w:r>
      <w:r>
        <w:rPr>
          <w:rFonts w:ascii="Times New Roman" w:hAnsi="Times New Roman" w:cs="Times New Roman"/>
          <w:noProof/>
        </w:rPr>
        <w:t>vestors to ensure alignment of interest. Indeed, it is less common for stressed or over-leveraged assets to be included in BSSS than in traditional securitisations, which might partly explain the observed difference in terms of default rates. Retail exposu</w:t>
      </w:r>
      <w:r>
        <w:rPr>
          <w:rFonts w:ascii="Times New Roman" w:hAnsi="Times New Roman" w:cs="Times New Roman"/>
          <w:noProof/>
        </w:rPr>
        <w:t>res, such as residential Mortgage-backed securities (RMBS) or consumer loans, also tend to appear less frequently in BSSS as they have lower risk weights, thereby bringing less benefit in terms of capital relief, and are more likely to be subject to intern</w:t>
      </w:r>
      <w:r>
        <w:rPr>
          <w:rFonts w:ascii="Times New Roman" w:hAnsi="Times New Roman" w:cs="Times New Roman"/>
          <w:noProof/>
        </w:rPr>
        <w:t>al concentration limits, such as in terms of geographical location, type of borrower or economic sector, which makes them more suitable for traditional securitisation.</w:t>
      </w:r>
    </w:p>
    <w:p w:rsidR="005156D3" w:rsidRDefault="0015526A">
      <w:pPr>
        <w:spacing w:after="0" w:line="240" w:lineRule="auto"/>
        <w:jc w:val="both"/>
        <w:rPr>
          <w:rFonts w:ascii="Times New Roman" w:hAnsi="Times New Roman" w:cs="Times New Roman"/>
          <w:b/>
          <w:noProof/>
        </w:rPr>
      </w:pPr>
      <w:r>
        <w:rPr>
          <w:rFonts w:ascii="Times New Roman" w:hAnsi="Times New Roman" w:cs="Times New Roman"/>
          <w:b/>
          <w:noProof/>
        </w:rPr>
        <w:t>Figure 4: Asset classes breakdown, EUR million</w:t>
      </w:r>
    </w:p>
    <w:p w:rsidR="005156D3" w:rsidRDefault="0015526A">
      <w:pPr>
        <w:spacing w:after="0" w:line="240" w:lineRule="auto"/>
        <w:rPr>
          <w:noProof/>
        </w:rPr>
      </w:pPr>
      <w:r>
        <w:rPr>
          <w:noProof/>
          <w:lang w:eastAsia="en-GB"/>
        </w:rPr>
        <w:lastRenderedPageBreak/>
        <w:drawing>
          <wp:inline distT="0" distB="0" distL="0" distR="0">
            <wp:extent cx="4442604" cy="256204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56D3" w:rsidRDefault="0015526A">
      <w:pPr>
        <w:spacing w:line="240" w:lineRule="auto"/>
        <w:rPr>
          <w:rFonts w:ascii="Times New Roman" w:hAnsi="Times New Roman" w:cs="Times New Roman"/>
          <w:i/>
          <w:noProof/>
          <w:sz w:val="20"/>
        </w:rPr>
      </w:pPr>
      <w:r>
        <w:rPr>
          <w:rFonts w:ascii="Times New Roman" w:hAnsi="Times New Roman" w:cs="Times New Roman"/>
          <w:i/>
          <w:noProof/>
          <w:sz w:val="20"/>
        </w:rPr>
        <w:t>Source: EBA, IACPM</w:t>
      </w:r>
    </w:p>
    <w:p w:rsidR="005156D3" w:rsidRDefault="0015526A">
      <w:pPr>
        <w:spacing w:line="240" w:lineRule="auto"/>
        <w:jc w:val="both"/>
        <w:rPr>
          <w:rFonts w:ascii="Times New Roman" w:hAnsi="Times New Roman" w:cs="Times New Roman"/>
          <w:noProof/>
        </w:rPr>
      </w:pPr>
      <w:r>
        <w:rPr>
          <w:rFonts w:ascii="Times New Roman" w:hAnsi="Times New Roman" w:cs="Times New Roman"/>
          <w:i/>
          <w:noProof/>
        </w:rPr>
        <w:t xml:space="preserve">Market </w:t>
      </w:r>
      <w:r>
        <w:rPr>
          <w:rFonts w:ascii="Times New Roman" w:hAnsi="Times New Roman" w:cs="Times New Roman"/>
          <w:i/>
          <w:noProof/>
        </w:rPr>
        <w:t>characteristics</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 xml:space="preserve">The originators are now mostly banks, in particular large and systemically important banks using Internal Rating-Based models for calculating capital requirements. The main reasons for an originator to seek entering into a BSSS are credit </w:t>
      </w:r>
      <w:r>
        <w:rPr>
          <w:rFonts w:ascii="Times New Roman" w:hAnsi="Times New Roman" w:cs="Times New Roman"/>
          <w:noProof/>
        </w:rPr>
        <w:t>risk management and releasing capital. The latter is becoming increasingly important in light of regulatory developments, such as the adoption of the Basel III framework and the application of IFRS 9.</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The majority of investors in synthetic securitisation a</w:t>
      </w:r>
      <w:r>
        <w:rPr>
          <w:rFonts w:ascii="Times New Roman" w:hAnsi="Times New Roman" w:cs="Times New Roman"/>
          <w:noProof/>
        </w:rPr>
        <w:t>re non-bank entities, usually highly specialised in credit investing and experienced in portfolio due diligence. The investor pool consists primarily of hedge funds, pension funds and asset managers, while insurance companies represent a negligible minorit</w:t>
      </w:r>
      <w:r>
        <w:rPr>
          <w:rFonts w:ascii="Times New Roman" w:hAnsi="Times New Roman" w:cs="Times New Roman"/>
          <w:noProof/>
        </w:rPr>
        <w:t>y (see Figure 5). Recent years have seen the entry of multilateral development banks</w:t>
      </w:r>
      <w:r>
        <w:rPr>
          <w:rStyle w:val="FootnoteReference"/>
          <w:rFonts w:ascii="Times New Roman" w:hAnsi="Times New Roman" w:cs="Times New Roman"/>
          <w:noProof/>
        </w:rPr>
        <w:footnoteReference w:id="9"/>
      </w:r>
      <w:r>
        <w:rPr>
          <w:rFonts w:ascii="Times New Roman" w:hAnsi="Times New Roman" w:cs="Times New Roman"/>
          <w:noProof/>
        </w:rPr>
        <w:t xml:space="preserve"> and international organisations (including the EIB/EIF which continue to be an important investor in the SME market). </w:t>
      </w:r>
    </w:p>
    <w:p w:rsidR="005156D3" w:rsidRDefault="0015526A">
      <w:pPr>
        <w:spacing w:after="0" w:line="240" w:lineRule="auto"/>
        <w:jc w:val="both"/>
        <w:rPr>
          <w:rFonts w:ascii="Times New Roman" w:hAnsi="Times New Roman" w:cs="Times New Roman"/>
          <w:b/>
          <w:noProof/>
          <w:sz w:val="32"/>
        </w:rPr>
      </w:pPr>
      <w:r>
        <w:rPr>
          <w:rFonts w:ascii="Times New Roman" w:hAnsi="Times New Roman" w:cs="Times New Roman"/>
          <w:b/>
          <w:iCs/>
          <w:noProof/>
          <w:szCs w:val="17"/>
        </w:rPr>
        <w:t>Figure 5: Investors, in terms of % volume of distri</w:t>
      </w:r>
      <w:r>
        <w:rPr>
          <w:rFonts w:ascii="Times New Roman" w:hAnsi="Times New Roman" w:cs="Times New Roman"/>
          <w:b/>
          <w:iCs/>
          <w:noProof/>
          <w:szCs w:val="17"/>
        </w:rPr>
        <w:t>buted tranches over 2008-2019</w:t>
      </w:r>
    </w:p>
    <w:p w:rsidR="005156D3" w:rsidRDefault="0015526A">
      <w:pPr>
        <w:spacing w:line="240" w:lineRule="auto"/>
        <w:jc w:val="both"/>
        <w:rPr>
          <w:rFonts w:ascii="Times New Roman" w:hAnsi="Times New Roman" w:cs="Times New Roman"/>
          <w:noProof/>
        </w:rPr>
      </w:pPr>
      <w:r>
        <w:rPr>
          <w:noProof/>
          <w:lang w:eastAsia="en-GB"/>
        </w:rPr>
        <w:drawing>
          <wp:inline distT="0" distB="0" distL="0" distR="0">
            <wp:extent cx="4876800" cy="2624138"/>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Source: IACPM, EBA; Note: MDB – Multilateral Development Bank</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The credit protection mechanisms used in BSSS evolved substantially in the aftermath of the global financial crisis. Unfunded credit protection mechanisms (bilate</w:t>
      </w:r>
      <w:r>
        <w:rPr>
          <w:rFonts w:ascii="Times New Roman" w:hAnsi="Times New Roman" w:cs="Times New Roman"/>
          <w:noProof/>
        </w:rPr>
        <w:t>ral, privately negotiated credit derivative contracts, such as Credit Default Swaps) have been almost entirely replaced by funded protection (involving an upfront payment to the protection buyer, thus removing counterparty risk exposure, such as Credit Lin</w:t>
      </w:r>
      <w:r>
        <w:rPr>
          <w:rFonts w:ascii="Times New Roman" w:hAnsi="Times New Roman" w:cs="Times New Roman"/>
          <w:noProof/>
        </w:rPr>
        <w:t xml:space="preserve">ked Notes). Indeed, the EBA highlights in its report that 90% of the credit protection provided by the private investors is now funded credit protection. </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Beyond this additional security provided by the change in the use of credit protection mechanisms, th</w:t>
      </w:r>
      <w:r>
        <w:rPr>
          <w:rFonts w:ascii="Times New Roman" w:hAnsi="Times New Roman" w:cs="Times New Roman"/>
          <w:noProof/>
        </w:rPr>
        <w:t>e financial crisis brought about major changes in the way risk is shared and transferred within the market. According to the EBA’s analysis, originators tend now to transfer the junior and/or mezzanine</w:t>
      </w:r>
      <w:r>
        <w:rPr>
          <w:rFonts w:ascii="Times New Roman" w:hAnsi="Times New Roman" w:cs="Times New Roman"/>
          <w:i/>
          <w:noProof/>
        </w:rPr>
        <w:t xml:space="preserve"> </w:t>
      </w:r>
      <w:r>
        <w:rPr>
          <w:rFonts w:ascii="Times New Roman" w:hAnsi="Times New Roman" w:cs="Times New Roman"/>
          <w:noProof/>
        </w:rPr>
        <w:t xml:space="preserve">element of the portfolio’s credit risk and retain the </w:t>
      </w:r>
      <w:r>
        <w:rPr>
          <w:rFonts w:ascii="Times New Roman" w:hAnsi="Times New Roman" w:cs="Times New Roman"/>
          <w:noProof/>
        </w:rPr>
        <w:t>senior tranche of the same portfolio. The senior tranche would typically be the largest of the tranches and would represent on average around 87% of the total volume of transaction. This is an important change in practice compared to the pre-crisis period,</w:t>
      </w:r>
      <w:r>
        <w:rPr>
          <w:rFonts w:ascii="Times New Roman" w:hAnsi="Times New Roman" w:cs="Times New Roman"/>
          <w:noProof/>
        </w:rPr>
        <w:t xml:space="preserve"> when a “super” senior tranche</w:t>
      </w:r>
      <w:r>
        <w:rPr>
          <w:rStyle w:val="FootnoteReference"/>
          <w:rFonts w:ascii="Times New Roman" w:hAnsi="Times New Roman" w:cs="Times New Roman"/>
          <w:noProof/>
        </w:rPr>
        <w:footnoteReference w:id="10"/>
      </w:r>
      <w:r>
        <w:rPr>
          <w:rFonts w:ascii="Times New Roman" w:hAnsi="Times New Roman" w:cs="Times New Roman"/>
          <w:noProof/>
        </w:rPr>
        <w:t xml:space="preserve"> would typically be placed with investors. The EBA observed that in response to the entry into application of the new securitisation framework, junior tranches appear to have become thicker, which might attract new investors </w:t>
      </w:r>
      <w:r>
        <w:rPr>
          <w:rFonts w:ascii="Times New Roman" w:hAnsi="Times New Roman" w:cs="Times New Roman"/>
          <w:noProof/>
        </w:rPr>
        <w:t xml:space="preserve">into the market. </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In terms of geographical distribution, many of the larger transactions have been concentrated in a few Member States (UK, Germany, Spain, France, and Italy), although transactions have also been seen in other EU Member States. The EBA’s a</w:t>
      </w:r>
      <w:r>
        <w:rPr>
          <w:rFonts w:ascii="Times New Roman" w:hAnsi="Times New Roman" w:cs="Times New Roman"/>
          <w:noProof/>
        </w:rPr>
        <w:t>nalysis also shows that the majority of the transactions contain multi-jurisdictional exposures, with most of them involving exposures outside Europe.</w:t>
      </w:r>
    </w:p>
    <w:p w:rsidR="005156D3" w:rsidRDefault="005156D3">
      <w:pPr>
        <w:spacing w:line="240" w:lineRule="auto"/>
        <w:jc w:val="both"/>
        <w:rPr>
          <w:noProof/>
        </w:rPr>
      </w:pPr>
    </w:p>
    <w:p w:rsidR="005156D3" w:rsidRDefault="0015526A">
      <w:pPr>
        <w:pStyle w:val="Heading1"/>
        <w:rPr>
          <w:rFonts w:eastAsiaTheme="minorHAnsi"/>
          <w:noProof/>
        </w:rPr>
      </w:pPr>
      <w:r>
        <w:rPr>
          <w:rFonts w:eastAsiaTheme="minorHAnsi"/>
          <w:noProof/>
        </w:rPr>
        <w:t>Would balance-sheet synthetic securitisations require a specific STS framework?</w:t>
      </w:r>
    </w:p>
    <w:p w:rsidR="005156D3" w:rsidRDefault="0015526A">
      <w:pPr>
        <w:jc w:val="both"/>
        <w:rPr>
          <w:rFonts w:ascii="Times New Roman" w:hAnsi="Times New Roman" w:cs="Times New Roman"/>
          <w:i/>
          <w:noProof/>
        </w:rPr>
      </w:pPr>
      <w:r>
        <w:rPr>
          <w:rFonts w:ascii="Times New Roman" w:hAnsi="Times New Roman" w:cs="Times New Roman"/>
          <w:i/>
          <w:noProof/>
        </w:rPr>
        <w:t>Desirability analysis</w:t>
      </w:r>
    </w:p>
    <w:p w:rsidR="005156D3" w:rsidRDefault="0015526A">
      <w:pPr>
        <w:jc w:val="both"/>
        <w:rPr>
          <w:rFonts w:ascii="Times New Roman" w:hAnsi="Times New Roman" w:cs="Times New Roman"/>
          <w:noProof/>
        </w:rPr>
      </w:pPr>
      <w:r>
        <w:rPr>
          <w:rFonts w:ascii="Times New Roman" w:hAnsi="Times New Roman" w:cs="Times New Roman"/>
          <w:noProof/>
        </w:rPr>
        <w:t>Th</w:t>
      </w:r>
      <w:r>
        <w:rPr>
          <w:rFonts w:ascii="Times New Roman" w:hAnsi="Times New Roman" w:cs="Times New Roman"/>
          <w:noProof/>
        </w:rPr>
        <w:t xml:space="preserve">e pro’s and con’s analysis conducted by the EBA suggests that introducing a specific STS framework for BSSS is likely to bring many long-terms benefits to financial markets and the real economy and is, to that extent, expected to improve overall financial </w:t>
      </w:r>
      <w:r>
        <w:rPr>
          <w:rFonts w:ascii="Times New Roman" w:hAnsi="Times New Roman" w:cs="Times New Roman"/>
          <w:noProof/>
        </w:rPr>
        <w:t>stability.</w:t>
      </w:r>
    </w:p>
    <w:p w:rsidR="005156D3" w:rsidRDefault="0015526A">
      <w:pPr>
        <w:jc w:val="both"/>
        <w:rPr>
          <w:rFonts w:ascii="Times New Roman" w:hAnsi="Times New Roman" w:cs="Times New Roman"/>
          <w:noProof/>
        </w:rPr>
      </w:pPr>
      <w:r>
        <w:rPr>
          <w:rFonts w:ascii="Times New Roman" w:hAnsi="Times New Roman" w:cs="Times New Roman"/>
          <w:noProof/>
        </w:rPr>
        <w:t>The main benefits of the extending the label are, as the name implies, enhancing simplicity, transparency and standardisation of the synthetic securitisation product. This would address some of the main concerns that have been attached to synthe</w:t>
      </w:r>
      <w:r>
        <w:rPr>
          <w:rFonts w:ascii="Times New Roman" w:hAnsi="Times New Roman" w:cs="Times New Roman"/>
          <w:noProof/>
        </w:rPr>
        <w:t>tic securitisation, such as its perceived complexity, riskiness, likelihood of arbitrage and fraud, and the information asymmetries involved. The assessment of risks, by the parties involved as well as by supervisors, would be enhanced and the overall moni</w:t>
      </w:r>
      <w:r>
        <w:rPr>
          <w:rFonts w:ascii="Times New Roman" w:hAnsi="Times New Roman" w:cs="Times New Roman"/>
          <w:noProof/>
        </w:rPr>
        <w:t xml:space="preserve">toring of the market would be greatly facilitated. Even if the market remains largely bespoke and bilateral, competent authorities would be notified of each transaction that claims the STS label and would have the opportunity to follow up with the parties </w:t>
      </w:r>
      <w:r>
        <w:rPr>
          <w:rFonts w:ascii="Times New Roman" w:hAnsi="Times New Roman" w:cs="Times New Roman"/>
          <w:noProof/>
        </w:rPr>
        <w:t>involved. Finally, market standardisation would make it easier for new originators to enter the market, which could also attract more investors.</w:t>
      </w:r>
    </w:p>
    <w:p w:rsidR="005156D3" w:rsidRDefault="0015526A">
      <w:pPr>
        <w:jc w:val="both"/>
        <w:rPr>
          <w:rFonts w:ascii="Times New Roman" w:hAnsi="Times New Roman" w:cs="Times New Roman"/>
          <w:noProof/>
        </w:rPr>
      </w:pPr>
      <w:r>
        <w:rPr>
          <w:rFonts w:ascii="Times New Roman" w:hAnsi="Times New Roman" w:cs="Times New Roman"/>
          <w:noProof/>
        </w:rPr>
        <w:t>Furthermore, the roll-out of the final elements of the Basel III reform would increase the importance of credit</w:t>
      </w:r>
      <w:r>
        <w:rPr>
          <w:rFonts w:ascii="Times New Roman" w:hAnsi="Times New Roman" w:cs="Times New Roman"/>
          <w:noProof/>
        </w:rPr>
        <w:t xml:space="preserve"> risk and capital management tools, such as BSSS. In this context, making sure that the market develops within the parameters of the robust STS framework avoids the risk of re-emergence of the harmful practices of the past and would benefit financial stabi</w:t>
      </w:r>
      <w:r>
        <w:rPr>
          <w:rFonts w:ascii="Times New Roman" w:hAnsi="Times New Roman" w:cs="Times New Roman"/>
          <w:noProof/>
        </w:rPr>
        <w:t xml:space="preserve">lity. </w:t>
      </w:r>
    </w:p>
    <w:p w:rsidR="005156D3" w:rsidRDefault="0015526A">
      <w:pPr>
        <w:jc w:val="both"/>
        <w:rPr>
          <w:rFonts w:ascii="Times New Roman" w:hAnsi="Times New Roman" w:cs="Times New Roman"/>
          <w:noProof/>
        </w:rPr>
      </w:pPr>
      <w:r>
        <w:rPr>
          <w:rFonts w:ascii="Times New Roman" w:hAnsi="Times New Roman" w:cs="Times New Roman"/>
          <w:noProof/>
        </w:rPr>
        <w:t>However, the EBA warns that the introduction of a specific STS framework for BSSS needs to be diligently accompanied by supervision to avoid negative consequences. In particular, just like with the cash securitisation STS label, the risk of moral ha</w:t>
      </w:r>
      <w:r>
        <w:rPr>
          <w:rFonts w:ascii="Times New Roman" w:hAnsi="Times New Roman" w:cs="Times New Roman"/>
          <w:noProof/>
        </w:rPr>
        <w:t xml:space="preserve">zard, such as negligence by less sophisticated investors, might increase due to a possible perception that the STS label inherently means a low-risk product independent of differences between individual transactions or positions within transactions. </w:t>
      </w:r>
    </w:p>
    <w:p w:rsidR="005156D3" w:rsidRDefault="0015526A">
      <w:pPr>
        <w:jc w:val="both"/>
        <w:rPr>
          <w:rFonts w:ascii="Times New Roman" w:hAnsi="Times New Roman" w:cs="Times New Roman"/>
          <w:noProof/>
        </w:rPr>
      </w:pPr>
      <w:r>
        <w:rPr>
          <w:rFonts w:ascii="Times New Roman" w:hAnsi="Times New Roman" w:cs="Times New Roman"/>
          <w:noProof/>
        </w:rPr>
        <w:t>Addit</w:t>
      </w:r>
      <w:r>
        <w:rPr>
          <w:rFonts w:ascii="Times New Roman" w:hAnsi="Times New Roman" w:cs="Times New Roman"/>
          <w:noProof/>
        </w:rPr>
        <w:t>ionally, there is a question whether the introduction of an STS framework for BSSS might lead to less issuance of traditional STS securitisation. The likelihood of this risk materialising is however not significant. Also the EBA points out that no material</w:t>
      </w:r>
      <w:r>
        <w:rPr>
          <w:rFonts w:ascii="Times New Roman" w:hAnsi="Times New Roman" w:cs="Times New Roman"/>
          <w:noProof/>
        </w:rPr>
        <w:t xml:space="preserve">ly significant impact on traditional securitisation should be expected given the different functions and objectives – both for originators and investors – of the two instruments. </w:t>
      </w:r>
    </w:p>
    <w:p w:rsidR="005156D3" w:rsidRDefault="0015526A">
      <w:pPr>
        <w:jc w:val="both"/>
        <w:rPr>
          <w:rFonts w:ascii="Times New Roman" w:hAnsi="Times New Roman" w:cs="Times New Roman"/>
          <w:noProof/>
        </w:rPr>
      </w:pPr>
      <w:r>
        <w:rPr>
          <w:rFonts w:ascii="Times New Roman" w:hAnsi="Times New Roman" w:cs="Times New Roman"/>
          <w:noProof/>
        </w:rPr>
        <w:t xml:space="preserve">Finally, it should be noted that currently, the international framework for </w:t>
      </w:r>
      <w:r>
        <w:rPr>
          <w:rFonts w:ascii="Times New Roman" w:hAnsi="Times New Roman" w:cs="Times New Roman"/>
          <w:noProof/>
        </w:rPr>
        <w:t>simple, transparent and comparable securitisation, developed by the Basel Committee on Banking Supervision (BCBS) and the International Organization of Securities Commissions (IOSCO), excludes synthetic securitisation from its scope. Based on the data coll</w:t>
      </w:r>
      <w:r>
        <w:rPr>
          <w:rFonts w:ascii="Times New Roman" w:hAnsi="Times New Roman" w:cs="Times New Roman"/>
          <w:noProof/>
        </w:rPr>
        <w:t>ected and the technical analysis performed by EBA, there is prudential evidence to consider a specific STS framework for BSSS.</w:t>
      </w:r>
    </w:p>
    <w:p w:rsidR="005156D3" w:rsidRDefault="0015526A">
      <w:pPr>
        <w:jc w:val="both"/>
        <w:rPr>
          <w:rFonts w:ascii="Times New Roman" w:hAnsi="Times New Roman" w:cs="Times New Roman"/>
          <w:i/>
          <w:noProof/>
        </w:rPr>
      </w:pPr>
      <w:r>
        <w:rPr>
          <w:rFonts w:ascii="Times New Roman" w:hAnsi="Times New Roman" w:cs="Times New Roman"/>
          <w:i/>
          <w:noProof/>
        </w:rPr>
        <w:t>Feasibility analysis</w:t>
      </w:r>
    </w:p>
    <w:p w:rsidR="005156D3" w:rsidRDefault="0015526A">
      <w:pPr>
        <w:jc w:val="both"/>
        <w:rPr>
          <w:rFonts w:ascii="Times New Roman" w:hAnsi="Times New Roman" w:cs="Times New Roman"/>
          <w:noProof/>
        </w:rPr>
      </w:pPr>
      <w:r>
        <w:rPr>
          <w:rFonts w:ascii="Times New Roman" w:hAnsi="Times New Roman" w:cs="Times New Roman"/>
          <w:noProof/>
        </w:rPr>
        <w:t>According to the EBA, a specific STS framework for BSSS would need to take account of the structural specifi</w:t>
      </w:r>
      <w:r>
        <w:rPr>
          <w:rFonts w:ascii="Times New Roman" w:hAnsi="Times New Roman" w:cs="Times New Roman"/>
          <w:noProof/>
        </w:rPr>
        <w:t xml:space="preserve">cities of the product that differ from traditional securitisation. In particular, these include counterparty credit risk, modalities of the credit transfer, as well as the different motivations and perspectives for the protection buyers and sellers. </w:t>
      </w:r>
    </w:p>
    <w:p w:rsidR="005156D3" w:rsidRDefault="0015526A">
      <w:pPr>
        <w:jc w:val="both"/>
        <w:rPr>
          <w:rFonts w:ascii="Times New Roman" w:hAnsi="Times New Roman" w:cs="Times New Roman"/>
          <w:noProof/>
        </w:rPr>
      </w:pPr>
      <w:r>
        <w:rPr>
          <w:rFonts w:ascii="Times New Roman" w:hAnsi="Times New Roman" w:cs="Times New Roman"/>
          <w:noProof/>
        </w:rPr>
        <w:t>Takin</w:t>
      </w:r>
      <w:r>
        <w:rPr>
          <w:rFonts w:ascii="Times New Roman" w:hAnsi="Times New Roman" w:cs="Times New Roman"/>
          <w:noProof/>
        </w:rPr>
        <w:t>g the existing STS criteria for true-sale securitisations as a basis, the EBA has identified a set of STS criteria that can apply to BSSS, while at the same time addressing the specificities of the latter. The identified criteria also seek to ensure that r</w:t>
      </w:r>
      <w:r>
        <w:rPr>
          <w:rFonts w:ascii="Times New Roman" w:hAnsi="Times New Roman" w:cs="Times New Roman"/>
          <w:noProof/>
        </w:rPr>
        <w:t>isky assets that are out of scope for traditional STS securitisations, such as non-performing loans, corporate mortgage backed securities or collateralised loan obligations, woud remain out of scope of the STS label.</w:t>
      </w:r>
    </w:p>
    <w:p w:rsidR="005156D3" w:rsidRDefault="0015526A">
      <w:pPr>
        <w:jc w:val="both"/>
        <w:rPr>
          <w:rFonts w:ascii="Times New Roman" w:hAnsi="Times New Roman" w:cs="Times New Roman"/>
          <w:noProof/>
        </w:rPr>
      </w:pPr>
      <w:r>
        <w:rPr>
          <w:rFonts w:ascii="Times New Roman" w:hAnsi="Times New Roman" w:cs="Times New Roman"/>
          <w:noProof/>
        </w:rPr>
        <w:t>When it comes to simplicity and transpa</w:t>
      </w:r>
      <w:r>
        <w:rPr>
          <w:rFonts w:ascii="Times New Roman" w:hAnsi="Times New Roman" w:cs="Times New Roman"/>
          <w:noProof/>
        </w:rPr>
        <w:t>rency, many of the true-sale STS criteria can be applied also to synthetic transactions. Some would need to be modified or replaced as they are not relevant in synthetic transactions. For example, the true-sale criterion and its enforcement should be repla</w:t>
      </w:r>
      <w:r>
        <w:rPr>
          <w:rFonts w:ascii="Times New Roman" w:hAnsi="Times New Roman" w:cs="Times New Roman"/>
          <w:noProof/>
        </w:rPr>
        <w:t>ced with a definition of balance sheet synthetics, carefully drafted to excluding arbitrage transactions, and requirements to ensure robustness of credit protection contract. Some new criteria, such as specifying credit protection premiums and early termin</w:t>
      </w:r>
      <w:r>
        <w:rPr>
          <w:rFonts w:ascii="Times New Roman" w:hAnsi="Times New Roman" w:cs="Times New Roman"/>
          <w:noProof/>
        </w:rPr>
        <w:t>ation events, have also been deemed necessary.</w:t>
      </w:r>
    </w:p>
    <w:p w:rsidR="005156D3" w:rsidRDefault="0015526A">
      <w:pPr>
        <w:jc w:val="both"/>
        <w:rPr>
          <w:rFonts w:ascii="Times New Roman" w:hAnsi="Times New Roman" w:cs="Times New Roman"/>
          <w:noProof/>
        </w:rPr>
      </w:pPr>
      <w:r>
        <w:rPr>
          <w:rFonts w:ascii="Times New Roman" w:hAnsi="Times New Roman" w:cs="Times New Roman"/>
          <w:noProof/>
        </w:rPr>
        <w:t>The EBA proposes a more substantial review of the standardisation criteria as only a few general ones would be relevant in synthetic transactions, such as the risk retention requirement. Others, such as the mi</w:t>
      </w:r>
      <w:r>
        <w:rPr>
          <w:rFonts w:ascii="Times New Roman" w:hAnsi="Times New Roman" w:cs="Times New Roman"/>
          <w:noProof/>
        </w:rPr>
        <w:t>tigation of interest rate and currency risks or the allocation of losses and tranche amortisation, have been modified to better reflect the nature of BSSS practices. Finally, a number of new criteria specify key aspects such as credit protection mechanisms</w:t>
      </w:r>
      <w:r>
        <w:rPr>
          <w:rFonts w:ascii="Times New Roman" w:hAnsi="Times New Roman" w:cs="Times New Roman"/>
          <w:noProof/>
        </w:rPr>
        <w:t>, synthetic excess spread, credit events and credit protection payments. Standardising this largely bespoke market has been seen as one of the key challenges to building an efficient STS framework. The proposed set of criteria takes into account existing b</w:t>
      </w:r>
      <w:r>
        <w:rPr>
          <w:rFonts w:ascii="Times New Roman" w:hAnsi="Times New Roman" w:cs="Times New Roman"/>
          <w:noProof/>
        </w:rPr>
        <w:t>est market practices in order to set a prudent and workable standard.</w:t>
      </w:r>
    </w:p>
    <w:p w:rsidR="005156D3" w:rsidRDefault="0015526A">
      <w:pPr>
        <w:jc w:val="both"/>
        <w:rPr>
          <w:rFonts w:ascii="Times New Roman" w:hAnsi="Times New Roman" w:cs="Times New Roman"/>
          <w:noProof/>
        </w:rPr>
      </w:pPr>
      <w:r>
        <w:rPr>
          <w:rFonts w:ascii="Times New Roman" w:hAnsi="Times New Roman" w:cs="Times New Roman"/>
          <w:noProof/>
        </w:rPr>
        <w:t>Annex II provides a full list of the STS criteria identified by the EBA.</w:t>
      </w:r>
    </w:p>
    <w:p w:rsidR="005156D3" w:rsidRDefault="0015526A">
      <w:pPr>
        <w:jc w:val="both"/>
        <w:rPr>
          <w:rFonts w:ascii="Times New Roman" w:hAnsi="Times New Roman" w:cs="Times New Roman"/>
          <w:noProof/>
        </w:rPr>
      </w:pPr>
      <w:r>
        <w:rPr>
          <w:rFonts w:ascii="Times New Roman" w:hAnsi="Times New Roman" w:cs="Times New Roman"/>
          <w:noProof/>
        </w:rPr>
        <w:t xml:space="preserve">As with true-sale STS securitisations, the synthetic STS label should not be taken to mean that the </w:t>
      </w:r>
      <w:r>
        <w:rPr>
          <w:rFonts w:ascii="Times New Roman" w:hAnsi="Times New Roman" w:cs="Times New Roman"/>
          <w:noProof/>
        </w:rPr>
        <w:t>securitisation concerned is free of risks, but rather that the product respects a number of criteria and that a diligent protection seller and buyer, as well as a national competent authority, will be able to analyse the risk involved. The identified crite</w:t>
      </w:r>
      <w:r>
        <w:rPr>
          <w:rFonts w:ascii="Times New Roman" w:hAnsi="Times New Roman" w:cs="Times New Roman"/>
          <w:noProof/>
        </w:rPr>
        <w:t>ria take into account the different objectives of synthetic securitisations, i.e. done for capital/risk management purposes as opposed to funding, no true sale transfer of the underlying assets, exposure to counterparty credit risk, etc., and therefore see</w:t>
      </w:r>
      <w:r>
        <w:rPr>
          <w:rFonts w:ascii="Times New Roman" w:hAnsi="Times New Roman" w:cs="Times New Roman"/>
          <w:noProof/>
        </w:rPr>
        <w:t>k to ensure protection for both originators and investors (as the originator is also an investor in the transaction, retaining the senior tranche). By contrast, the true-sale STS framework aims to maximise protection for the investor only, as the sale of t</w:t>
      </w:r>
      <w:r>
        <w:rPr>
          <w:rFonts w:ascii="Times New Roman" w:hAnsi="Times New Roman" w:cs="Times New Roman"/>
          <w:noProof/>
        </w:rPr>
        <w:t>he assets to an SSPE makes protection for the originator less relevant.</w:t>
      </w:r>
    </w:p>
    <w:p w:rsidR="005156D3" w:rsidRDefault="005156D3">
      <w:pPr>
        <w:spacing w:line="240" w:lineRule="auto"/>
        <w:rPr>
          <w:rFonts w:ascii="Times New Roman" w:hAnsi="Times New Roman" w:cs="Times New Roman"/>
          <w:b/>
          <w:smallCaps/>
          <w:noProof/>
          <w:sz w:val="24"/>
          <w:szCs w:val="20"/>
        </w:rPr>
      </w:pPr>
    </w:p>
    <w:p w:rsidR="005156D3" w:rsidRDefault="0015526A">
      <w:pPr>
        <w:pStyle w:val="Heading1"/>
        <w:rPr>
          <w:noProof/>
        </w:rPr>
      </w:pPr>
      <w:r>
        <w:rPr>
          <w:noProof/>
        </w:rPr>
        <w:t>Preferential capital treatment</w:t>
      </w:r>
    </w:p>
    <w:p w:rsidR="005156D3" w:rsidRDefault="0015526A">
      <w:pPr>
        <w:spacing w:line="240"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From a prudential point of view, synthetic securitisations are currently treated as traditional (true-sale) non-STS securitisations. The only exception </w:t>
      </w:r>
      <w:r>
        <w:rPr>
          <w:rFonts w:ascii="Times New Roman" w:hAnsi="Times New Roman" w:cs="Times New Roman"/>
          <w:noProof/>
          <w:color w:val="000000" w:themeColor="text1"/>
        </w:rPr>
        <w:t>to this approach is provided in Article 270 of the CRR for the synthetic securitisations of SME loans. Article 270 targets the senior tranche retained by the originator of synthetic securitisations fulfilling a set of limitative criteria:</w:t>
      </w:r>
    </w:p>
    <w:p w:rsidR="005156D3" w:rsidRDefault="0015526A">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cs="Times New Roman"/>
          <w:noProof/>
          <w:color w:val="000000" w:themeColor="text1"/>
        </w:rPr>
        <w:t>at least 70% of t</w:t>
      </w:r>
      <w:r>
        <w:rPr>
          <w:rFonts w:ascii="Times New Roman" w:hAnsi="Times New Roman" w:cs="Times New Roman"/>
          <w:noProof/>
          <w:color w:val="000000" w:themeColor="text1"/>
        </w:rPr>
        <w:t>he securitised exposures need to be exposures to SMEs, as defined in Article 501 of the CRR;</w:t>
      </w:r>
    </w:p>
    <w:p w:rsidR="005156D3" w:rsidRDefault="0015526A">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cs="Times New Roman"/>
          <w:noProof/>
          <w:color w:val="000000" w:themeColor="text1"/>
        </w:rPr>
        <w:t>the securitisation meets the true-sale STS criteria as applicable to a synthetic securitisation;</w:t>
      </w:r>
    </w:p>
    <w:p w:rsidR="005156D3" w:rsidRDefault="0015526A">
      <w:pPr>
        <w:pStyle w:val="ListParagraph"/>
        <w:numPr>
          <w:ilvl w:val="0"/>
          <w:numId w:val="5"/>
        </w:numPr>
        <w:spacing w:after="120" w:line="240" w:lineRule="auto"/>
        <w:ind w:left="357" w:hanging="357"/>
        <w:contextualSpacing w:val="0"/>
        <w:jc w:val="both"/>
        <w:rPr>
          <w:rFonts w:ascii="Times New Roman" w:hAnsi="Times New Roman" w:cs="Times New Roman"/>
          <w:noProof/>
          <w:color w:val="000000" w:themeColor="text1"/>
        </w:rPr>
      </w:pPr>
      <w:r>
        <w:rPr>
          <w:rFonts w:ascii="Times New Roman" w:hAnsi="Times New Roman" w:cs="Times New Roman"/>
          <w:noProof/>
          <w:color w:val="000000" w:themeColor="text1"/>
        </w:rPr>
        <w:t>the credit risk not retained by the originator is transferred thro</w:t>
      </w:r>
      <w:r>
        <w:rPr>
          <w:rFonts w:ascii="Times New Roman" w:hAnsi="Times New Roman" w:cs="Times New Roman"/>
          <w:noProof/>
          <w:color w:val="000000" w:themeColor="text1"/>
        </w:rPr>
        <w:t>ugh a guarantee, or counter guarantee, which complies with CRR requirements on credit risk mitigation, and the guarantor/counter-guarantor is either a) a central government or central bank of a Member State, a multilateral development bank or an internatio</w:t>
      </w:r>
      <w:r>
        <w:rPr>
          <w:rFonts w:ascii="Times New Roman" w:hAnsi="Times New Roman" w:cs="Times New Roman"/>
          <w:noProof/>
          <w:color w:val="000000" w:themeColor="text1"/>
        </w:rPr>
        <w:t>nal organisation, and qualifies for a 0% risk-weight treatment under the standardised approach for credit risk; or b) an institutional investor provided that the guarantee or counter-guarantee is fully collateralised by cash on deposit with the originator.</w:t>
      </w:r>
    </w:p>
    <w:p w:rsidR="005156D3" w:rsidRDefault="0015526A">
      <w:pPr>
        <w:spacing w:line="240"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rPr>
        <w:t>Despite some constrains in terms of collected data and practical experience with the traditional STS securitisation framework, the technical analysis carried out by the EBA could allow to conclude that the inherent risks linked to BSSS complying with adju</w:t>
      </w:r>
      <w:r>
        <w:rPr>
          <w:rFonts w:ascii="Times New Roman" w:hAnsi="Times New Roman" w:cs="Times New Roman"/>
          <w:noProof/>
          <w:color w:val="000000" w:themeColor="text1"/>
        </w:rPr>
        <w:t>sted STS criteria could call for  reviewing the CRR toward a more risk-sensitive capital treatement of the senior tranche of those instruments, aligning it with the preferential treatment of traditional STS securitisations. As observed by the EBA, this wou</w:t>
      </w:r>
      <w:r>
        <w:rPr>
          <w:rFonts w:ascii="Times New Roman" w:hAnsi="Times New Roman" w:cs="Times New Roman"/>
          <w:noProof/>
          <w:color w:val="000000" w:themeColor="text1"/>
        </w:rPr>
        <w:t>ld be justified by the good performance of BSSS compared to arbitrage synthetic securitisation and traditional securitisation, with in particular low default and loss rates. In addition, the extention of the STS label would allow to better appreciate simpl</w:t>
      </w:r>
      <w:r>
        <w:rPr>
          <w:rFonts w:ascii="Times New Roman" w:hAnsi="Times New Roman" w:cs="Times New Roman"/>
          <w:noProof/>
          <w:color w:val="000000" w:themeColor="text1"/>
        </w:rPr>
        <w:t xml:space="preserve">er, more standardised and more transparent synthetic securitisations, where reduced agency and modelling risks can be expected.  </w:t>
      </w:r>
    </w:p>
    <w:p w:rsidR="005156D3" w:rsidRDefault="0015526A">
      <w:pPr>
        <w:spacing w:line="240"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rPr>
        <w:t>As mentioned by the EBA Report, BSSS are currently not part of the STS framework developed by the Basel Committee, which is ce</w:t>
      </w:r>
      <w:r>
        <w:rPr>
          <w:rFonts w:ascii="Times New Roman" w:hAnsi="Times New Roman" w:cs="Times New Roman"/>
          <w:noProof/>
          <w:color w:val="000000" w:themeColor="text1"/>
        </w:rPr>
        <w:t xml:space="preserve">ntred on traditional securitisations. This deviation from Basel standards would be nonetheless prudentially motivated by data and technical analysis justifying the prudential soundness of an extension of the STS framework to BSSS. </w:t>
      </w:r>
    </w:p>
    <w:p w:rsidR="005156D3" w:rsidRDefault="0015526A">
      <w:pPr>
        <w:spacing w:line="240" w:lineRule="auto"/>
        <w:jc w:val="both"/>
        <w:rPr>
          <w:rFonts w:ascii="Times New Roman" w:hAnsi="Times New Roman" w:cs="Times New Roman"/>
          <w:noProof/>
          <w:color w:val="000000" w:themeColor="text1"/>
        </w:rPr>
      </w:pPr>
      <w:r>
        <w:rPr>
          <w:rFonts w:ascii="Times New Roman" w:hAnsi="Times New Roman" w:cs="Times New Roman"/>
          <w:noProof/>
          <w:color w:val="000000" w:themeColor="text1"/>
        </w:rPr>
        <w:t>The extension of the STS</w:t>
      </w:r>
      <w:r>
        <w:rPr>
          <w:rFonts w:ascii="Times New Roman" w:hAnsi="Times New Roman" w:cs="Times New Roman"/>
          <w:noProof/>
          <w:color w:val="000000" w:themeColor="text1"/>
        </w:rPr>
        <w:t xml:space="preserve"> framework to BSSS would allow the latter to benefit from the established preferential capital treatment for the STS product. This could be nonetheless framed by a targeted review of Article 270 of the CRR ensuring a) an extension of the preferential capit</w:t>
      </w:r>
      <w:r>
        <w:rPr>
          <w:rFonts w:ascii="Times New Roman" w:hAnsi="Times New Roman" w:cs="Times New Roman"/>
          <w:noProof/>
          <w:color w:val="000000" w:themeColor="text1"/>
        </w:rPr>
        <w:t>al treatment offered by this Article to all STS-compliant BSSS, independently from the type of underlying exposure (by deleting provisions currently restraining this article to BSSS composed of at least 70% of securitised exposures on SMEs), while b) maint</w:t>
      </w:r>
      <w:r>
        <w:rPr>
          <w:rFonts w:ascii="Times New Roman" w:hAnsi="Times New Roman" w:cs="Times New Roman"/>
          <w:noProof/>
          <w:color w:val="000000" w:themeColor="text1"/>
        </w:rPr>
        <w:t xml:space="preserve">aining the already existing limited scope of the preferential capital treatment to the senior tranche retained by the originator, deemed less risky. As a consequence of these adjustments, the senior tranche retained by the originator would be subject to a </w:t>
      </w:r>
      <w:r>
        <w:rPr>
          <w:rFonts w:ascii="Times New Roman" w:hAnsi="Times New Roman" w:cs="Times New Roman"/>
          <w:noProof/>
          <w:color w:val="000000" w:themeColor="text1"/>
        </w:rPr>
        <w:t>risk weight floor of 10%.</w:t>
      </w:r>
    </w:p>
    <w:p w:rsidR="005156D3" w:rsidRDefault="0015526A">
      <w:pPr>
        <w:spacing w:line="240" w:lineRule="auto"/>
        <w:jc w:val="both"/>
        <w:rPr>
          <w:rFonts w:ascii="Times New Roman" w:hAnsi="Times New Roman" w:cs="Times New Roman"/>
          <w:i/>
          <w:noProof/>
          <w:color w:val="808080" w:themeColor="background1" w:themeShade="80"/>
        </w:rPr>
      </w:pPr>
      <w:r>
        <w:rPr>
          <w:rFonts w:ascii="Times New Roman" w:hAnsi="Times New Roman" w:cs="Times New Roman"/>
          <w:noProof/>
          <w:color w:val="000000" w:themeColor="text1"/>
        </w:rPr>
        <w:t xml:space="preserve">Overall, the combined review of the STS framework and the CRR in the case of BSSS, by allowing for a differenciated prudential treatment of STS compliant BSSS compared to non-STS compliant BSSS and arbitrage securitisation, would </w:t>
      </w:r>
      <w:r>
        <w:rPr>
          <w:rFonts w:ascii="Times New Roman" w:hAnsi="Times New Roman" w:cs="Times New Roman"/>
          <w:noProof/>
          <w:color w:val="000000" w:themeColor="text1"/>
        </w:rPr>
        <w:t xml:space="preserve">increase the risk sensitivity of the prudential framework and reinforce the attractiveness of the STS framework. </w:t>
      </w:r>
    </w:p>
    <w:p w:rsidR="005156D3" w:rsidRDefault="005156D3">
      <w:pPr>
        <w:rPr>
          <w:noProof/>
        </w:rPr>
      </w:pPr>
    </w:p>
    <w:p w:rsidR="005156D3" w:rsidRDefault="0015526A">
      <w:pPr>
        <w:pStyle w:val="Heading1"/>
        <w:rPr>
          <w:noProof/>
        </w:rPr>
      </w:pPr>
      <w:r>
        <w:rPr>
          <w:noProof/>
        </w:rPr>
        <w:t>Conclusions</w:t>
      </w:r>
    </w:p>
    <w:p w:rsidR="005156D3" w:rsidRDefault="0015526A">
      <w:pPr>
        <w:spacing w:line="240" w:lineRule="auto"/>
        <w:jc w:val="both"/>
        <w:rPr>
          <w:rFonts w:ascii="Times New Roman" w:hAnsi="Times New Roman" w:cs="Times New Roman"/>
          <w:noProof/>
        </w:rPr>
      </w:pPr>
      <w:r>
        <w:rPr>
          <w:rFonts w:ascii="Times New Roman" w:hAnsi="Times New Roman" w:cs="Times New Roman"/>
          <w:noProof/>
        </w:rPr>
        <w:t>The analysis conducted by the EBA shows that it is possible to set standards for synthetic securitisation that allow mitigating t</w:t>
      </w:r>
      <w:r>
        <w:rPr>
          <w:rFonts w:ascii="Times New Roman" w:hAnsi="Times New Roman" w:cs="Times New Roman"/>
          <w:noProof/>
        </w:rPr>
        <w:t>he main drivers of structuring risk, such as agency and model risks, in the same way as for traditional securitisation, thereby creating a subset of synthetic securitisation that is comparable to STS traditional securitisation. In fact, evidence shows that</w:t>
      </w:r>
      <w:r>
        <w:rPr>
          <w:rFonts w:ascii="Times New Roman" w:hAnsi="Times New Roman" w:cs="Times New Roman"/>
          <w:noProof/>
        </w:rPr>
        <w:t xml:space="preserve"> historical performance of balance-sheet synthetic securitisation tends to exceed that of traditional securitisations for the same asset class. Indeed, from a technical perspective, there is no evidence that would suggest that synthetic securitisation stru</w:t>
      </w:r>
      <w:r>
        <w:rPr>
          <w:rFonts w:ascii="Times New Roman" w:hAnsi="Times New Roman" w:cs="Times New Roman"/>
          <w:noProof/>
        </w:rPr>
        <w:t xml:space="preserve">cture inherently results in higher losses than traditional securitisation structure. A sound synthetic structure does not negatively affect the performance of the securitisation. </w:t>
      </w:r>
    </w:p>
    <w:p w:rsidR="005156D3" w:rsidRDefault="0015526A">
      <w:pPr>
        <w:autoSpaceDE w:val="0"/>
        <w:autoSpaceDN w:val="0"/>
        <w:adjustRightInd w:val="0"/>
        <w:spacing w:after="0" w:line="240" w:lineRule="auto"/>
        <w:jc w:val="both"/>
        <w:rPr>
          <w:rFonts w:ascii="Times New Roman" w:hAnsi="Times New Roman" w:cs="Times New Roman"/>
          <w:noProof/>
        </w:rPr>
      </w:pPr>
      <w:r>
        <w:rPr>
          <w:rFonts w:ascii="Times New Roman" w:hAnsi="Times New Roman" w:cs="Times New Roman"/>
          <w:noProof/>
        </w:rPr>
        <w:t>The analysis does not point to any material negative consequences that could</w:t>
      </w:r>
      <w:r>
        <w:rPr>
          <w:rFonts w:ascii="Times New Roman" w:hAnsi="Times New Roman" w:cs="Times New Roman"/>
          <w:noProof/>
        </w:rPr>
        <w:t xml:space="preserve"> be foreseeably generated by the creation of a specific STS framework for balance-sheet synthetic securitisations. On the other hand, reviving the synthetic securitisation market and ensuring that it develops within the robust STS framework entails a numbe</w:t>
      </w:r>
      <w:r>
        <w:rPr>
          <w:rFonts w:ascii="Times New Roman" w:hAnsi="Times New Roman" w:cs="Times New Roman"/>
          <w:noProof/>
        </w:rPr>
        <w:t>r of positive benefits for banks, financial market and financial stability in general. The risk transfer from banks to the non-banking sector is one of the main objectives of the Capital Markets Union and by facilitating the availability of credit to those</w:t>
      </w:r>
      <w:r>
        <w:rPr>
          <w:rFonts w:ascii="Times New Roman" w:hAnsi="Times New Roman" w:cs="Times New Roman"/>
          <w:noProof/>
        </w:rPr>
        <w:t xml:space="preserve"> who need it, could promote economic growth.</w:t>
      </w:r>
    </w:p>
    <w:p w:rsidR="005156D3" w:rsidRDefault="0015526A">
      <w:pPr>
        <w:rPr>
          <w:rFonts w:ascii="Times New Roman" w:hAnsi="Times New Roman" w:cs="Times New Roman"/>
          <w:noProof/>
        </w:rPr>
      </w:pPr>
      <w:r>
        <w:rPr>
          <w:rFonts w:ascii="Times New Roman" w:hAnsi="Times New Roman" w:cs="Times New Roman"/>
          <w:noProof/>
        </w:rPr>
        <w:br w:type="page"/>
      </w:r>
    </w:p>
    <w:p w:rsidR="005156D3" w:rsidRDefault="005156D3">
      <w:pPr>
        <w:spacing w:line="240" w:lineRule="auto"/>
        <w:rPr>
          <w:rFonts w:ascii="Times New Roman" w:hAnsi="Times New Roman" w:cs="Times New Roman"/>
          <w:noProof/>
        </w:rPr>
      </w:pPr>
    </w:p>
    <w:p w:rsidR="005156D3" w:rsidRDefault="0015526A">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noProof/>
        </w:rPr>
      </w:pPr>
      <w:r>
        <w:rPr>
          <w:rFonts w:ascii="Times New Roman" w:hAnsi="Times New Roman" w:cs="Times New Roman"/>
          <w:noProof/>
        </w:rPr>
        <w:t>Based on the EBA analysis, it is possible to create a specific framework for STS balance-sheet synthetic securitisations and to establish a differentiated regulatory treatment, limited to adjusting the pruden</w:t>
      </w:r>
      <w:r>
        <w:rPr>
          <w:rFonts w:ascii="Times New Roman" w:hAnsi="Times New Roman" w:cs="Times New Roman"/>
          <w:noProof/>
        </w:rPr>
        <w:t>tial floor for the senior tranche, that should be retained by the originating credit institution, to a level equivalent to the traditional STS framework.</w:t>
      </w:r>
    </w:p>
    <w:p w:rsidR="005156D3" w:rsidRDefault="0015526A">
      <w:pPr>
        <w:spacing w:line="240" w:lineRule="auto"/>
        <w:rPr>
          <w:noProof/>
        </w:rPr>
      </w:pPr>
      <w:r>
        <w:rPr>
          <w:noProof/>
        </w:rPr>
        <w:br w:type="page"/>
      </w:r>
    </w:p>
    <w:p w:rsidR="005156D3" w:rsidRDefault="0015526A">
      <w:pPr>
        <w:jc w:val="center"/>
        <w:rPr>
          <w:rFonts w:ascii="Times New Roman" w:hAnsi="Times New Roman" w:cs="Times New Roman"/>
          <w:b/>
          <w:noProof/>
        </w:rPr>
      </w:pPr>
      <w:r>
        <w:rPr>
          <w:rFonts w:ascii="Times New Roman" w:hAnsi="Times New Roman" w:cs="Times New Roman"/>
          <w:b/>
          <w:noProof/>
        </w:rPr>
        <w:t>ANNEXES</w:t>
      </w:r>
    </w:p>
    <w:p w:rsidR="005156D3" w:rsidRDefault="0015526A">
      <w:pPr>
        <w:rPr>
          <w:rFonts w:ascii="Times New Roman" w:hAnsi="Times New Roman" w:cs="Times New Roman"/>
          <w:b/>
          <w:iCs/>
          <w:noProof/>
        </w:rPr>
      </w:pPr>
      <w:r>
        <w:rPr>
          <w:rFonts w:ascii="Times New Roman" w:hAnsi="Times New Roman" w:cs="Times New Roman"/>
          <w:b/>
          <w:iCs/>
          <w:noProof/>
        </w:rPr>
        <w:t xml:space="preserve">Annex I: Summary comparison of synthetic market pre- and post-crisis </w:t>
      </w:r>
    </w:p>
    <w:tbl>
      <w:tblPr>
        <w:tblStyle w:val="GridTable4-Accent31"/>
        <w:tblW w:w="0" w:type="auto"/>
        <w:tblLook w:val="04A0" w:firstRow="1" w:lastRow="0" w:firstColumn="1" w:lastColumn="0" w:noHBand="0" w:noVBand="1"/>
      </w:tblPr>
      <w:tblGrid>
        <w:gridCol w:w="3081"/>
        <w:gridCol w:w="3079"/>
        <w:gridCol w:w="3082"/>
      </w:tblGrid>
      <w:tr w:rsidR="005156D3" w:rsidTr="005156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5156D3" w:rsidRDefault="005156D3">
            <w:pPr>
              <w:spacing w:after="160" w:line="259" w:lineRule="auto"/>
              <w:rPr>
                <w:rFonts w:ascii="Times New Roman" w:hAnsi="Times New Roman" w:cs="Times New Roman"/>
                <w:noProof/>
              </w:rPr>
            </w:pPr>
          </w:p>
        </w:tc>
        <w:tc>
          <w:tcPr>
            <w:tcW w:w="3079" w:type="dxa"/>
          </w:tcPr>
          <w:p w:rsidR="005156D3" w:rsidRDefault="0015526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cs="Times New Roman"/>
                <w:noProof/>
                <w:u w:val="single"/>
              </w:rPr>
              <w:t xml:space="preserve">Synthetic market </w:t>
            </w:r>
            <w:r>
              <w:rPr>
                <w:rFonts w:ascii="Times New Roman" w:hAnsi="Times New Roman" w:cs="Times New Roman"/>
                <w:noProof/>
                <w:u w:val="single"/>
              </w:rPr>
              <w:t>pre-crisis</w:t>
            </w:r>
          </w:p>
        </w:tc>
        <w:tc>
          <w:tcPr>
            <w:tcW w:w="3082" w:type="dxa"/>
          </w:tcPr>
          <w:p w:rsidR="005156D3" w:rsidRDefault="0015526A">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u w:val="single"/>
              </w:rPr>
            </w:pPr>
            <w:r>
              <w:rPr>
                <w:rFonts w:ascii="Times New Roman" w:hAnsi="Times New Roman" w:cs="Times New Roman"/>
                <w:noProof/>
                <w:u w:val="single"/>
              </w:rPr>
              <w:t>Synthetic market post-crisis</w:t>
            </w:r>
          </w:p>
        </w:tc>
      </w:tr>
      <w:tr w:rsidR="005156D3" w:rsidTr="00515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5156D3" w:rsidRDefault="0015526A">
            <w:pPr>
              <w:spacing w:after="160" w:line="259" w:lineRule="auto"/>
              <w:rPr>
                <w:rFonts w:ascii="Times New Roman" w:hAnsi="Times New Roman" w:cs="Times New Roman"/>
                <w:b w:val="0"/>
                <w:noProof/>
                <w:u w:val="single"/>
              </w:rPr>
            </w:pPr>
            <w:r>
              <w:rPr>
                <w:rFonts w:ascii="Times New Roman" w:hAnsi="Times New Roman" w:cs="Times New Roman"/>
                <w:noProof/>
                <w:u w:val="single"/>
              </w:rPr>
              <w:t>Market</w:t>
            </w:r>
          </w:p>
        </w:tc>
        <w:tc>
          <w:tcPr>
            <w:tcW w:w="3079" w:type="dxa"/>
          </w:tcPr>
          <w:p w:rsidR="005156D3" w:rsidRDefault="0015526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Public</w:t>
            </w:r>
          </w:p>
        </w:tc>
        <w:tc>
          <w:tcPr>
            <w:tcW w:w="3082" w:type="dxa"/>
          </w:tcPr>
          <w:p w:rsidR="005156D3" w:rsidRDefault="0015526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Private or bilateral</w:t>
            </w:r>
          </w:p>
        </w:tc>
      </w:tr>
      <w:tr w:rsidR="005156D3" w:rsidTr="005156D3">
        <w:tc>
          <w:tcPr>
            <w:cnfStyle w:val="001000000000" w:firstRow="0" w:lastRow="0" w:firstColumn="1" w:lastColumn="0" w:oddVBand="0" w:evenVBand="0" w:oddHBand="0" w:evenHBand="0" w:firstRowFirstColumn="0" w:firstRowLastColumn="0" w:lastRowFirstColumn="0" w:lastRowLastColumn="0"/>
            <w:tcW w:w="3081" w:type="dxa"/>
          </w:tcPr>
          <w:p w:rsidR="005156D3" w:rsidRDefault="0015526A">
            <w:pPr>
              <w:spacing w:after="160" w:line="259" w:lineRule="auto"/>
              <w:rPr>
                <w:rFonts w:ascii="Times New Roman" w:hAnsi="Times New Roman" w:cs="Times New Roman"/>
                <w:b w:val="0"/>
                <w:noProof/>
                <w:u w:val="single"/>
              </w:rPr>
            </w:pPr>
            <w:r>
              <w:rPr>
                <w:rFonts w:ascii="Times New Roman" w:hAnsi="Times New Roman" w:cs="Times New Roman"/>
                <w:noProof/>
                <w:u w:val="single"/>
              </w:rPr>
              <w:t>Type of securitisation</w:t>
            </w:r>
          </w:p>
        </w:tc>
        <w:tc>
          <w:tcPr>
            <w:tcW w:w="3079" w:type="dxa"/>
          </w:tcPr>
          <w:p w:rsidR="005156D3" w:rsidRDefault="0015526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Arbitrage and balance sheet</w:t>
            </w:r>
          </w:p>
        </w:tc>
        <w:tc>
          <w:tcPr>
            <w:tcW w:w="3082" w:type="dxa"/>
          </w:tcPr>
          <w:p w:rsidR="005156D3" w:rsidRDefault="0015526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Almost exclusively balance sheet</w:t>
            </w:r>
          </w:p>
        </w:tc>
      </w:tr>
      <w:tr w:rsidR="005156D3" w:rsidTr="00515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5156D3" w:rsidRDefault="0015526A">
            <w:pPr>
              <w:spacing w:after="160" w:line="259" w:lineRule="auto"/>
              <w:rPr>
                <w:rFonts w:ascii="Times New Roman" w:hAnsi="Times New Roman" w:cs="Times New Roman"/>
                <w:b w:val="0"/>
                <w:noProof/>
                <w:u w:val="single"/>
              </w:rPr>
            </w:pPr>
            <w:r>
              <w:rPr>
                <w:rFonts w:ascii="Times New Roman" w:hAnsi="Times New Roman" w:cs="Times New Roman"/>
                <w:noProof/>
                <w:u w:val="single"/>
              </w:rPr>
              <w:t>Private/Public</w:t>
            </w:r>
          </w:p>
        </w:tc>
        <w:tc>
          <w:tcPr>
            <w:tcW w:w="3079" w:type="dxa"/>
          </w:tcPr>
          <w:p w:rsidR="005156D3" w:rsidRDefault="0015526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Mostly public and rated</w:t>
            </w:r>
          </w:p>
        </w:tc>
        <w:tc>
          <w:tcPr>
            <w:tcW w:w="3082" w:type="dxa"/>
          </w:tcPr>
          <w:p w:rsidR="005156D3" w:rsidRDefault="0015526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Mostly private and bilateral</w:t>
            </w:r>
          </w:p>
        </w:tc>
      </w:tr>
      <w:tr w:rsidR="005156D3" w:rsidTr="005156D3">
        <w:tc>
          <w:tcPr>
            <w:cnfStyle w:val="001000000000" w:firstRow="0" w:lastRow="0" w:firstColumn="1" w:lastColumn="0" w:oddVBand="0" w:evenVBand="0" w:oddHBand="0" w:evenHBand="0" w:firstRowFirstColumn="0" w:firstRowLastColumn="0" w:lastRowFirstColumn="0" w:lastRowLastColumn="0"/>
            <w:tcW w:w="3081" w:type="dxa"/>
          </w:tcPr>
          <w:p w:rsidR="005156D3" w:rsidRDefault="0015526A">
            <w:pPr>
              <w:spacing w:after="160" w:line="259" w:lineRule="auto"/>
              <w:rPr>
                <w:rFonts w:ascii="Times New Roman" w:hAnsi="Times New Roman" w:cs="Times New Roman"/>
                <w:b w:val="0"/>
                <w:noProof/>
                <w:u w:val="single"/>
              </w:rPr>
            </w:pPr>
            <w:r>
              <w:rPr>
                <w:rFonts w:ascii="Times New Roman" w:hAnsi="Times New Roman" w:cs="Times New Roman"/>
                <w:noProof/>
                <w:u w:val="single"/>
              </w:rPr>
              <w:t>Assets</w:t>
            </w:r>
          </w:p>
        </w:tc>
        <w:tc>
          <w:tcPr>
            <w:tcW w:w="3079" w:type="dxa"/>
          </w:tcPr>
          <w:p w:rsidR="005156D3" w:rsidRDefault="0015526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Mostly corporates</w:t>
            </w:r>
          </w:p>
        </w:tc>
        <w:tc>
          <w:tcPr>
            <w:tcW w:w="3082" w:type="dxa"/>
          </w:tcPr>
          <w:p w:rsidR="005156D3" w:rsidRDefault="0015526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Mostly corporates, diversification and addition of new asset classes</w:t>
            </w:r>
          </w:p>
        </w:tc>
      </w:tr>
      <w:tr w:rsidR="005156D3" w:rsidTr="00515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5156D3" w:rsidRDefault="0015526A">
            <w:pPr>
              <w:spacing w:after="160" w:line="259" w:lineRule="auto"/>
              <w:rPr>
                <w:rFonts w:ascii="Times New Roman" w:hAnsi="Times New Roman" w:cs="Times New Roman"/>
                <w:b w:val="0"/>
                <w:noProof/>
                <w:u w:val="single"/>
              </w:rPr>
            </w:pPr>
            <w:r>
              <w:rPr>
                <w:rFonts w:ascii="Times New Roman" w:hAnsi="Times New Roman" w:cs="Times New Roman"/>
                <w:noProof/>
                <w:u w:val="single"/>
              </w:rPr>
              <w:t>Originators</w:t>
            </w:r>
          </w:p>
        </w:tc>
        <w:tc>
          <w:tcPr>
            <w:tcW w:w="3079" w:type="dxa"/>
          </w:tcPr>
          <w:p w:rsidR="005156D3" w:rsidRDefault="0015526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Larger to mid-tier banks, standardised banks moving to IRB</w:t>
            </w:r>
          </w:p>
        </w:tc>
        <w:tc>
          <w:tcPr>
            <w:tcW w:w="3082" w:type="dxa"/>
          </w:tcPr>
          <w:p w:rsidR="005156D3" w:rsidRDefault="0015526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Large banks, mostly SIFIs</w:t>
            </w:r>
          </w:p>
        </w:tc>
      </w:tr>
      <w:tr w:rsidR="005156D3" w:rsidTr="005156D3">
        <w:tc>
          <w:tcPr>
            <w:cnfStyle w:val="001000000000" w:firstRow="0" w:lastRow="0" w:firstColumn="1" w:lastColumn="0" w:oddVBand="0" w:evenVBand="0" w:oddHBand="0" w:evenHBand="0" w:firstRowFirstColumn="0" w:firstRowLastColumn="0" w:lastRowFirstColumn="0" w:lastRowLastColumn="0"/>
            <w:tcW w:w="3081" w:type="dxa"/>
          </w:tcPr>
          <w:p w:rsidR="005156D3" w:rsidRDefault="0015526A">
            <w:pPr>
              <w:spacing w:after="160" w:line="259" w:lineRule="auto"/>
              <w:rPr>
                <w:rFonts w:ascii="Times New Roman" w:hAnsi="Times New Roman" w:cs="Times New Roman"/>
                <w:b w:val="0"/>
                <w:noProof/>
                <w:u w:val="single"/>
              </w:rPr>
            </w:pPr>
            <w:r>
              <w:rPr>
                <w:rFonts w:ascii="Times New Roman" w:hAnsi="Times New Roman" w:cs="Times New Roman"/>
                <w:noProof/>
                <w:u w:val="single"/>
              </w:rPr>
              <w:t>Investors</w:t>
            </w:r>
          </w:p>
        </w:tc>
        <w:tc>
          <w:tcPr>
            <w:tcW w:w="3079" w:type="dxa"/>
          </w:tcPr>
          <w:p w:rsidR="005156D3" w:rsidRDefault="0015526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Broad, ABS mainly</w:t>
            </w:r>
          </w:p>
        </w:tc>
        <w:tc>
          <w:tcPr>
            <w:tcW w:w="3082" w:type="dxa"/>
          </w:tcPr>
          <w:p w:rsidR="005156D3" w:rsidRDefault="0015526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Narrow, alternative mainly</w:t>
            </w:r>
          </w:p>
        </w:tc>
      </w:tr>
      <w:tr w:rsidR="005156D3" w:rsidTr="005156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1" w:type="dxa"/>
          </w:tcPr>
          <w:p w:rsidR="005156D3" w:rsidRDefault="0015526A">
            <w:pPr>
              <w:spacing w:after="160" w:line="259" w:lineRule="auto"/>
              <w:rPr>
                <w:rFonts w:ascii="Times New Roman" w:hAnsi="Times New Roman" w:cs="Times New Roman"/>
                <w:b w:val="0"/>
                <w:noProof/>
                <w:u w:val="single"/>
              </w:rPr>
            </w:pPr>
            <w:r>
              <w:rPr>
                <w:rFonts w:ascii="Times New Roman" w:hAnsi="Times New Roman" w:cs="Times New Roman"/>
                <w:noProof/>
                <w:u w:val="single"/>
              </w:rPr>
              <w:t>Structure</w:t>
            </w:r>
          </w:p>
        </w:tc>
        <w:tc>
          <w:tcPr>
            <w:tcW w:w="3079" w:type="dxa"/>
          </w:tcPr>
          <w:p w:rsidR="005156D3" w:rsidRDefault="0015526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Full synthetic </w:t>
            </w:r>
            <w:r>
              <w:rPr>
                <w:rFonts w:ascii="Times New Roman" w:hAnsi="Times New Roman" w:cs="Times New Roman"/>
                <w:noProof/>
              </w:rPr>
              <w:t>structure (senior + junior)</w:t>
            </w:r>
          </w:p>
        </w:tc>
        <w:tc>
          <w:tcPr>
            <w:tcW w:w="3082" w:type="dxa"/>
          </w:tcPr>
          <w:p w:rsidR="005156D3" w:rsidRDefault="0015526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Mezz/junior only</w:t>
            </w:r>
          </w:p>
        </w:tc>
      </w:tr>
      <w:tr w:rsidR="005156D3" w:rsidTr="005156D3">
        <w:trPr>
          <w:trHeight w:val="558"/>
        </w:trPr>
        <w:tc>
          <w:tcPr>
            <w:cnfStyle w:val="001000000000" w:firstRow="0" w:lastRow="0" w:firstColumn="1" w:lastColumn="0" w:oddVBand="0" w:evenVBand="0" w:oddHBand="0" w:evenHBand="0" w:firstRowFirstColumn="0" w:firstRowLastColumn="0" w:lastRowFirstColumn="0" w:lastRowLastColumn="0"/>
            <w:tcW w:w="3081" w:type="dxa"/>
          </w:tcPr>
          <w:p w:rsidR="005156D3" w:rsidRDefault="0015526A">
            <w:pPr>
              <w:spacing w:after="160" w:line="259" w:lineRule="auto"/>
              <w:rPr>
                <w:rFonts w:ascii="Times New Roman" w:hAnsi="Times New Roman" w:cs="Times New Roman"/>
                <w:b w:val="0"/>
                <w:noProof/>
                <w:u w:val="single"/>
              </w:rPr>
            </w:pPr>
            <w:r>
              <w:rPr>
                <w:rFonts w:ascii="Times New Roman" w:hAnsi="Times New Roman" w:cs="Times New Roman"/>
                <w:noProof/>
                <w:u w:val="single"/>
              </w:rPr>
              <w:t>Credit protection mechanism</w:t>
            </w:r>
          </w:p>
        </w:tc>
        <w:tc>
          <w:tcPr>
            <w:tcW w:w="3079" w:type="dxa"/>
          </w:tcPr>
          <w:p w:rsidR="005156D3" w:rsidRDefault="0015526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Unfunded</w:t>
            </w:r>
          </w:p>
        </w:tc>
        <w:tc>
          <w:tcPr>
            <w:tcW w:w="3082" w:type="dxa"/>
          </w:tcPr>
          <w:p w:rsidR="005156D3" w:rsidRDefault="0015526A">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Funded, and unfunded for public</w:t>
            </w:r>
          </w:p>
        </w:tc>
      </w:tr>
    </w:tbl>
    <w:p w:rsidR="005156D3" w:rsidRDefault="0015526A">
      <w:pPr>
        <w:rPr>
          <w:rFonts w:ascii="Times New Roman" w:hAnsi="Times New Roman" w:cs="Times New Roman"/>
          <w:noProof/>
          <w:sz w:val="20"/>
        </w:rPr>
      </w:pPr>
      <w:r>
        <w:rPr>
          <w:rFonts w:ascii="Times New Roman" w:hAnsi="Times New Roman" w:cs="Times New Roman"/>
          <w:noProof/>
          <w:sz w:val="20"/>
        </w:rPr>
        <w:t xml:space="preserve">Source: </w:t>
      </w:r>
      <w:r>
        <w:rPr>
          <w:rFonts w:ascii="Times New Roman" w:hAnsi="Times New Roman" w:cs="Times New Roman"/>
          <w:iCs/>
          <w:noProof/>
          <w:sz w:val="20"/>
        </w:rPr>
        <w:t>EBA, Integer Advisors</w:t>
      </w:r>
    </w:p>
    <w:p w:rsidR="005156D3" w:rsidRDefault="0015526A">
      <w:pPr>
        <w:rPr>
          <w:rFonts w:ascii="Times New Roman" w:hAnsi="Times New Roman" w:cs="Times New Roman"/>
          <w:noProof/>
        </w:rPr>
      </w:pPr>
      <w:r>
        <w:rPr>
          <w:rFonts w:ascii="Times New Roman" w:hAnsi="Times New Roman" w:cs="Times New Roman"/>
          <w:noProof/>
        </w:rPr>
        <w:br w:type="page"/>
      </w:r>
    </w:p>
    <w:p w:rsidR="005156D3" w:rsidRDefault="0015526A">
      <w:pPr>
        <w:rPr>
          <w:rFonts w:ascii="Times New Roman" w:hAnsi="Times New Roman" w:cs="Times New Roman"/>
          <w:b/>
          <w:iCs/>
          <w:noProof/>
        </w:rPr>
      </w:pPr>
      <w:r>
        <w:rPr>
          <w:rFonts w:ascii="Times New Roman" w:hAnsi="Times New Roman" w:cs="Times New Roman"/>
          <w:b/>
          <w:iCs/>
          <w:noProof/>
        </w:rPr>
        <w:t>Annex II: Overview of STS criteria and comparison with STS criteria for traditional securitisation</w:t>
      </w:r>
    </w:p>
    <w:tbl>
      <w:tblPr>
        <w:tblStyle w:val="TableGrid"/>
        <w:tblW w:w="0" w:type="auto"/>
        <w:tblLook w:val="04A0" w:firstRow="1" w:lastRow="0" w:firstColumn="1" w:lastColumn="0" w:noHBand="0" w:noVBand="1"/>
      </w:tblPr>
      <w:tblGrid>
        <w:gridCol w:w="3081"/>
        <w:gridCol w:w="5532"/>
      </w:tblGrid>
      <w:tr w:rsidR="005156D3">
        <w:tc>
          <w:tcPr>
            <w:tcW w:w="3081" w:type="dxa"/>
            <w:vAlign w:val="center"/>
          </w:tcPr>
          <w:p w:rsidR="005156D3" w:rsidRDefault="0015526A">
            <w:pPr>
              <w:jc w:val="center"/>
              <w:rPr>
                <w:rFonts w:ascii="Times New Roman" w:hAnsi="Times New Roman" w:cs="Times New Roman"/>
                <w:b/>
                <w:noProof/>
              </w:rPr>
            </w:pPr>
            <w:r>
              <w:rPr>
                <w:rFonts w:ascii="Times New Roman" w:hAnsi="Times New Roman" w:cs="Times New Roman"/>
                <w:b/>
                <w:noProof/>
              </w:rPr>
              <w:t>Criterion</w:t>
            </w:r>
          </w:p>
        </w:tc>
        <w:tc>
          <w:tcPr>
            <w:tcW w:w="5532" w:type="dxa"/>
            <w:vAlign w:val="center"/>
          </w:tcPr>
          <w:p w:rsidR="005156D3" w:rsidRDefault="0015526A">
            <w:pPr>
              <w:jc w:val="center"/>
              <w:rPr>
                <w:rFonts w:ascii="Times New Roman" w:hAnsi="Times New Roman" w:cs="Times New Roman"/>
                <w:b/>
                <w:noProof/>
              </w:rPr>
            </w:pPr>
            <w:r>
              <w:rPr>
                <w:rFonts w:ascii="Times New Roman" w:hAnsi="Times New Roman" w:cs="Times New Roman"/>
                <w:b/>
                <w:noProof/>
              </w:rPr>
              <w:t xml:space="preserve">Comparison with criteria for traditional (non-ABCP) securitisation (references to Articles in Securitisation Regulation) </w:t>
            </w:r>
          </w:p>
          <w:p w:rsidR="005156D3" w:rsidRDefault="005156D3">
            <w:pPr>
              <w:jc w:val="center"/>
              <w:rPr>
                <w:rFonts w:ascii="Times New Roman" w:hAnsi="Times New Roman" w:cs="Times New Roman"/>
                <w:b/>
                <w:noProof/>
              </w:rPr>
            </w:pPr>
          </w:p>
        </w:tc>
      </w:tr>
      <w:tr w:rsidR="005156D3">
        <w:tc>
          <w:tcPr>
            <w:tcW w:w="8613" w:type="dxa"/>
            <w:gridSpan w:val="2"/>
          </w:tcPr>
          <w:p w:rsidR="005156D3" w:rsidRDefault="0015526A">
            <w:pPr>
              <w:pStyle w:val="Default"/>
              <w:jc w:val="center"/>
              <w:rPr>
                <w:rFonts w:ascii="Times New Roman" w:hAnsi="Times New Roman" w:cs="Times New Roman"/>
                <w:b/>
                <w:noProof/>
                <w:sz w:val="22"/>
                <w:szCs w:val="22"/>
              </w:rPr>
            </w:pPr>
            <w:r>
              <w:rPr>
                <w:rFonts w:ascii="Times New Roman" w:hAnsi="Times New Roman" w:cs="Times New Roman"/>
                <w:b/>
                <w:noProof/>
                <w:sz w:val="22"/>
                <w:szCs w:val="22"/>
              </w:rPr>
              <w:t>Simplicity</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1: Balance sheet synthetic securitisation, credit risk mitigation </w:t>
            </w:r>
          </w:p>
          <w:p w:rsidR="005156D3" w:rsidRDefault="005156D3">
            <w:pPr>
              <w:rPr>
                <w:rFonts w:ascii="Times New Roman" w:hAnsi="Times New Roman" w:cs="Times New Roman"/>
                <w:noProof/>
              </w:rPr>
            </w:pP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Replacement of the criterion on true sale</w:t>
            </w:r>
            <w:r>
              <w:rPr>
                <w:rFonts w:ascii="Times New Roman" w:hAnsi="Times New Roman" w:cs="Times New Roman"/>
                <w:noProof/>
                <w:sz w:val="22"/>
                <w:szCs w:val="22"/>
              </w:rPr>
              <w:t>/assignment/assignment at later stage, clawback provisions, representations and warranties on enforcement of true sale (Art. 20(1) – (5) of the Securitisation Regulation) – with definition of balance sheet synthetics and requirement to ensure robustness of</w:t>
            </w:r>
            <w:r>
              <w:rPr>
                <w:rFonts w:ascii="Times New Roman" w:hAnsi="Times New Roman" w:cs="Times New Roman"/>
                <w:noProof/>
                <w:sz w:val="22"/>
                <w:szCs w:val="22"/>
              </w:rPr>
              <w:t xml:space="preserve"> credit protection contract (credit risk mitigation criteria)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2: Representations and warranties </w:t>
            </w:r>
          </w:p>
          <w:p w:rsidR="005156D3" w:rsidRDefault="005156D3">
            <w:pPr>
              <w:rPr>
                <w:rFonts w:ascii="Times New Roman" w:hAnsi="Times New Roman" w:cs="Times New Roman"/>
                <w:noProof/>
              </w:rPr>
            </w:pP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Adaptation of the the criterion on representations and warranties (Art. 20(6): extension of the required representations and warranties and adaptation of their objective and content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3: Eligibility criteria, no active portfolio management </w:t>
            </w:r>
          </w:p>
          <w:p w:rsidR="005156D3" w:rsidRDefault="005156D3">
            <w:pPr>
              <w:rPr>
                <w:rFonts w:ascii="Times New Roman" w:hAnsi="Times New Roman" w:cs="Times New Roman"/>
                <w:noProof/>
              </w:rPr>
            </w:pP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Adap</w:t>
            </w:r>
            <w:r>
              <w:rPr>
                <w:rFonts w:ascii="Times New Roman" w:hAnsi="Times New Roman" w:cs="Times New Roman"/>
                <w:noProof/>
                <w:sz w:val="22"/>
                <w:szCs w:val="22"/>
              </w:rPr>
              <w:t xml:space="preserve">tation of the criterion on eligibility criteria, no active portfolio management (Art. 20(7)): adaptation of allowed portfolio management techniques, inclusion of additional conditions for removal of the underlying exposures in securitisation </w:t>
            </w:r>
          </w:p>
        </w:tc>
      </w:tr>
      <w:tr w:rsidR="005156D3">
        <w:tc>
          <w:tcPr>
            <w:tcW w:w="3081"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Criterion 4: Homogeneity, enforceable obligations, full recourse to obligors, period payment streams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20(8)) </w:t>
            </w:r>
          </w:p>
        </w:tc>
      </w:tr>
      <w:tr w:rsidR="005156D3">
        <w:tc>
          <w:tcPr>
            <w:tcW w:w="3081"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Criterion 5: No transferable securities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20(8)) </w:t>
            </w:r>
          </w:p>
        </w:tc>
      </w:tr>
      <w:tr w:rsidR="005156D3">
        <w:tc>
          <w:tcPr>
            <w:tcW w:w="3081"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Criterion 6: No resecuritisation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20(9))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Criterion</w:t>
            </w:r>
            <w:r>
              <w:rPr>
                <w:rFonts w:ascii="Times New Roman" w:hAnsi="Times New Roman" w:cs="Times New Roman"/>
                <w:noProof/>
                <w:sz w:val="22"/>
                <w:szCs w:val="22"/>
              </w:rPr>
              <w:t xml:space="preserve"> 7: Underwriting standards and material changes thereto </w:t>
            </w:r>
          </w:p>
          <w:p w:rsidR="005156D3" w:rsidRDefault="005156D3">
            <w:pPr>
              <w:rPr>
                <w:rFonts w:ascii="Times New Roman" w:hAnsi="Times New Roman" w:cs="Times New Roman"/>
                <w:noProof/>
              </w:rPr>
            </w:pP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Adaptation of the criterion on underwriting standards and material changes thereto (Art. 20(10): additional clarification with respect to the types of eligible obligors and with respect to the under</w:t>
            </w:r>
            <w:r>
              <w:rPr>
                <w:rFonts w:ascii="Times New Roman" w:hAnsi="Times New Roman" w:cs="Times New Roman"/>
                <w:noProof/>
                <w:sz w:val="22"/>
                <w:szCs w:val="22"/>
              </w:rPr>
              <w:t xml:space="preserve">writing of the underlying exposures </w:t>
            </w:r>
          </w:p>
        </w:tc>
      </w:tr>
      <w:tr w:rsidR="005156D3">
        <w:tc>
          <w:tcPr>
            <w:tcW w:w="3081"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Criterion 8: Self-certified loans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20(10)) </w:t>
            </w:r>
          </w:p>
        </w:tc>
      </w:tr>
      <w:tr w:rsidR="005156D3">
        <w:tc>
          <w:tcPr>
            <w:tcW w:w="3081"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Criterion 9: Borrower’s creditworthiness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20(10)) </w:t>
            </w:r>
          </w:p>
        </w:tc>
      </w:tr>
      <w:tr w:rsidR="005156D3">
        <w:trPr>
          <w:trHeight w:val="363"/>
        </w:trPr>
        <w:tc>
          <w:tcPr>
            <w:tcW w:w="3081"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Criterion 10: Originator’s expertise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20(10))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11: No defaulted exposures or exposures subject to outstanding disputes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20(11))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12: At least one payment made </w:t>
            </w:r>
          </w:p>
          <w:p w:rsidR="005156D3" w:rsidRDefault="005156D3">
            <w:pPr>
              <w:rPr>
                <w:rFonts w:ascii="Times New Roman" w:hAnsi="Times New Roman" w:cs="Times New Roman"/>
                <w:noProof/>
              </w:rPr>
            </w:pPr>
          </w:p>
        </w:tc>
        <w:tc>
          <w:tcPr>
            <w:tcW w:w="5532" w:type="dxa"/>
          </w:tcPr>
          <w:p w:rsidR="005156D3" w:rsidRDefault="0015526A">
            <w:pPr>
              <w:rPr>
                <w:rFonts w:ascii="Times New Roman" w:hAnsi="Times New Roman" w:cs="Times New Roman"/>
                <w:i/>
                <w:noProof/>
              </w:rPr>
            </w:pPr>
            <w:r>
              <w:rPr>
                <w:rFonts w:ascii="Times New Roman" w:hAnsi="Times New Roman" w:cs="Times New Roman"/>
                <w:i/>
                <w:noProof/>
              </w:rPr>
              <w:t xml:space="preserve">Similar (Art. 20(12))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NEW criterion: Credit protection premiums</w:t>
            </w:r>
          </w:p>
        </w:tc>
        <w:tc>
          <w:tcPr>
            <w:tcW w:w="5532" w:type="dxa"/>
          </w:tcPr>
          <w:p w:rsidR="005156D3" w:rsidRDefault="0015526A">
            <w:pPr>
              <w:rPr>
                <w:rFonts w:ascii="Times New Roman" w:hAnsi="Times New Roman" w:cs="Times New Roman"/>
                <w:noProof/>
              </w:rPr>
            </w:pPr>
            <w:r>
              <w:rPr>
                <w:rFonts w:ascii="Times New Roman" w:hAnsi="Times New Roman" w:cs="Times New Roman"/>
                <w:noProof/>
              </w:rPr>
              <w:t>Specifying that the credit protection pre</w:t>
            </w:r>
            <w:r>
              <w:rPr>
                <w:rFonts w:ascii="Times New Roman" w:hAnsi="Times New Roman" w:cs="Times New Roman"/>
                <w:noProof/>
              </w:rPr>
              <w:t>miums should be contingent i.e. the actual amount of premium paid should be a function of the size and the credit risk of the protected tranche. No guaranteed premiums, upfront premium payments, rebate mechanisms or other mechanisms of similar nature are t</w:t>
            </w:r>
            <w:r>
              <w:rPr>
                <w:rFonts w:ascii="Times New Roman" w:hAnsi="Times New Roman" w:cs="Times New Roman"/>
                <w:noProof/>
              </w:rPr>
              <w:t>o be allowed</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NEW criterion: Early termination events</w:t>
            </w:r>
          </w:p>
        </w:tc>
        <w:tc>
          <w:tcPr>
            <w:tcW w:w="5532" w:type="dxa"/>
          </w:tcPr>
          <w:p w:rsidR="005156D3" w:rsidRDefault="0015526A">
            <w:pPr>
              <w:rPr>
                <w:rFonts w:ascii="Times New Roman" w:hAnsi="Times New Roman" w:cs="Times New Roman"/>
                <w:noProof/>
              </w:rPr>
            </w:pPr>
            <w:r>
              <w:rPr>
                <w:rFonts w:ascii="Times New Roman" w:hAnsi="Times New Roman" w:cs="Times New Roman"/>
                <w:noProof/>
              </w:rPr>
              <w:t>Specifying an exhaustive, limited number of early termination events</w:t>
            </w:r>
          </w:p>
        </w:tc>
      </w:tr>
      <w:tr w:rsidR="005156D3">
        <w:tc>
          <w:tcPr>
            <w:tcW w:w="8613" w:type="dxa"/>
            <w:gridSpan w:val="2"/>
          </w:tcPr>
          <w:p w:rsidR="005156D3" w:rsidRDefault="0015526A">
            <w:pPr>
              <w:pStyle w:val="Default"/>
              <w:jc w:val="center"/>
              <w:rPr>
                <w:rFonts w:ascii="Times New Roman" w:hAnsi="Times New Roman" w:cs="Times New Roman"/>
                <w:b/>
                <w:noProof/>
                <w:sz w:val="22"/>
                <w:szCs w:val="22"/>
              </w:rPr>
            </w:pPr>
            <w:r>
              <w:rPr>
                <w:rFonts w:ascii="Times New Roman" w:hAnsi="Times New Roman" w:cs="Times New Roman"/>
                <w:b/>
                <w:noProof/>
                <w:sz w:val="22"/>
                <w:szCs w:val="22"/>
              </w:rPr>
              <w:t>Standardisation</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13: Risk retention requirements </w:t>
            </w:r>
          </w:p>
          <w:p w:rsidR="005156D3" w:rsidRDefault="005156D3">
            <w:pPr>
              <w:rPr>
                <w:rFonts w:ascii="Times New Roman" w:hAnsi="Times New Roman" w:cs="Times New Roman"/>
                <w:noProof/>
              </w:rPr>
            </w:pPr>
          </w:p>
        </w:tc>
        <w:tc>
          <w:tcPr>
            <w:tcW w:w="5532" w:type="dxa"/>
          </w:tcPr>
          <w:p w:rsidR="005156D3" w:rsidRDefault="0015526A">
            <w:pPr>
              <w:rPr>
                <w:rFonts w:ascii="Times New Roman" w:hAnsi="Times New Roman" w:cs="Times New Roman"/>
                <w:i/>
                <w:noProof/>
              </w:rPr>
            </w:pPr>
            <w:r>
              <w:rPr>
                <w:rFonts w:ascii="Times New Roman" w:hAnsi="Times New Roman" w:cs="Times New Roman"/>
                <w:i/>
                <w:noProof/>
              </w:rPr>
              <w:t xml:space="preserve">Similar (Art. 21(1))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14: Appropriate mitigation of interest rate and currency risks </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Adaptation of the criterion on appropriate mitigation of interest rate and currency risks (Art. 21(2)): to further specify measures for appropriate mitigation of interest rate and cu</w:t>
            </w:r>
            <w:r>
              <w:rPr>
                <w:rFonts w:ascii="Times New Roman" w:hAnsi="Times New Roman" w:cs="Times New Roman"/>
                <w:noProof/>
                <w:sz w:val="22"/>
                <w:szCs w:val="22"/>
              </w:rPr>
              <w:t xml:space="preserve">rrency risks, adapted to synthetic securitisation </w:t>
            </w:r>
          </w:p>
        </w:tc>
      </w:tr>
      <w:tr w:rsidR="005156D3">
        <w:tc>
          <w:tcPr>
            <w:tcW w:w="3081"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Criterion 15: Referenced interest payments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21(3))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16: Requirements after enforcement/acceleration notice </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Adaptation of the criterion on requirements after enforcement/acceleration notice (Art. 21(4)): adapted to reflect that not all synthetic securitisations use SSPE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17: Allocation of losses and amortisation of tranches </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Adaptation of the criterio</w:t>
            </w:r>
            <w:r>
              <w:rPr>
                <w:rFonts w:ascii="Times New Roman" w:hAnsi="Times New Roman" w:cs="Times New Roman"/>
                <w:noProof/>
                <w:sz w:val="22"/>
                <w:szCs w:val="22"/>
              </w:rPr>
              <w:t xml:space="preserve">n on requirements for non-sequential priority of payments (Art. 21(5)): adapted with additional requirements for pro rata amortisation and allocation of losses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18: Early amortisation provisions/triggers for termination of the revolving period </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Adaptation of the criterion on early amortisation provisions/triggers for termination of the revolving period (Art. 21(6)): adapted with requirements for early amortisation only in the case of the use of an SSPE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19: Transaction documentation </w:t>
            </w:r>
          </w:p>
          <w:p w:rsidR="005156D3" w:rsidRDefault="005156D3">
            <w:pPr>
              <w:rPr>
                <w:rFonts w:ascii="Times New Roman" w:hAnsi="Times New Roman" w:cs="Times New Roman"/>
                <w:noProof/>
              </w:rPr>
            </w:pP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Adaptation of the criterion on transaction documentation (Art. 21(7)): with additional requirements for servicing standards and procedures </w:t>
            </w:r>
          </w:p>
        </w:tc>
      </w:tr>
      <w:tr w:rsidR="005156D3">
        <w:tc>
          <w:tcPr>
            <w:tcW w:w="3081"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Criterion 20: Servicer’s expertise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21(8))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21: Reference register </w:t>
            </w:r>
          </w:p>
          <w:p w:rsidR="005156D3" w:rsidRDefault="005156D3">
            <w:pPr>
              <w:rPr>
                <w:rFonts w:ascii="Times New Roman" w:hAnsi="Times New Roman" w:cs="Times New Roman"/>
                <w:noProof/>
              </w:rPr>
            </w:pP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Replacement of the cr</w:t>
            </w:r>
            <w:r>
              <w:rPr>
                <w:rFonts w:ascii="Times New Roman" w:hAnsi="Times New Roman" w:cs="Times New Roman"/>
                <w:noProof/>
                <w:sz w:val="22"/>
                <w:szCs w:val="22"/>
              </w:rPr>
              <w:t xml:space="preserve">iterion on definitions, remedies in the transaction documentation (Art. 21(9)): requirements for the transaction documentation to specify payment conditions is covered in separate criteria </w:t>
            </w:r>
          </w:p>
        </w:tc>
      </w:tr>
      <w:tr w:rsidR="005156D3">
        <w:tc>
          <w:tcPr>
            <w:tcW w:w="3081"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Criterion 22: Timely resolution of conflicts between investors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S</w:t>
            </w:r>
            <w:r>
              <w:rPr>
                <w:rFonts w:ascii="Times New Roman" w:hAnsi="Times New Roman" w:cs="Times New Roman"/>
                <w:i/>
                <w:noProof/>
                <w:sz w:val="22"/>
                <w:szCs w:val="22"/>
              </w:rPr>
              <w:t xml:space="preserve">imilar (Art. 21(10)) </w:t>
            </w:r>
          </w:p>
          <w:p w:rsidR="005156D3" w:rsidRDefault="005156D3">
            <w:pPr>
              <w:rPr>
                <w:rFonts w:ascii="Times New Roman" w:hAnsi="Times New Roman" w:cs="Times New Roman"/>
                <w:i/>
                <w:noProof/>
              </w:rPr>
            </w:pP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NEW criterion: Credit events</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Definitions of credit events, including reference to existing CRR text, and forbearance measures</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NEW criterion: Credit protection payments</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Criteria for credit protection payments, including that they </w:t>
            </w:r>
            <w:r>
              <w:rPr>
                <w:rFonts w:ascii="Times New Roman" w:hAnsi="Times New Roman" w:cs="Times New Roman"/>
                <w:noProof/>
                <w:sz w:val="22"/>
                <w:szCs w:val="22"/>
              </w:rPr>
              <w:t>should be based on the actual realised loss</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NEW criterion: Credit protection payments following the close out/final settlement at the final legal maturity of the credit protection agreement</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Specifying criteria for ensuring a minimum degree of timeliness i</w:t>
            </w:r>
            <w:r>
              <w:rPr>
                <w:rFonts w:ascii="Times New Roman" w:hAnsi="Times New Roman" w:cs="Times New Roman"/>
                <w:noProof/>
                <w:sz w:val="22"/>
                <w:szCs w:val="22"/>
              </w:rPr>
              <w:t>n credit protection payments</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NEW criterion: Synthetic excess spread</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Specifying the conditions, under which the originator would be allowed to commit to synthetic excess spread in the transaction. The interplay between synthetic excess spread and a potenti</w:t>
            </w:r>
            <w:r>
              <w:rPr>
                <w:rFonts w:ascii="Times New Roman" w:hAnsi="Times New Roman" w:cs="Times New Roman"/>
                <w:noProof/>
                <w:sz w:val="22"/>
                <w:szCs w:val="22"/>
              </w:rPr>
              <w:t>al assessment by the supervisor of the achievement of significant and commensurate risk transfer should be specified.</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NEW criterion: Eligible credit protection, counterparties and collateral</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Specifying a clear set of rules for the credit protection arrang</w:t>
            </w:r>
            <w:r>
              <w:rPr>
                <w:rFonts w:ascii="Times New Roman" w:hAnsi="Times New Roman" w:cs="Times New Roman"/>
                <w:noProof/>
                <w:sz w:val="22"/>
                <w:szCs w:val="22"/>
              </w:rPr>
              <w:t>ement and the collateral in the transaction.</w:t>
            </w:r>
          </w:p>
        </w:tc>
      </w:tr>
      <w:tr w:rsidR="005156D3">
        <w:tc>
          <w:tcPr>
            <w:tcW w:w="8613" w:type="dxa"/>
            <w:gridSpan w:val="2"/>
          </w:tcPr>
          <w:p w:rsidR="005156D3" w:rsidRDefault="0015526A">
            <w:pPr>
              <w:jc w:val="center"/>
              <w:rPr>
                <w:rFonts w:ascii="Times New Roman" w:hAnsi="Times New Roman" w:cs="Times New Roman"/>
                <w:b/>
                <w:noProof/>
              </w:rPr>
            </w:pPr>
            <w:r>
              <w:rPr>
                <w:rFonts w:ascii="Times New Roman" w:hAnsi="Times New Roman" w:cs="Times New Roman"/>
                <w:b/>
                <w:noProof/>
              </w:rPr>
              <w:t>Transparency</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23: Data on historical default and loss performance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22(1))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24: External verification of the sample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22(2))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25: Liability cash flow model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22(3))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26: Environmental performance of assets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22(4))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 xml:space="preserve">Criterion 27: Compliance with transparency requirements </w:t>
            </w:r>
          </w:p>
        </w:tc>
        <w:tc>
          <w:tcPr>
            <w:tcW w:w="5532" w:type="dxa"/>
          </w:tcPr>
          <w:p w:rsidR="005156D3" w:rsidRDefault="0015526A">
            <w:pPr>
              <w:pStyle w:val="Default"/>
              <w:rPr>
                <w:rFonts w:ascii="Times New Roman" w:hAnsi="Times New Roman" w:cs="Times New Roman"/>
                <w:i/>
                <w:noProof/>
                <w:sz w:val="22"/>
                <w:szCs w:val="22"/>
              </w:rPr>
            </w:pPr>
            <w:r>
              <w:rPr>
                <w:rFonts w:ascii="Times New Roman" w:hAnsi="Times New Roman" w:cs="Times New Roman"/>
                <w:i/>
                <w:noProof/>
                <w:sz w:val="22"/>
                <w:szCs w:val="22"/>
              </w:rPr>
              <w:t xml:space="preserve">Similar (Art. 22(5)) </w:t>
            </w:r>
          </w:p>
        </w:tc>
      </w:tr>
      <w:tr w:rsidR="005156D3">
        <w:tc>
          <w:tcPr>
            <w:tcW w:w="3081"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NEW criterion: Verification agent</w:t>
            </w:r>
          </w:p>
        </w:tc>
        <w:tc>
          <w:tcPr>
            <w:tcW w:w="5532" w:type="dxa"/>
          </w:tcPr>
          <w:p w:rsidR="005156D3" w:rsidRDefault="0015526A">
            <w:pPr>
              <w:pStyle w:val="Default"/>
              <w:rPr>
                <w:rFonts w:ascii="Times New Roman" w:hAnsi="Times New Roman" w:cs="Times New Roman"/>
                <w:noProof/>
                <w:sz w:val="22"/>
                <w:szCs w:val="22"/>
              </w:rPr>
            </w:pPr>
            <w:r>
              <w:rPr>
                <w:rFonts w:ascii="Times New Roman" w:hAnsi="Times New Roman" w:cs="Times New Roman"/>
                <w:noProof/>
                <w:sz w:val="22"/>
                <w:szCs w:val="22"/>
              </w:rPr>
              <w:t>Esta</w:t>
            </w:r>
            <w:r>
              <w:rPr>
                <w:rFonts w:ascii="Times New Roman" w:hAnsi="Times New Roman" w:cs="Times New Roman"/>
                <w:noProof/>
                <w:sz w:val="22"/>
                <w:szCs w:val="22"/>
              </w:rPr>
              <w:t>blishing the need to appoint an independent third-party verification agent to verify specified elements of the credit notice for each underlying exposure.</w:t>
            </w:r>
          </w:p>
        </w:tc>
      </w:tr>
    </w:tbl>
    <w:p w:rsidR="005156D3" w:rsidRDefault="0015526A">
      <w:pPr>
        <w:rPr>
          <w:rFonts w:ascii="Times New Roman" w:hAnsi="Times New Roman" w:cs="Times New Roman"/>
          <w:noProof/>
          <w:sz w:val="20"/>
        </w:rPr>
      </w:pPr>
      <w:r>
        <w:rPr>
          <w:rFonts w:ascii="Times New Roman" w:hAnsi="Times New Roman" w:cs="Times New Roman"/>
          <w:noProof/>
          <w:sz w:val="20"/>
        </w:rPr>
        <w:t xml:space="preserve">Source: </w:t>
      </w:r>
      <w:r>
        <w:rPr>
          <w:rFonts w:ascii="Times New Roman" w:hAnsi="Times New Roman" w:cs="Times New Roman"/>
          <w:iCs/>
          <w:noProof/>
          <w:sz w:val="20"/>
        </w:rPr>
        <w:t>EBA</w:t>
      </w:r>
    </w:p>
    <w:p w:rsidR="005156D3" w:rsidRDefault="005156D3">
      <w:pPr>
        <w:rPr>
          <w:rFonts w:ascii="Times New Roman" w:hAnsi="Times New Roman" w:cs="Times New Roman"/>
          <w:noProof/>
        </w:rPr>
      </w:pPr>
    </w:p>
    <w:sectPr w:rsidR="005156D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D3" w:rsidRDefault="0015526A">
      <w:pPr>
        <w:spacing w:after="0" w:line="240" w:lineRule="auto"/>
      </w:pPr>
      <w:r>
        <w:separator/>
      </w:r>
    </w:p>
  </w:endnote>
  <w:endnote w:type="continuationSeparator" w:id="0">
    <w:p w:rsidR="005156D3" w:rsidRDefault="0015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6A" w:rsidRPr="0015526A" w:rsidRDefault="0015526A" w:rsidP="00155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6A" w:rsidRPr="0015526A" w:rsidRDefault="0015526A" w:rsidP="0015526A">
    <w:pPr>
      <w:pStyle w:val="FooterCoverPage"/>
      <w:rPr>
        <w:rFonts w:ascii="Arial" w:hAnsi="Arial" w:cs="Arial"/>
        <w:b/>
        <w:sz w:val="48"/>
      </w:rPr>
    </w:pPr>
    <w:r w:rsidRPr="0015526A">
      <w:rPr>
        <w:rFonts w:ascii="Arial" w:hAnsi="Arial" w:cs="Arial"/>
        <w:b/>
        <w:sz w:val="48"/>
      </w:rPr>
      <w:t>EN</w:t>
    </w:r>
    <w:r w:rsidRPr="0015526A">
      <w:rPr>
        <w:rFonts w:ascii="Arial" w:hAnsi="Arial" w:cs="Arial"/>
        <w:b/>
        <w:sz w:val="48"/>
      </w:rPr>
      <w:tab/>
    </w:r>
    <w:r w:rsidRPr="0015526A">
      <w:rPr>
        <w:rFonts w:ascii="Arial" w:hAnsi="Arial" w:cs="Arial"/>
        <w:b/>
        <w:sz w:val="48"/>
      </w:rPr>
      <w:tab/>
    </w:r>
    <w:r w:rsidRPr="0015526A">
      <w:tab/>
    </w:r>
    <w:r w:rsidRPr="0015526A">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6A" w:rsidRPr="0015526A" w:rsidRDefault="0015526A" w:rsidP="0015526A">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D3" w:rsidRDefault="005156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44424"/>
      <w:docPartObj>
        <w:docPartGallery w:val="Page Numbers (Bottom of Page)"/>
        <w:docPartUnique/>
      </w:docPartObj>
    </w:sdtPr>
    <w:sdtEndPr>
      <w:rPr>
        <w:noProof/>
      </w:rPr>
    </w:sdtEndPr>
    <w:sdtContent>
      <w:p w:rsidR="005156D3" w:rsidRDefault="0015526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156D3" w:rsidRDefault="005156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D3" w:rsidRDefault="00515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D3" w:rsidRDefault="0015526A">
      <w:pPr>
        <w:spacing w:after="0" w:line="240" w:lineRule="auto"/>
      </w:pPr>
      <w:r>
        <w:separator/>
      </w:r>
    </w:p>
  </w:footnote>
  <w:footnote w:type="continuationSeparator" w:id="0">
    <w:p w:rsidR="005156D3" w:rsidRDefault="0015526A">
      <w:pPr>
        <w:spacing w:after="0" w:line="240" w:lineRule="auto"/>
      </w:pPr>
      <w:r>
        <w:continuationSeparator/>
      </w:r>
    </w:p>
  </w:footnote>
  <w:footnote w:id="1">
    <w:p w:rsidR="005156D3" w:rsidRDefault="0015526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Regulation (EU) 2017/2402 of the European Parliament and of the Council of 12 December 2017 laying down a general framework for securitisation and creating a specific framework for simple, transparent and standardised securitisation, and amending Directive</w:t>
      </w:r>
      <w:r>
        <w:rPr>
          <w:rFonts w:ascii="Times New Roman" w:hAnsi="Times New Roman" w:cs="Times New Roman"/>
        </w:rPr>
        <w:t xml:space="preserve">s 2009/65/EC, 2009/138/EC and 2011/61/EU and Regulations (EC) No 1060/2009 and (EU) No 648/2012 </w:t>
      </w:r>
    </w:p>
  </w:footnote>
  <w:footnote w:id="2">
    <w:p w:rsidR="005156D3" w:rsidRDefault="0015526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 w:history="1">
        <w:r>
          <w:rPr>
            <w:rStyle w:val="Hyperlink"/>
            <w:rFonts w:ascii="Times New Roman" w:hAnsi="Times New Roman" w:cs="Times New Roman"/>
          </w:rPr>
          <w:t>https://eba.europa.eu/eba-proposes-framework-sts-synthetic-securit</w:t>
        </w:r>
        <w:r>
          <w:rPr>
            <w:rStyle w:val="Hyperlink"/>
            <w:rFonts w:ascii="Times New Roman" w:hAnsi="Times New Roman" w:cs="Times New Roman"/>
          </w:rPr>
          <w:t>isation</w:t>
        </w:r>
      </w:hyperlink>
      <w:r>
        <w:rPr>
          <w:rFonts w:ascii="Times New Roman" w:hAnsi="Times New Roman" w:cs="Times New Roman"/>
        </w:rPr>
        <w:t xml:space="preserve"> </w:t>
      </w:r>
    </w:p>
  </w:footnote>
  <w:footnote w:id="3">
    <w:p w:rsidR="005156D3" w:rsidRDefault="0015526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https://eba.europa.eu/eba-issues-advice-on-synthetic-securitisation-for-smes</w:t>
        </w:r>
      </w:hyperlink>
      <w:r>
        <w:rPr>
          <w:rFonts w:ascii="Times New Roman" w:hAnsi="Times New Roman" w:cs="Times New Roman"/>
        </w:rPr>
        <w:t xml:space="preserve"> </w:t>
      </w:r>
    </w:p>
  </w:footnote>
  <w:footnote w:id="4">
    <w:p w:rsidR="005156D3" w:rsidRDefault="0015526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szCs w:val="17"/>
        </w:rPr>
        <w:t>Regulation (EU) 2017/2401 of the European Parliament and of the Counci</w:t>
      </w:r>
      <w:r>
        <w:rPr>
          <w:rFonts w:ascii="Times New Roman" w:hAnsi="Times New Roman" w:cs="Times New Roman"/>
          <w:szCs w:val="17"/>
        </w:rPr>
        <w:t>l of 12 December 2017 amending Regulation (EU) No 575/2013 on prudential requirements for credit institutions and investment firms</w:t>
      </w:r>
    </w:p>
  </w:footnote>
  <w:footnote w:id="5">
    <w:p w:rsidR="005156D3" w:rsidRDefault="0015526A">
      <w:pPr>
        <w:pStyle w:val="FootnoteText"/>
      </w:pPr>
      <w:r>
        <w:rPr>
          <w:rStyle w:val="FootnoteReference"/>
        </w:rPr>
        <w:footnoteRef/>
      </w:r>
      <w:r>
        <w:t xml:space="preserve"> </w:t>
      </w:r>
      <w:r>
        <w:tab/>
      </w:r>
      <w:r>
        <w:rPr>
          <w:rFonts w:ascii="Times New Roman" w:hAnsi="Times New Roman" w:cs="Times New Roman"/>
        </w:rPr>
        <w:t>Significant risk transfer is required in order for the originator bank to be able to exclude the securitised exposures fro</w:t>
      </w:r>
      <w:r>
        <w:rPr>
          <w:rFonts w:ascii="Times New Roman" w:hAnsi="Times New Roman" w:cs="Times New Roman"/>
        </w:rPr>
        <w:t>m its risk-weighted assets, in the case of traditional securitisation, or to calculate its risk-weighted assets in accordance with Articles 251 and 252 of the CRR, in the case of synthetic securitisations.</w:t>
      </w:r>
    </w:p>
  </w:footnote>
  <w:footnote w:id="6">
    <w:p w:rsidR="005156D3" w:rsidRDefault="0015526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rPr>
          <w:t>https://eba.europa.eu/regulation-and-policy/securitisation-and-covered-bonds/discussion-paper-on-the-significant-risk-transfer-in-securitisati</w:t>
        </w:r>
        <w:r>
          <w:rPr>
            <w:rStyle w:val="Hyperlink"/>
            <w:rFonts w:ascii="Times New Roman" w:hAnsi="Times New Roman" w:cs="Times New Roman"/>
          </w:rPr>
          <w:t>on</w:t>
        </w:r>
      </w:hyperlink>
      <w:r>
        <w:rPr>
          <w:rFonts w:ascii="Times New Roman" w:hAnsi="Times New Roman" w:cs="Times New Roman"/>
        </w:rPr>
        <w:t xml:space="preserve"> </w:t>
      </w:r>
    </w:p>
  </w:footnote>
  <w:footnote w:id="7">
    <w:p w:rsidR="005156D3" w:rsidRDefault="0015526A">
      <w:pPr>
        <w:pStyle w:val="FootnoteText"/>
      </w:pPr>
      <w:r>
        <w:rPr>
          <w:rStyle w:val="FootnoteReference"/>
        </w:rPr>
        <w:footnoteRef/>
      </w:r>
      <w:r>
        <w:t xml:space="preserve"> </w:t>
      </w:r>
      <w:r>
        <w:tab/>
      </w:r>
      <w:r>
        <w:rPr>
          <w:rFonts w:ascii="Times New Roman" w:hAnsi="Times New Roman" w:cs="Times New Roman"/>
        </w:rPr>
        <w:t>Synthetic securitisation: Making a silent comeback, Deutsche Bank EU Monitor, 21 February 2017</w:t>
      </w:r>
    </w:p>
  </w:footnote>
  <w:footnote w:id="8">
    <w:p w:rsidR="005156D3" w:rsidRDefault="0015526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Data from recent years indicates increased diversification of asset classes to include specialised lending (including infrastructure loans), commercial </w:t>
      </w:r>
      <w:r>
        <w:rPr>
          <w:rFonts w:ascii="Times New Roman" w:hAnsi="Times New Roman" w:cs="Times New Roman"/>
        </w:rPr>
        <w:t>real estate, residential real estate, trade receivables, auto loans, as well as more esoteric classes such as micro loans and farming loans.</w:t>
      </w:r>
    </w:p>
  </w:footnote>
  <w:footnote w:id="9">
    <w:p w:rsidR="005156D3" w:rsidRDefault="0015526A">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multilateral development banks, exposures to which are eligible for a 0% risk weight, are listed in Article 1</w:t>
      </w:r>
      <w:r>
        <w:rPr>
          <w:rFonts w:ascii="Times New Roman" w:hAnsi="Times New Roman" w:cs="Times New Roman"/>
        </w:rPr>
        <w:t>17(2) of the CRR.</w:t>
      </w:r>
    </w:p>
  </w:footnote>
  <w:footnote w:id="10">
    <w:p w:rsidR="005156D3" w:rsidRDefault="0015526A">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Designating a “super” senior tranche was a technique used by originators of synthetic securitisations before the global financial crisis, in order to stress the deemed risk-free nature of the most senior tranche in the securitisation st</w:t>
      </w:r>
      <w:r>
        <w:rPr>
          <w:rFonts w:ascii="Times New Roman" w:hAnsi="Times New Roman" w:cs="Times New Roman"/>
        </w:rPr>
        <w:t>ructure. Typically, the tranche below the ‘super’ senior one would be rated AAA, thus giving the “super” senior tranche the nickname “AAAA-rated”.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6A" w:rsidRPr="0015526A" w:rsidRDefault="0015526A" w:rsidP="00155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6A" w:rsidRPr="0015526A" w:rsidRDefault="0015526A" w:rsidP="0015526A">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26A" w:rsidRPr="0015526A" w:rsidRDefault="0015526A" w:rsidP="0015526A">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D3" w:rsidRDefault="005156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D3" w:rsidRDefault="005156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6D3" w:rsidRDefault="00515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32260B2"/>
    <w:multiLevelType w:val="hybridMultilevel"/>
    <w:tmpl w:val="09C64CC2"/>
    <w:lvl w:ilvl="0" w:tplc="3462EACA">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734306"/>
    <w:multiLevelType w:val="multilevel"/>
    <w:tmpl w:val="A5E4B76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713"/>
        </w:tabs>
        <w:ind w:left="1713" w:hanging="720"/>
      </w:pPr>
      <w:rPr>
        <w:b w:val="0"/>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2"/>
  </w:num>
  <w:num w:numId="4">
    <w:abstractNumId w:val="2"/>
  </w:num>
  <w:num w:numId="5">
    <w:abstractNumId w:val="1"/>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removePersonalInformation/>
  <w:removeDateAndTime/>
  <w:hideSpellingErrors/>
  <w:hideGrammaticalErrors/>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6954C0-1044-41E1-A7FC-4125C766D673"/>
    <w:docVar w:name="LW_COVERPAGE_TYPE" w:val="1"/>
    <w:docVar w:name="LW_CROSSREFERENCE" w:val="{SWD(2020) 120 final}"/>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the creation of a specific framework for simple, transparent and standardised synthetic securitisation, limited to balance-sheet synthetic securitisation_x000d__x000d__x000d__x000d__x000b__x000d__x000d__x000d__x000d__x000b__x000d__x000d__x000d__x000d__x000b_(Text with EEA relevance)"/>
    <w:docVar w:name="LW_TYPE.DOC.CP" w:val="REPORT FROM THE COMMISSION TO THE EUROPEAN PARLIAMENT AND THE COUNCIL"/>
  </w:docVars>
  <w:rsids>
    <w:rsidRoot w:val="005156D3"/>
    <w:rsid w:val="0015526A"/>
    <w:rsid w:val="00515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5">
    <w:name w:val="List Bullet 5"/>
    <w:basedOn w:val="Normal"/>
    <w:autoRedefine/>
    <w:pPr>
      <w:numPr>
        <w:numId w:val="2"/>
      </w:numPr>
      <w:spacing w:after="240" w:line="240" w:lineRule="auto"/>
      <w:jc w:val="both"/>
    </w:pPr>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table" w:customStyle="1" w:styleId="GridTable41">
    <w:name w:val="Grid Table 41"/>
    <w:basedOn w:val="TableNormal"/>
    <w:uiPriority w:val="49"/>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customStyle="1" w:styleId="GridTable4-Accent31">
    <w:name w:val="Grid Table 4 - Accent 31"/>
    <w:basedOn w:val="TableNormal"/>
    <w:uiPriority w:val="4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58930">
      <w:bodyDiv w:val="1"/>
      <w:marLeft w:val="0"/>
      <w:marRight w:val="0"/>
      <w:marTop w:val="0"/>
      <w:marBottom w:val="0"/>
      <w:divBdr>
        <w:top w:val="none" w:sz="0" w:space="0" w:color="auto"/>
        <w:left w:val="none" w:sz="0" w:space="0" w:color="auto"/>
        <w:bottom w:val="none" w:sz="0" w:space="0" w:color="auto"/>
        <w:right w:val="none" w:sz="0" w:space="0" w:color="auto"/>
      </w:divBdr>
    </w:div>
    <w:div w:id="1099908395">
      <w:bodyDiv w:val="1"/>
      <w:marLeft w:val="0"/>
      <w:marRight w:val="0"/>
      <w:marTop w:val="0"/>
      <w:marBottom w:val="0"/>
      <w:divBdr>
        <w:top w:val="none" w:sz="0" w:space="0" w:color="auto"/>
        <w:left w:val="none" w:sz="0" w:space="0" w:color="auto"/>
        <w:bottom w:val="none" w:sz="0" w:space="0" w:color="auto"/>
        <w:right w:val="none" w:sz="0" w:space="0" w:color="auto"/>
      </w:divBdr>
    </w:div>
    <w:div w:id="1571622468">
      <w:bodyDiv w:val="1"/>
      <w:marLeft w:val="0"/>
      <w:marRight w:val="0"/>
      <w:marTop w:val="0"/>
      <w:marBottom w:val="0"/>
      <w:divBdr>
        <w:top w:val="none" w:sz="0" w:space="0" w:color="auto"/>
        <w:left w:val="none" w:sz="0" w:space="0" w:color="auto"/>
        <w:bottom w:val="none" w:sz="0" w:space="0" w:color="auto"/>
        <w:right w:val="none" w:sz="0" w:space="0" w:color="auto"/>
      </w:divBdr>
    </w:div>
    <w:div w:id="20565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ba.europa.eu/regulation-and-policy/securitisation-and-covered-bonds/discussion-paper-on-the-significant-risk-transfer-in-securitisation" TargetMode="External"/><Relationship Id="rId2" Type="http://schemas.openxmlformats.org/officeDocument/2006/relationships/hyperlink" Target="https://eba.europa.eu/eba-issues-advice-on-synthetic-securitisation-for-smes" TargetMode="External"/><Relationship Id="rId1" Type="http://schemas.openxmlformats.org/officeDocument/2006/relationships/hyperlink" Target="https://eba.europa.eu/eba-proposes-framework-sts-synthetic-securitis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net1.cec.eu.int\FISMA\A\A1\3%20-%20Financial%20Services%20Policy\FS_020.010_0012-Securitisation\2%20-%20COVID%20package\STS%20synthetics%20report\Figure%201%20and%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kovalcikova\AppData\Local\Microsoft\Windows\Temporary%20Internet%20Files\Content.Outlook\14X04VNE\SP%20synthetic%20performance%20data%20(v11%20J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kovalcikova\AppData\Local\Microsoft\Windows\Temporary%20Internet%20Files\Content.Outlook\14X04VNE\SP%20synthetic%20performance%20data%20(v11%20J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net1.cec.eu.int\FISMA\A\A1\3%20-%20Financial%20Services%20Policy\FS_020.010_0012-Securitisation\2%20-%20COVID%20package\STS%20synthetics%20report\Figure%201%20and%20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etkopn\AppData\Local\Microsoft\Windows\INetCache\Content.Outlook\B9OW1NUJ\IACPM%20Survey%20Securitization%20Market%20Volume%20202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1"/>
          <c:tx>
            <c:v>Number of trades, rhs</c:v>
          </c:tx>
          <c:spPr>
            <a:solidFill>
              <a:schemeClr val="accent3"/>
            </a:solidFill>
            <a:ln>
              <a:noFill/>
            </a:ln>
            <a:effectLst/>
          </c:spPr>
          <c:invertIfNegative val="0"/>
          <c:val>
            <c:numRef>
              <c:f>Sheet1!$B$3:$N$3</c:f>
              <c:numCache>
                <c:formatCode>General</c:formatCode>
                <c:ptCount val="13"/>
                <c:pt idx="0">
                  <c:v>16</c:v>
                </c:pt>
                <c:pt idx="1">
                  <c:v>7</c:v>
                </c:pt>
                <c:pt idx="2">
                  <c:v>12</c:v>
                </c:pt>
                <c:pt idx="3">
                  <c:v>19</c:v>
                </c:pt>
                <c:pt idx="4">
                  <c:v>21</c:v>
                </c:pt>
                <c:pt idx="5">
                  <c:v>11</c:v>
                </c:pt>
                <c:pt idx="6">
                  <c:v>22</c:v>
                </c:pt>
                <c:pt idx="7">
                  <c:v>32</c:v>
                </c:pt>
                <c:pt idx="8">
                  <c:v>24</c:v>
                </c:pt>
                <c:pt idx="9">
                  <c:v>35</c:v>
                </c:pt>
                <c:pt idx="10">
                  <c:v>56</c:v>
                </c:pt>
                <c:pt idx="11">
                  <c:v>70</c:v>
                </c:pt>
                <c:pt idx="12">
                  <c:v>14</c:v>
                </c:pt>
              </c:numCache>
            </c:numRef>
          </c:val>
          <c:extLst>
            <c:ext xmlns:c16="http://schemas.microsoft.com/office/drawing/2014/chart" uri="{C3380CC4-5D6E-409C-BE32-E72D297353CC}">
              <c16:uniqueId val="{00000000-CC23-43B1-AA0A-F3DE0DFE74E1}"/>
            </c:ext>
          </c:extLst>
        </c:ser>
        <c:ser>
          <c:idx val="0"/>
          <c:order val="2"/>
          <c:tx>
            <c:v>Expected number of trades for the year, rhs</c:v>
          </c:tx>
          <c:spPr>
            <a:noFill/>
            <a:ln>
              <a:solidFill>
                <a:schemeClr val="accent1"/>
              </a:solidFill>
            </a:ln>
            <a:effectLst/>
          </c:spPr>
          <c:invertIfNegative val="0"/>
          <c:cat>
            <c:strRef>
              <c:f>Sheet1!$B$1:$N$1</c:f>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 YTD</c:v>
                </c:pt>
              </c:strCache>
            </c:strRef>
          </c:cat>
          <c:val>
            <c:numRef>
              <c:f>Sheet1!$B$4:$N$4</c:f>
              <c:numCache>
                <c:formatCode>General</c:formatCode>
                <c:ptCount val="13"/>
                <c:pt idx="0">
                  <c:v>16</c:v>
                </c:pt>
                <c:pt idx="1">
                  <c:v>7</c:v>
                </c:pt>
                <c:pt idx="2">
                  <c:v>12</c:v>
                </c:pt>
                <c:pt idx="3">
                  <c:v>19</c:v>
                </c:pt>
                <c:pt idx="4">
                  <c:v>21</c:v>
                </c:pt>
                <c:pt idx="5">
                  <c:v>11</c:v>
                </c:pt>
                <c:pt idx="6">
                  <c:v>22</c:v>
                </c:pt>
                <c:pt idx="7">
                  <c:v>32</c:v>
                </c:pt>
                <c:pt idx="8">
                  <c:v>24</c:v>
                </c:pt>
                <c:pt idx="9">
                  <c:v>35</c:v>
                </c:pt>
                <c:pt idx="10">
                  <c:v>56</c:v>
                </c:pt>
                <c:pt idx="11">
                  <c:v>70</c:v>
                </c:pt>
                <c:pt idx="12">
                  <c:v>49</c:v>
                </c:pt>
              </c:numCache>
            </c:numRef>
          </c:val>
          <c:extLst>
            <c:ext xmlns:c16="http://schemas.microsoft.com/office/drawing/2014/chart" uri="{C3380CC4-5D6E-409C-BE32-E72D297353CC}">
              <c16:uniqueId val="{00000001-CC23-43B1-AA0A-F3DE0DFE74E1}"/>
            </c:ext>
          </c:extLst>
        </c:ser>
        <c:dLbls>
          <c:showLegendKey val="0"/>
          <c:showVal val="0"/>
          <c:showCatName val="0"/>
          <c:showSerName val="0"/>
          <c:showPercent val="0"/>
          <c:showBubbleSize val="0"/>
        </c:dLbls>
        <c:gapWidth val="89"/>
        <c:overlap val="100"/>
        <c:axId val="108403328"/>
        <c:axId val="108401792"/>
      </c:barChart>
      <c:lineChart>
        <c:grouping val="standard"/>
        <c:varyColors val="0"/>
        <c:ser>
          <c:idx val="1"/>
          <c:order val="0"/>
          <c:tx>
            <c:v>Pool size in EUR mn, lhs</c:v>
          </c:tx>
          <c:spPr>
            <a:ln w="28575" cap="rnd">
              <a:solidFill>
                <a:schemeClr val="accent2"/>
              </a:solidFill>
              <a:round/>
            </a:ln>
            <a:effectLst/>
          </c:spPr>
          <c:marker>
            <c:symbol val="none"/>
          </c:marker>
          <c:cat>
            <c:strRef>
              <c:f>Sheet1!$B$1:$N$1</c:f>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 YTD</c:v>
                </c:pt>
              </c:strCache>
            </c:strRef>
          </c:cat>
          <c:val>
            <c:numRef>
              <c:f>Sheet1!$B$2:$N$2</c:f>
              <c:numCache>
                <c:formatCode>#,##0</c:formatCode>
                <c:ptCount val="13"/>
                <c:pt idx="0">
                  <c:v>67.120999999999995</c:v>
                </c:pt>
                <c:pt idx="1">
                  <c:v>35973</c:v>
                </c:pt>
                <c:pt idx="2">
                  <c:v>15490</c:v>
                </c:pt>
                <c:pt idx="3">
                  <c:v>26740</c:v>
                </c:pt>
                <c:pt idx="4">
                  <c:v>25645</c:v>
                </c:pt>
                <c:pt idx="5">
                  <c:v>18924</c:v>
                </c:pt>
                <c:pt idx="6">
                  <c:v>36023</c:v>
                </c:pt>
                <c:pt idx="7">
                  <c:v>72106</c:v>
                </c:pt>
                <c:pt idx="8">
                  <c:v>50021</c:v>
                </c:pt>
                <c:pt idx="9">
                  <c:v>58841</c:v>
                </c:pt>
                <c:pt idx="10">
                  <c:v>111570</c:v>
                </c:pt>
                <c:pt idx="11">
                  <c:v>126618</c:v>
                </c:pt>
                <c:pt idx="12">
                  <c:v>26210</c:v>
                </c:pt>
              </c:numCache>
            </c:numRef>
          </c:val>
          <c:smooth val="0"/>
          <c:extLst>
            <c:ext xmlns:c16="http://schemas.microsoft.com/office/drawing/2014/chart" uri="{C3380CC4-5D6E-409C-BE32-E72D297353CC}">
              <c16:uniqueId val="{00000002-CC23-43B1-AA0A-F3DE0DFE74E1}"/>
            </c:ext>
          </c:extLst>
        </c:ser>
        <c:dLbls>
          <c:showLegendKey val="0"/>
          <c:showVal val="0"/>
          <c:showCatName val="0"/>
          <c:showSerName val="0"/>
          <c:showPercent val="0"/>
          <c:showBubbleSize val="0"/>
        </c:dLbls>
        <c:marker val="1"/>
        <c:smooth val="0"/>
        <c:axId val="51693440"/>
        <c:axId val="51694976"/>
      </c:lineChart>
      <c:catAx>
        <c:axId val="5169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694976"/>
        <c:crosses val="autoZero"/>
        <c:auto val="1"/>
        <c:lblAlgn val="ctr"/>
        <c:lblOffset val="100"/>
        <c:noMultiLvlLbl val="0"/>
      </c:catAx>
      <c:valAx>
        <c:axId val="516949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1693440"/>
        <c:crosses val="autoZero"/>
        <c:crossBetween val="between"/>
      </c:valAx>
      <c:valAx>
        <c:axId val="10840179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8403328"/>
        <c:crosses val="max"/>
        <c:crossBetween val="between"/>
      </c:valAx>
      <c:catAx>
        <c:axId val="108403328"/>
        <c:scaling>
          <c:orientation val="minMax"/>
        </c:scaling>
        <c:delete val="1"/>
        <c:axPos val="b"/>
        <c:majorTickMark val="out"/>
        <c:minorTickMark val="none"/>
        <c:tickLblPos val="nextTo"/>
        <c:crossAx val="10840179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'[SP synthetic performance data (v11 JK).xlsx]2data'!$B$5</c:f>
              <c:strCache>
                <c:ptCount val="1"/>
                <c:pt idx="0">
                  <c:v>Balance sheet</c:v>
                </c:pt>
              </c:strCache>
            </c:strRef>
          </c:tx>
          <c:spPr>
            <a:solidFill>
              <a:schemeClr val="accent1"/>
            </a:solidFill>
            <a:ln>
              <a:noFill/>
            </a:ln>
            <a:effectLst/>
          </c:spPr>
          <c:invertIfNegative val="0"/>
          <c:cat>
            <c:strRef>
              <c:f>'[SP synthetic performance data (v11 JK).xlsx]2data'!$A$6:$A$10</c:f>
              <c:strCache>
                <c:ptCount val="5"/>
                <c:pt idx="0">
                  <c:v>AAA</c:v>
                </c:pt>
                <c:pt idx="1">
                  <c:v>AA</c:v>
                </c:pt>
                <c:pt idx="2">
                  <c:v>A</c:v>
                </c:pt>
                <c:pt idx="3">
                  <c:v>BBB</c:v>
                </c:pt>
                <c:pt idx="4">
                  <c:v>BB</c:v>
                </c:pt>
              </c:strCache>
            </c:strRef>
          </c:cat>
          <c:val>
            <c:numRef>
              <c:f>'[SP synthetic performance data (v11 JK).xlsx]2data'!$B$6:$B$10</c:f>
              <c:numCache>
                <c:formatCode>#,##0.0_ ;[Red]\-#,##0.0\ </c:formatCode>
                <c:ptCount val="5"/>
                <c:pt idx="0">
                  <c:v>0.970873786407767</c:v>
                </c:pt>
                <c:pt idx="1">
                  <c:v>2.3121387283236996</c:v>
                </c:pt>
                <c:pt idx="2">
                  <c:v>2.4752475247524752</c:v>
                </c:pt>
                <c:pt idx="3">
                  <c:v>5.6074766355140184</c:v>
                </c:pt>
                <c:pt idx="4">
                  <c:v>4.895104895104895</c:v>
                </c:pt>
              </c:numCache>
            </c:numRef>
          </c:val>
          <c:extLst>
            <c:ext xmlns:c16="http://schemas.microsoft.com/office/drawing/2014/chart" uri="{C3380CC4-5D6E-409C-BE32-E72D297353CC}">
              <c16:uniqueId val="{00000000-3903-4812-8867-3877F3D3A2E7}"/>
            </c:ext>
          </c:extLst>
        </c:ser>
        <c:ser>
          <c:idx val="1"/>
          <c:order val="1"/>
          <c:tx>
            <c:strRef>
              <c:f>'[SP synthetic performance data (v11 JK).xlsx]2data'!$C$5</c:f>
              <c:strCache>
                <c:ptCount val="1"/>
                <c:pt idx="0">
                  <c:v>Arbitrage</c:v>
                </c:pt>
              </c:strCache>
            </c:strRef>
          </c:tx>
          <c:spPr>
            <a:solidFill>
              <a:schemeClr val="accent2"/>
            </a:solidFill>
            <a:ln>
              <a:noFill/>
            </a:ln>
            <a:effectLst/>
          </c:spPr>
          <c:invertIfNegative val="0"/>
          <c:cat>
            <c:strRef>
              <c:f>'[SP synthetic performance data (v11 JK).xlsx]2data'!$A$6:$A$10</c:f>
              <c:strCache>
                <c:ptCount val="5"/>
                <c:pt idx="0">
                  <c:v>AAA</c:v>
                </c:pt>
                <c:pt idx="1">
                  <c:v>AA</c:v>
                </c:pt>
                <c:pt idx="2">
                  <c:v>A</c:v>
                </c:pt>
                <c:pt idx="3">
                  <c:v>BBB</c:v>
                </c:pt>
                <c:pt idx="4">
                  <c:v>BB</c:v>
                </c:pt>
              </c:strCache>
            </c:strRef>
          </c:cat>
          <c:val>
            <c:numRef>
              <c:f>'[SP synthetic performance data (v11 JK).xlsx]2data'!$C$6:$C$10</c:f>
              <c:numCache>
                <c:formatCode>#,##0.0_ ;[Red]\-#,##0.0\ </c:formatCode>
                <c:ptCount val="5"/>
                <c:pt idx="0">
                  <c:v>5.9010440308669994</c:v>
                </c:pt>
                <c:pt idx="1">
                  <c:v>9.4455852156057496</c:v>
                </c:pt>
                <c:pt idx="2">
                  <c:v>13.11216429699842</c:v>
                </c:pt>
                <c:pt idx="3">
                  <c:v>22.946175637393768</c:v>
                </c:pt>
                <c:pt idx="4">
                  <c:v>17.117117117117118</c:v>
                </c:pt>
              </c:numCache>
            </c:numRef>
          </c:val>
          <c:extLst>
            <c:ext xmlns:c16="http://schemas.microsoft.com/office/drawing/2014/chart" uri="{C3380CC4-5D6E-409C-BE32-E72D297353CC}">
              <c16:uniqueId val="{00000001-3903-4812-8867-3877F3D3A2E7}"/>
            </c:ext>
          </c:extLst>
        </c:ser>
        <c:dLbls>
          <c:showLegendKey val="0"/>
          <c:showVal val="0"/>
          <c:showCatName val="0"/>
          <c:showSerName val="0"/>
          <c:showPercent val="0"/>
          <c:showBubbleSize val="0"/>
        </c:dLbls>
        <c:gapWidth val="150"/>
        <c:axId val="108478848"/>
        <c:axId val="108480768"/>
      </c:barChart>
      <c:catAx>
        <c:axId val="108478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Original rating category</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80768"/>
        <c:crosses val="autoZero"/>
        <c:auto val="1"/>
        <c:lblAlgn val="ctr"/>
        <c:lblOffset val="100"/>
        <c:noMultiLvlLbl val="0"/>
      </c:catAx>
      <c:valAx>
        <c:axId val="108480768"/>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Red]\-#,##0\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7884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'3data'!$B$5</c:f>
              <c:strCache>
                <c:ptCount val="1"/>
                <c:pt idx="0">
                  <c:v>Balance sheet synthetic</c:v>
                </c:pt>
              </c:strCache>
            </c:strRef>
          </c:tx>
          <c:spPr>
            <a:solidFill>
              <a:schemeClr val="accent1"/>
            </a:solidFill>
            <a:ln>
              <a:noFill/>
            </a:ln>
            <a:effectLst/>
          </c:spPr>
          <c:invertIfNegative val="0"/>
          <c:cat>
            <c:strRef>
              <c:f>'3data'!$A$6:$A$9</c:f>
              <c:strCache>
                <c:ptCount val="4"/>
                <c:pt idx="0">
                  <c:v>SME CLOs</c:v>
                </c:pt>
                <c:pt idx="1">
                  <c:v>Other CLOs</c:v>
                </c:pt>
                <c:pt idx="2">
                  <c:v>RMBS</c:v>
                </c:pt>
                <c:pt idx="3">
                  <c:v>CMBS</c:v>
                </c:pt>
              </c:strCache>
            </c:strRef>
          </c:cat>
          <c:val>
            <c:numRef>
              <c:f>'3data'!$B$6:$B$9</c:f>
              <c:numCache>
                <c:formatCode>#,##0.0_ ;[Red]\-#,##0.0\ </c:formatCode>
                <c:ptCount val="4"/>
                <c:pt idx="0">
                  <c:v>0</c:v>
                </c:pt>
                <c:pt idx="1">
                  <c:v>0.93457943925233644</c:v>
                </c:pt>
                <c:pt idx="2">
                  <c:v>0.94339622641509435</c:v>
                </c:pt>
                <c:pt idx="3">
                  <c:v>11.304347826086957</c:v>
                </c:pt>
              </c:numCache>
            </c:numRef>
          </c:val>
          <c:extLst>
            <c:ext xmlns:c16="http://schemas.microsoft.com/office/drawing/2014/chart" uri="{C3380CC4-5D6E-409C-BE32-E72D297353CC}">
              <c16:uniqueId val="{00000000-289B-4BEC-80DF-A0655E031BB3}"/>
            </c:ext>
          </c:extLst>
        </c:ser>
        <c:ser>
          <c:idx val="1"/>
          <c:order val="1"/>
          <c:tx>
            <c:strRef>
              <c:f>'3data'!$C$5</c:f>
              <c:strCache>
                <c:ptCount val="1"/>
                <c:pt idx="0">
                  <c:v>True sale</c:v>
                </c:pt>
              </c:strCache>
            </c:strRef>
          </c:tx>
          <c:spPr>
            <a:solidFill>
              <a:schemeClr val="accent2"/>
            </a:solidFill>
            <a:ln>
              <a:noFill/>
            </a:ln>
            <a:effectLst/>
          </c:spPr>
          <c:invertIfNegative val="0"/>
          <c:cat>
            <c:strRef>
              <c:f>'3data'!$A$6:$A$9</c:f>
              <c:strCache>
                <c:ptCount val="4"/>
                <c:pt idx="0">
                  <c:v>SME CLOs</c:v>
                </c:pt>
                <c:pt idx="1">
                  <c:v>Other CLOs</c:v>
                </c:pt>
                <c:pt idx="2">
                  <c:v>RMBS</c:v>
                </c:pt>
                <c:pt idx="3">
                  <c:v>CMBS</c:v>
                </c:pt>
              </c:strCache>
            </c:strRef>
          </c:cat>
          <c:val>
            <c:numRef>
              <c:f>'3data'!$C$6:$C$9</c:f>
              <c:numCache>
                <c:formatCode>#,##0.0_ ;[Red]\-#,##0.0\ </c:formatCode>
                <c:ptCount val="4"/>
                <c:pt idx="0">
                  <c:v>11.403508771929825</c:v>
                </c:pt>
                <c:pt idx="1">
                  <c:v>1.0116731517509727</c:v>
                </c:pt>
                <c:pt idx="2">
                  <c:v>2.8187225239203517</c:v>
                </c:pt>
                <c:pt idx="3">
                  <c:v>18.332272437937618</c:v>
                </c:pt>
              </c:numCache>
            </c:numRef>
          </c:val>
          <c:extLst>
            <c:ext xmlns:c16="http://schemas.microsoft.com/office/drawing/2014/chart" uri="{C3380CC4-5D6E-409C-BE32-E72D297353CC}">
              <c16:uniqueId val="{00000001-289B-4BEC-80DF-A0655E031BB3}"/>
            </c:ext>
          </c:extLst>
        </c:ser>
        <c:dLbls>
          <c:showLegendKey val="0"/>
          <c:showVal val="0"/>
          <c:showCatName val="0"/>
          <c:showSerName val="0"/>
          <c:showPercent val="0"/>
          <c:showBubbleSize val="0"/>
        </c:dLbls>
        <c:gapWidth val="150"/>
        <c:axId val="108572672"/>
        <c:axId val="108574208"/>
      </c:barChart>
      <c:catAx>
        <c:axId val="10857267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74208"/>
        <c:crosses val="autoZero"/>
        <c:auto val="1"/>
        <c:lblAlgn val="ctr"/>
        <c:lblOffset val="100"/>
        <c:noMultiLvlLbl val="0"/>
      </c:catAx>
      <c:valAx>
        <c:axId val="108574208"/>
        <c:scaling>
          <c:orientation val="minMax"/>
          <c:max val="1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Red]\-#,##0\ "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572672"/>
        <c:crosses val="autoZero"/>
        <c:crossBetween val="between"/>
        <c:majorUnit val="5"/>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46090995947682"/>
          <c:y val="5.0925925925925923E-2"/>
          <c:w val="0.83885568697218282"/>
          <c:h val="0.65891805191017794"/>
        </c:manualLayout>
      </c:layout>
      <c:barChart>
        <c:barDir val="col"/>
        <c:grouping val="stacked"/>
        <c:varyColors val="0"/>
        <c:ser>
          <c:idx val="0"/>
          <c:order val="0"/>
          <c:tx>
            <c:strRef>
              <c:f>Sheet1!$A$19</c:f>
              <c:strCache>
                <c:ptCount val="1"/>
                <c:pt idx="0">
                  <c:v>Large corporate loans</c:v>
                </c:pt>
              </c:strCache>
            </c:strRef>
          </c:tx>
          <c:spPr>
            <a:solidFill>
              <a:schemeClr val="accent1"/>
            </a:solidFill>
            <a:ln>
              <a:noFill/>
            </a:ln>
            <a:effectLst/>
          </c:spPr>
          <c:invertIfNegative val="0"/>
          <c:cat>
            <c:strRef>
              <c:f>Sheet1!$B$16:$N$16</c:f>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 YTD</c:v>
                </c:pt>
              </c:strCache>
            </c:strRef>
          </c:cat>
          <c:val>
            <c:numRef>
              <c:f>Sheet1!$B$19:$N$19</c:f>
              <c:numCache>
                <c:formatCode>#,##0</c:formatCode>
                <c:ptCount val="13"/>
                <c:pt idx="0">
                  <c:v>39990</c:v>
                </c:pt>
                <c:pt idx="1">
                  <c:v>35123</c:v>
                </c:pt>
                <c:pt idx="2">
                  <c:v>11534</c:v>
                </c:pt>
                <c:pt idx="3">
                  <c:v>14207</c:v>
                </c:pt>
                <c:pt idx="4">
                  <c:v>19050</c:v>
                </c:pt>
                <c:pt idx="5">
                  <c:v>13831</c:v>
                </c:pt>
                <c:pt idx="6">
                  <c:v>25568</c:v>
                </c:pt>
                <c:pt idx="7">
                  <c:v>41357</c:v>
                </c:pt>
                <c:pt idx="8">
                  <c:v>27071</c:v>
                </c:pt>
                <c:pt idx="9">
                  <c:v>32497</c:v>
                </c:pt>
                <c:pt idx="10">
                  <c:v>61634</c:v>
                </c:pt>
                <c:pt idx="11">
                  <c:v>74264</c:v>
                </c:pt>
                <c:pt idx="12">
                  <c:v>19206</c:v>
                </c:pt>
              </c:numCache>
            </c:numRef>
          </c:val>
          <c:extLst>
            <c:ext xmlns:c16="http://schemas.microsoft.com/office/drawing/2014/chart" uri="{C3380CC4-5D6E-409C-BE32-E72D297353CC}">
              <c16:uniqueId val="{00000000-F8AD-4E1F-B1E0-99569CEE7F05}"/>
            </c:ext>
          </c:extLst>
        </c:ser>
        <c:ser>
          <c:idx val="1"/>
          <c:order val="1"/>
          <c:tx>
            <c:strRef>
              <c:f>Sheet1!$A$20</c:f>
              <c:strCache>
                <c:ptCount val="1"/>
                <c:pt idx="0">
                  <c:v>SME loans</c:v>
                </c:pt>
              </c:strCache>
            </c:strRef>
          </c:tx>
          <c:spPr>
            <a:solidFill>
              <a:schemeClr val="accent2"/>
            </a:solidFill>
            <a:ln>
              <a:noFill/>
            </a:ln>
            <a:effectLst/>
          </c:spPr>
          <c:invertIfNegative val="0"/>
          <c:cat>
            <c:strRef>
              <c:f>Sheet1!$B$16:$N$16</c:f>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 YTD</c:v>
                </c:pt>
              </c:strCache>
            </c:strRef>
          </c:cat>
          <c:val>
            <c:numRef>
              <c:f>Sheet1!$B$20:$N$20</c:f>
              <c:numCache>
                <c:formatCode>General</c:formatCode>
                <c:ptCount val="13"/>
                <c:pt idx="0">
                  <c:v>6988</c:v>
                </c:pt>
                <c:pt idx="1">
                  <c:v>0</c:v>
                </c:pt>
                <c:pt idx="2">
                  <c:v>0</c:v>
                </c:pt>
                <c:pt idx="3">
                  <c:v>2000</c:v>
                </c:pt>
                <c:pt idx="4">
                  <c:v>2123</c:v>
                </c:pt>
                <c:pt idx="5">
                  <c:v>4650</c:v>
                </c:pt>
                <c:pt idx="6">
                  <c:v>5171</c:v>
                </c:pt>
                <c:pt idx="7">
                  <c:v>19218</c:v>
                </c:pt>
                <c:pt idx="8">
                  <c:v>21950</c:v>
                </c:pt>
                <c:pt idx="9">
                  <c:v>11364</c:v>
                </c:pt>
                <c:pt idx="10">
                  <c:v>19402</c:v>
                </c:pt>
                <c:pt idx="11">
                  <c:v>36476</c:v>
                </c:pt>
                <c:pt idx="12">
                  <c:v>7004</c:v>
                </c:pt>
              </c:numCache>
            </c:numRef>
          </c:val>
          <c:extLst>
            <c:ext xmlns:c16="http://schemas.microsoft.com/office/drawing/2014/chart" uri="{C3380CC4-5D6E-409C-BE32-E72D297353CC}">
              <c16:uniqueId val="{00000001-F8AD-4E1F-B1E0-99569CEE7F05}"/>
            </c:ext>
          </c:extLst>
        </c:ser>
        <c:ser>
          <c:idx val="2"/>
          <c:order val="2"/>
          <c:tx>
            <c:strRef>
              <c:f>Sheet1!$A$21</c:f>
              <c:strCache>
                <c:ptCount val="1"/>
                <c:pt idx="0">
                  <c:v>Trade finance</c:v>
                </c:pt>
              </c:strCache>
            </c:strRef>
          </c:tx>
          <c:spPr>
            <a:solidFill>
              <a:srgbClr val="FF0000"/>
            </a:solidFill>
            <a:ln>
              <a:noFill/>
            </a:ln>
            <a:effectLst/>
          </c:spPr>
          <c:invertIfNegative val="0"/>
          <c:cat>
            <c:strRef>
              <c:f>Sheet1!$B$16:$N$16</c:f>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 YTD</c:v>
                </c:pt>
              </c:strCache>
            </c:strRef>
          </c:cat>
          <c:val>
            <c:numRef>
              <c:f>Sheet1!$B$21:$N$21</c:f>
              <c:numCache>
                <c:formatCode>#,##0</c:formatCode>
                <c:ptCount val="13"/>
                <c:pt idx="0">
                  <c:v>2198</c:v>
                </c:pt>
                <c:pt idx="1">
                  <c:v>0</c:v>
                </c:pt>
                <c:pt idx="2">
                  <c:v>3956</c:v>
                </c:pt>
                <c:pt idx="3">
                  <c:v>10533</c:v>
                </c:pt>
                <c:pt idx="4">
                  <c:v>4472</c:v>
                </c:pt>
                <c:pt idx="5">
                  <c:v>443</c:v>
                </c:pt>
                <c:pt idx="6">
                  <c:v>5284</c:v>
                </c:pt>
                <c:pt idx="7">
                  <c:v>9409</c:v>
                </c:pt>
                <c:pt idx="8">
                  <c:v>0</c:v>
                </c:pt>
                <c:pt idx="9">
                  <c:v>1768</c:v>
                </c:pt>
                <c:pt idx="10">
                  <c:v>6593</c:v>
                </c:pt>
                <c:pt idx="11">
                  <c:v>0</c:v>
                </c:pt>
                <c:pt idx="12">
                  <c:v>0</c:v>
                </c:pt>
              </c:numCache>
            </c:numRef>
          </c:val>
          <c:extLst>
            <c:ext xmlns:c16="http://schemas.microsoft.com/office/drawing/2014/chart" uri="{C3380CC4-5D6E-409C-BE32-E72D297353CC}">
              <c16:uniqueId val="{00000002-F8AD-4E1F-B1E0-99569CEE7F05}"/>
            </c:ext>
          </c:extLst>
        </c:ser>
        <c:ser>
          <c:idx val="3"/>
          <c:order val="3"/>
          <c:tx>
            <c:strRef>
              <c:f>Sheet1!$A$22</c:f>
              <c:strCache>
                <c:ptCount val="1"/>
                <c:pt idx="0">
                  <c:v>Other (RMBS, CMBS, etc.)</c:v>
                </c:pt>
              </c:strCache>
            </c:strRef>
          </c:tx>
          <c:spPr>
            <a:solidFill>
              <a:schemeClr val="accent4"/>
            </a:solidFill>
            <a:ln>
              <a:noFill/>
            </a:ln>
            <a:effectLst/>
          </c:spPr>
          <c:invertIfNegative val="0"/>
          <c:cat>
            <c:strRef>
              <c:f>Sheet1!$B$16:$N$16</c:f>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 YTD</c:v>
                </c:pt>
              </c:strCache>
            </c:strRef>
          </c:cat>
          <c:val>
            <c:numRef>
              <c:f>Sheet1!$B$22:$N$22</c:f>
              <c:numCache>
                <c:formatCode>#,##0</c:formatCode>
                <c:ptCount val="13"/>
                <c:pt idx="0">
                  <c:v>17945</c:v>
                </c:pt>
                <c:pt idx="1">
                  <c:v>850</c:v>
                </c:pt>
                <c:pt idx="2">
                  <c:v>0</c:v>
                </c:pt>
                <c:pt idx="3">
                  <c:v>0</c:v>
                </c:pt>
                <c:pt idx="4">
                  <c:v>0</c:v>
                </c:pt>
                <c:pt idx="5">
                  <c:v>0</c:v>
                </c:pt>
                <c:pt idx="6">
                  <c:v>0</c:v>
                </c:pt>
                <c:pt idx="7">
                  <c:v>2122</c:v>
                </c:pt>
                <c:pt idx="8">
                  <c:v>1000</c:v>
                </c:pt>
                <c:pt idx="9">
                  <c:v>13212</c:v>
                </c:pt>
                <c:pt idx="10">
                  <c:v>23941</c:v>
                </c:pt>
                <c:pt idx="11">
                  <c:v>15878</c:v>
                </c:pt>
                <c:pt idx="12">
                  <c:v>0</c:v>
                </c:pt>
              </c:numCache>
            </c:numRef>
          </c:val>
          <c:extLst>
            <c:ext xmlns:c16="http://schemas.microsoft.com/office/drawing/2014/chart" uri="{C3380CC4-5D6E-409C-BE32-E72D297353CC}">
              <c16:uniqueId val="{00000003-F8AD-4E1F-B1E0-99569CEE7F05}"/>
            </c:ext>
          </c:extLst>
        </c:ser>
        <c:dLbls>
          <c:showLegendKey val="0"/>
          <c:showVal val="0"/>
          <c:showCatName val="0"/>
          <c:showSerName val="0"/>
          <c:showPercent val="0"/>
          <c:showBubbleSize val="0"/>
        </c:dLbls>
        <c:gapWidth val="89"/>
        <c:overlap val="100"/>
        <c:axId val="108628992"/>
        <c:axId val="108638976"/>
      </c:barChart>
      <c:lineChart>
        <c:grouping val="standard"/>
        <c:varyColors val="0"/>
        <c:ser>
          <c:idx val="4"/>
          <c:order val="4"/>
          <c:tx>
            <c:v>Total</c:v>
          </c:tx>
          <c:spPr>
            <a:ln w="28575" cap="rnd">
              <a:solidFill>
                <a:schemeClr val="accent5"/>
              </a:solidFill>
              <a:round/>
            </a:ln>
            <a:effectLst/>
          </c:spPr>
          <c:marker>
            <c:symbol val="none"/>
          </c:marker>
          <c:cat>
            <c:strRef>
              <c:f>Sheet1!$B$16:$N$16</c:f>
              <c:strCach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 YTD</c:v>
                </c:pt>
              </c:strCache>
            </c:strRef>
          </c:cat>
          <c:val>
            <c:numRef>
              <c:f>Sheet1!$B$17:$N$17</c:f>
              <c:numCache>
                <c:formatCode>#,##0</c:formatCode>
                <c:ptCount val="13"/>
                <c:pt idx="0">
                  <c:v>67121</c:v>
                </c:pt>
                <c:pt idx="1">
                  <c:v>35973</c:v>
                </c:pt>
                <c:pt idx="2">
                  <c:v>15490</c:v>
                </c:pt>
                <c:pt idx="3">
                  <c:v>26740</c:v>
                </c:pt>
                <c:pt idx="4">
                  <c:v>25645</c:v>
                </c:pt>
                <c:pt idx="5">
                  <c:v>18924</c:v>
                </c:pt>
                <c:pt idx="6">
                  <c:v>36023</c:v>
                </c:pt>
                <c:pt idx="7">
                  <c:v>72106</c:v>
                </c:pt>
                <c:pt idx="8">
                  <c:v>50021</c:v>
                </c:pt>
                <c:pt idx="9">
                  <c:v>58841</c:v>
                </c:pt>
                <c:pt idx="10">
                  <c:v>111570</c:v>
                </c:pt>
                <c:pt idx="11">
                  <c:v>126618</c:v>
                </c:pt>
                <c:pt idx="12">
                  <c:v>26210</c:v>
                </c:pt>
              </c:numCache>
            </c:numRef>
          </c:val>
          <c:smooth val="0"/>
          <c:extLst>
            <c:ext xmlns:c16="http://schemas.microsoft.com/office/drawing/2014/chart" uri="{C3380CC4-5D6E-409C-BE32-E72D297353CC}">
              <c16:uniqueId val="{00000004-F8AD-4E1F-B1E0-99569CEE7F05}"/>
            </c:ext>
          </c:extLst>
        </c:ser>
        <c:dLbls>
          <c:showLegendKey val="0"/>
          <c:showVal val="0"/>
          <c:showCatName val="0"/>
          <c:showSerName val="0"/>
          <c:showPercent val="0"/>
          <c:showBubbleSize val="0"/>
        </c:dLbls>
        <c:marker val="1"/>
        <c:smooth val="0"/>
        <c:axId val="108628992"/>
        <c:axId val="108638976"/>
      </c:lineChart>
      <c:catAx>
        <c:axId val="1086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8638976"/>
        <c:crosses val="autoZero"/>
        <c:auto val="1"/>
        <c:lblAlgn val="ctr"/>
        <c:lblOffset val="100"/>
        <c:noMultiLvlLbl val="0"/>
      </c:catAx>
      <c:valAx>
        <c:axId val="10863897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8628992"/>
        <c:crosses val="autoZero"/>
        <c:crossBetween val="between"/>
      </c:valAx>
      <c:spPr>
        <a:noFill/>
        <a:ln>
          <a:noFill/>
        </a:ln>
        <a:effectLst/>
      </c:spPr>
    </c:plotArea>
    <c:legend>
      <c:legendPos val="b"/>
      <c:layout>
        <c:manualLayout>
          <c:xMode val="edge"/>
          <c:yMode val="edge"/>
          <c:x val="1.3122481028783524E-2"/>
          <c:y val="0.83171952464275301"/>
          <c:w val="0.95422923598985276"/>
          <c:h val="0.1405026975794692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424950787401576E-2"/>
          <c:y val="0.11573629130785043"/>
          <c:w val="0.46822137467191599"/>
          <c:h val="0.8701607918485994"/>
        </c:manualLayout>
      </c:layout>
      <c:pieChart>
        <c:varyColors val="1"/>
        <c:ser>
          <c:idx val="2"/>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3D-46BD-965C-DE738B8377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3D-46BD-965C-DE738B8377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3D-46BD-965C-DE738B8377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73D-46BD-965C-DE738B83776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73D-46BD-965C-DE738B83776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73D-46BD-965C-DE738B83776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73D-46BD-965C-DE738B837765}"/>
              </c:ext>
            </c:extLst>
          </c:dPt>
          <c:dLbls>
            <c:dLbl>
              <c:idx val="1"/>
              <c:layout/>
              <c:tx>
                <c:rich>
                  <a:bodyPr/>
                  <a:lstStyle/>
                  <a:p>
                    <a:fld id="{1ADD3630-6CBF-49F2-B9D1-EE070A03D1CD}" type="VALUE">
                      <a:rPr lang="en-US">
                        <a:solidFill>
                          <a:schemeClr val="bg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073D-46BD-965C-DE738B837765}"/>
                </c:ext>
              </c:extLst>
            </c:dLbl>
            <c:dLbl>
              <c:idx val="3"/>
              <c:layout/>
              <c:tx>
                <c:rich>
                  <a:bodyPr/>
                  <a:lstStyle/>
                  <a:p>
                    <a:fld id="{A43242F4-E911-4819-B562-EFEE3696C2DB}" type="VALUE">
                      <a:rPr lang="en-US">
                        <a:solidFill>
                          <a:schemeClr val="bg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073D-46BD-965C-DE738B837765}"/>
                </c:ext>
              </c:extLst>
            </c:dLbl>
            <c:dLbl>
              <c:idx val="4"/>
              <c:layout/>
              <c:tx>
                <c:rich>
                  <a:bodyPr/>
                  <a:lstStyle/>
                  <a:p>
                    <a:fld id="{CE524786-8F94-4B6E-A303-6919D0B57753}" type="VALUE">
                      <a:rPr lang="en-US">
                        <a:solidFill>
                          <a:schemeClr val="bg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073D-46BD-965C-DE738B837765}"/>
                </c:ext>
              </c:extLst>
            </c:dLbl>
            <c:dLbl>
              <c:idx val="5"/>
              <c:layout/>
              <c:tx>
                <c:rich>
                  <a:bodyPr/>
                  <a:lstStyle/>
                  <a:p>
                    <a:fld id="{A92E82A3-A865-4845-881B-9CC660B6CD0C}" type="VALUE">
                      <a:rPr lang="en-US">
                        <a:solidFill>
                          <a:schemeClr val="bg1"/>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073D-46BD-965C-DE738B8377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'[IACPM Survey Securitization Market Volume 2020.xlsx]Sheet1'!$K$4:$K$13</c:f>
              <c:strCache>
                <c:ptCount val="7"/>
                <c:pt idx="0">
                  <c:v>Central Governments or Central Banks</c:v>
                </c:pt>
                <c:pt idx="1">
                  <c:v>0% risk-weighted MDB and Int'l Organisation</c:v>
                </c:pt>
                <c:pt idx="2">
                  <c:v>Insurance Company</c:v>
                </c:pt>
                <c:pt idx="3">
                  <c:v>Pension Fund</c:v>
                </c:pt>
                <c:pt idx="4">
                  <c:v>Asset manager</c:v>
                </c:pt>
                <c:pt idx="5">
                  <c:v>Hedge Fund</c:v>
                </c:pt>
                <c:pt idx="6">
                  <c:v>Other</c:v>
                </c:pt>
              </c:strCache>
              <c:extLst/>
            </c:strRef>
          </c:cat>
          <c:val>
            <c:numRef>
              <c:f>'[IACPM Survey Securitization Market Volume 2020.xlsx]Sheet1'!$N$4:$N$13</c:f>
              <c:numCache>
                <c:formatCode>0.00%</c:formatCode>
                <c:ptCount val="7"/>
                <c:pt idx="0">
                  <c:v>2E-3</c:v>
                </c:pt>
                <c:pt idx="1">
                  <c:v>6.6000000000000003E-2</c:v>
                </c:pt>
                <c:pt idx="2">
                  <c:v>8.9999999999999993E-3</c:v>
                </c:pt>
                <c:pt idx="3">
                  <c:v>0.30599999999999999</c:v>
                </c:pt>
                <c:pt idx="4">
                  <c:v>0.19700000000000001</c:v>
                </c:pt>
                <c:pt idx="5">
                  <c:v>0.39600000000000002</c:v>
                </c:pt>
                <c:pt idx="6">
                  <c:v>2.1999999999999999E-2</c:v>
                </c:pt>
              </c:numCache>
              <c:extLst/>
            </c:numRef>
          </c:val>
          <c:extLst>
            <c:ext xmlns:c16="http://schemas.microsoft.com/office/drawing/2014/chart" uri="{C3380CC4-5D6E-409C-BE32-E72D297353CC}">
              <c16:uniqueId val="{0000000E-073D-46BD-965C-DE738B837765}"/>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892FDAC-229B-425E-AE74-E0BBCF5B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4760</Words>
  <Characters>27802</Characters>
  <Application>Microsoft Office Word</Application>
  <DocSecurity>0</DocSecurity>
  <Lines>534</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2020-07-17T18:35:00Z</dcterms:created>
  <dcterms:modified xsi:type="dcterms:W3CDTF">2020-07-23T18:03:00Z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