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8CBCBB04-07A8-44E3-9DF3-D8E77F2406D8" style="width:450.75pt;height:348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80"/>
          <w:szCs w:val="80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80"/>
          <w:szCs w:val="80"/>
        </w:rPr>
        <w:lastRenderedPageBreak/>
        <w:t>DOCUMENTS</w:t>
      </w: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1800"/>
                <w:tab w:val="left" w:pos="225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</w:p>
        </w:tc>
      </w:tr>
    </w:tbl>
    <w:p>
      <w:pPr>
        <w:spacing w:after="0" w:line="240" w:lineRule="auto"/>
        <w:ind w:right="972"/>
        <w:rPr>
          <w:rFonts w:ascii="Times New Roman" w:eastAsia="Times New Roman" w:hAnsi="Times New Roman"/>
          <w:b/>
          <w:noProof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</w:rPr>
        <w:t>PROJET de budget annuel de l’Union pour l’exercice 2021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44"/>
          <w:szCs w:val="44"/>
          <w:lang w:val="fr-BE" w:eastAsia="de-DE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44"/>
          <w:szCs w:val="44"/>
          <w:lang w:val="fr-BE" w:eastAsia="de-DE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  <w:szCs w:val="28"/>
        </w:rPr>
        <w:t>Introduction générale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  <w:szCs w:val="28"/>
        </w:rPr>
        <w:t>État général des dépenses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  <w:szCs w:val="28"/>
        </w:rPr>
        <w:t>État général des recettes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  <w:szCs w:val="28"/>
        </w:rPr>
        <w:t xml:space="preserve">État des recettes et des dépenses par section: 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8"/>
          <w:szCs w:val="28"/>
        </w:rPr>
        <w:t xml:space="preserve">—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  <w:szCs w:val="28"/>
        </w:rPr>
        <w:t>Section 1:   Parlement européen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  <w:szCs w:val="28"/>
        </w:rPr>
        <w:t>Section 2:   Conseil européen et Conseil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  <w:szCs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  <w:szCs w:val="28"/>
        </w:rPr>
        <w:t>Section 3:   Commission européenne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  <w:szCs w:val="28"/>
        </w:rPr>
        <w:t>Section 4:   Cour de justice de l’Union européenne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  <w:szCs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  <w:szCs w:val="28"/>
        </w:rPr>
        <w:t>Section 5:   Cour des comptes</w:t>
      </w:r>
    </w:p>
    <w:p>
      <w:pPr>
        <w:spacing w:after="0" w:line="360" w:lineRule="auto"/>
        <w:ind w:right="1134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  <w:szCs w:val="28"/>
        </w:rPr>
        <w:t>Section 6:   Comité économique et social européen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  <w:szCs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  <w:szCs w:val="28"/>
        </w:rPr>
        <w:t>Section 7:   Comité des régions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  <w:szCs w:val="28"/>
        </w:rPr>
        <w:t>Section 8:   Médiateur européen</w:t>
      </w:r>
    </w:p>
    <w:p>
      <w:pPr>
        <w:spacing w:after="0" w:line="360" w:lineRule="auto"/>
        <w:ind w:right="567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  <w:szCs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  <w:szCs w:val="28"/>
        </w:rPr>
        <w:t>Section 9:   Contrôleur européen de la protection des données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  <w:szCs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  <w:szCs w:val="28"/>
        </w:rPr>
        <w:t xml:space="preserve">Section 10: Service européen pour l’action extérieure 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eastAsia="de-DE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r:id="rId14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https://eur-lex.europa.eu/budget/www/index-fr.htm</w:t>
        </w:r>
      </w:hyperlink>
    </w:p>
    <w:p>
      <w:pPr>
        <w:tabs>
          <w:tab w:val="left" w:pos="7560"/>
          <w:tab w:val="right" w:pos="9000"/>
        </w:tabs>
        <w:spacing w:after="0" w:line="240" w:lineRule="auto"/>
        <w:ind w:right="23"/>
        <w:jc w:val="right"/>
        <w:rPr>
          <w:rFonts w:ascii="Times New Roman" w:eastAsia="Times New Roman" w:hAnsi="Times New Roman"/>
          <w:noProof/>
          <w:lang w:eastAsia="de-DE"/>
        </w:rPr>
      </w:pP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&lt;UNUSED&gt;"/>
    <w:docVar w:name="LW_CORRIGENDUM" w:val="&lt;UNUSED&gt;"/>
    <w:docVar w:name="LW_COVERPAGE_EXISTS" w:val="True"/>
    <w:docVar w:name="LW_COVERPAGE_GUID" w:val="8CBCBB04-07A8-44E3-9DF3-D8E77F2406D8"/>
    <w:docVar w:name="LW_COVERPAGE_TYPE" w:val="1"/>
    <w:docVar w:name="LW_CROSSREFERENCE" w:val="&lt;UNUSED&gt;"/>
    <w:docVar w:name="LW_DATE.ADOPT.CP_ISODATE" w:val="&lt;EMPTY&gt;"/>
    <w:docVar w:name="LW_DocType" w:val="NORMAL"/>
    <w:docVar w:name="LW_EMISSION" w:val="27.7.2020"/>
    <w:docVar w:name="LW_EMISSION_ISODATE" w:val="2020-07-27"/>
    <w:docVar w:name="LW_EMISSION_LOCATION" w:val="BRX"/>
    <w:docVar w:name="LW_EMISSION_PREFIX" w:val="Bruxelles, le "/>
    <w:docVar w:name="LW_EMISSION_SUFFIX" w:val=" "/>
    <w:docVar w:name="LW_ID_DOCTYPE_NONLW" w:val="CP-035"/>
    <w:docVar w:name="LW_INTERETEEE.CP" w:val="&lt;UNUSED&gt;"/>
    <w:docVar w:name="LW_LANGUE" w:val="FR"/>
    <w:docVar w:name="LW_LANGUESFAISANTFOI.CP" w:val="&lt;UNUSED&gt;"/>
    <w:docVar w:name="LW_LEVEL_OF_SENSITIVITY" w:val="Standard treatment"/>
    <w:docVar w:name="LW_NOM.INST" w:val="COMMISSION EUROPÉENNE"/>
    <w:docVar w:name="LW_NOM.INST_JOINTDOC" w:val="&lt;EMPTY&gt;"/>
    <w:docVar w:name="LW_OBJETACTEPRINCIPAL.CP" w:val="&lt;UNUSED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20"/>
    <w:docVar w:name="LW_REF.INST.NEW" w:val="COM"/>
    <w:docVar w:name="LW_REF.INST.NEW_ADOPTED" w:val="final"/>
    <w:docVar w:name="LW_REF.INST.NEW_TEXT" w:val="(2020) 30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- Introduction générale_x000d__x000d__x000d__x000d__x000d__x000b__x000d_- État général des dépenses_x000d__x000d__x000d__x000d__x000d__x000d__x000b_- État général des recettes_x000d__x000d__x000d__x000d__x000d__x000d__x000b_- État des recettes et des dépenses par section"/>
    <w:docVar w:name="LW_TYPE.DOC.CP" w:val="PROJET de budget annuel de l\u8217?Union pour l\u8217?exercice 2021_x000b_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szCs w:val="22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HAnsi" w:hAnsi="Times New Roman"/>
      <w:sz w:val="24"/>
      <w:szCs w:val="22"/>
      <w:lang w:val="fr-FR"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eastAsiaTheme="minorHAnsi" w:hAnsi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szCs w:val="22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HAnsi" w:hAnsi="Times New Roman"/>
      <w:sz w:val="24"/>
      <w:szCs w:val="22"/>
      <w:lang w:val="fr-FR"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eastAsiaTheme="minorHAnsi" w:hAnsi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eastAsiaTheme="minorHAnsi" w:hAnsi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ur-lex.europa.eu/budget/www/index-fr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108</Words>
  <Characters>696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781</CharactersWithSpaces>
  <SharedDoc>false</SharedDoc>
  <HLinks>
    <vt:vector size="6" baseType="variant"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http://eur-lex.europa.eu/budget/www/index-en.htm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20</cp:revision>
  <cp:lastPrinted>2014-05-21T15:05:00Z</cp:lastPrinted>
  <dcterms:created xsi:type="dcterms:W3CDTF">2020-07-01T15:43:00Z</dcterms:created>
  <dcterms:modified xsi:type="dcterms:W3CDTF">2020-07-27T09:06:00Z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Level of sensitivity">
    <vt:lpwstr>Standard treatment</vt:lpwstr>
  </property>
  <property fmtid="{D5CDD505-2E9C-101B-9397-08002B2CF9AE}" pid="6" name="Last edited using">
    <vt:lpwstr>LW 7.0.1, Build 20190916</vt:lpwstr>
  </property>
  <property fmtid="{D5CDD505-2E9C-101B-9397-08002B2CF9AE}" pid="7" name="Created using">
    <vt:lpwstr>LW 6.0.1, Build 20180503</vt:lpwstr>
  </property>
  <property fmtid="{D5CDD505-2E9C-101B-9397-08002B2CF9AE}" pid="8" name="CPTemplateID">
    <vt:lpwstr>CP-035</vt:lpwstr>
  </property>
</Properties>
</file>