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8D9643F2-E9EA-4F0D-991D-8446B71934B4" style="width:450.7pt;height:320.7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bookmarkStart w:id="1" w:name="_Hlk516480556"/>
      <w:bookmarkEnd w:id="1"/>
      <w:bookmarkEnd w:id="0"/>
    </w:p>
    <w:bookmarkStart w:id="2" w:name="_GoBack" w:displacedByCustomXml="next"/>
    <w:bookmarkEnd w:id="2" w:displacedByCustomXml="next"/>
    <w:sdt>
      <w:sdtPr>
        <w:rPr>
          <w:rFonts w:ascii="Times New Roman" w:eastAsia="Times New Roman" w:hAnsi="Times New Roman" w:cs="Times New Roman"/>
          <w:noProof/>
          <w:color w:val="auto"/>
          <w:sz w:val="24"/>
          <w:szCs w:val="24"/>
        </w:rPr>
        <w:id w:val="-46372658"/>
        <w:docPartObj>
          <w:docPartGallery w:val="Table of Contents"/>
          <w:docPartUnique/>
        </w:docPartObj>
      </w:sdtPr>
      <w:sdtEndPr>
        <w:rPr>
          <w:b/>
          <w:bCs/>
        </w:rPr>
      </w:sdtEndPr>
      <w:sdtContent>
        <w:p>
          <w:pPr>
            <w:pStyle w:val="TOCHeading"/>
            <w:spacing w:after="120" w:line="240" w:lineRule="auto"/>
            <w:rPr>
              <w:rFonts w:ascii="Times New Roman" w:hAnsi="Times New Roman" w:cs="Times New Roman"/>
              <w:b/>
              <w:noProof/>
              <w:color w:val="auto"/>
              <w:sz w:val="24"/>
              <w:szCs w:val="24"/>
            </w:rPr>
          </w:pPr>
          <w:r>
            <w:rPr>
              <w:rFonts w:ascii="Times New Roman" w:hAnsi="Times New Roman"/>
              <w:b/>
              <w:noProof/>
              <w:color w:val="auto"/>
              <w:sz w:val="24"/>
              <w:szCs w:val="24"/>
            </w:rPr>
            <w:t>Table des matières</w:t>
          </w:r>
        </w:p>
        <w:p>
          <w:pPr>
            <w:rPr>
              <w:noProof/>
              <w:sz w:val="24"/>
              <w:szCs w:val="24"/>
              <w:lang w:val="en-GB"/>
            </w:rPr>
          </w:pPr>
        </w:p>
        <w:p>
          <w:pPr>
            <w:pStyle w:val="TOC1"/>
            <w:rPr>
              <w:rFonts w:asciiTheme="minorHAnsi" w:eastAsiaTheme="minorEastAsia" w:hAnsiTheme="minorHAnsi" w:cstheme="minorBidi"/>
              <w:noProof/>
              <w:lang w:val="en-US"/>
            </w:rPr>
          </w:pPr>
          <w:r>
            <w:rPr>
              <w:noProof/>
              <w:sz w:val="24"/>
              <w:szCs w:val="24"/>
            </w:rPr>
            <w:fldChar w:fldCharType="begin"/>
          </w:r>
          <w:r>
            <w:rPr>
              <w:noProof/>
              <w:sz w:val="24"/>
              <w:szCs w:val="24"/>
            </w:rPr>
            <w:instrText xml:space="preserve"> TOC \o "1-3" \h \z \u </w:instrText>
          </w:r>
          <w:r>
            <w:rPr>
              <w:noProof/>
              <w:sz w:val="24"/>
              <w:szCs w:val="24"/>
            </w:rPr>
            <w:fldChar w:fldCharType="separate"/>
          </w:r>
          <w:hyperlink w:anchor="_Toc45723029" w:history="1">
            <w:r>
              <w:rPr>
                <w:rStyle w:val="Hyperlink"/>
                <w:smallCaps/>
                <w:noProof/>
              </w:rPr>
              <w:t>1.</w:t>
            </w:r>
            <w:r>
              <w:rPr>
                <w:rFonts w:asciiTheme="minorHAnsi" w:eastAsiaTheme="minorEastAsia" w:hAnsiTheme="minorHAnsi" w:cstheme="minorBidi"/>
                <w:noProof/>
                <w:lang w:val="en-US"/>
              </w:rPr>
              <w:tab/>
            </w:r>
            <w:r>
              <w:rPr>
                <w:rStyle w:val="Hyperlink"/>
                <w:smallCaps/>
                <w:noProof/>
              </w:rPr>
              <w:t>INTRODUCTION</w:t>
            </w:r>
            <w:r>
              <w:rPr>
                <w:noProof/>
                <w:webHidden/>
              </w:rPr>
              <w:tab/>
            </w:r>
            <w:r>
              <w:rPr>
                <w:noProof/>
                <w:webHidden/>
              </w:rPr>
              <w:fldChar w:fldCharType="begin"/>
            </w:r>
            <w:r>
              <w:rPr>
                <w:noProof/>
                <w:webHidden/>
              </w:rPr>
              <w:instrText xml:space="preserve"> PAGEREF _Toc45723029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lang w:val="en-US"/>
            </w:rPr>
          </w:pPr>
          <w:hyperlink w:anchor="_Toc45723030" w:history="1">
            <w:r>
              <w:rPr>
                <w:rStyle w:val="Hyperlink"/>
                <w:smallCaps/>
                <w:noProof/>
              </w:rPr>
              <w:t>2.</w:t>
            </w:r>
            <w:r>
              <w:rPr>
                <w:rFonts w:asciiTheme="minorHAnsi" w:eastAsiaTheme="minorEastAsia" w:hAnsiTheme="minorHAnsi" w:cstheme="minorBidi"/>
                <w:noProof/>
                <w:lang w:val="en-US"/>
              </w:rPr>
              <w:tab/>
            </w:r>
            <w:r>
              <w:rPr>
                <w:rStyle w:val="Hyperlink"/>
                <w:smallCaps/>
                <w:noProof/>
              </w:rPr>
              <w:t>OBJECTIFS À ATTEINDRE</w:t>
            </w:r>
            <w:r>
              <w:rPr>
                <w:noProof/>
                <w:webHidden/>
              </w:rPr>
              <w:tab/>
            </w:r>
            <w:r>
              <w:rPr>
                <w:noProof/>
                <w:webHidden/>
              </w:rPr>
              <w:fldChar w:fldCharType="begin"/>
            </w:r>
            <w:r>
              <w:rPr>
                <w:noProof/>
                <w:webHidden/>
              </w:rPr>
              <w:instrText xml:space="preserve"> PAGEREF _Toc45723030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lang w:val="en-US"/>
            </w:rPr>
          </w:pPr>
          <w:hyperlink w:anchor="_Toc45723031" w:history="1">
            <w:r>
              <w:rPr>
                <w:rStyle w:val="Hyperlink"/>
                <w:smallCaps/>
                <w:noProof/>
              </w:rPr>
              <w:t>3.</w:t>
            </w:r>
            <w:r>
              <w:rPr>
                <w:rFonts w:asciiTheme="minorHAnsi" w:eastAsiaTheme="minorEastAsia" w:hAnsiTheme="minorHAnsi" w:cstheme="minorBidi"/>
                <w:noProof/>
                <w:lang w:val="en-US"/>
              </w:rPr>
              <w:tab/>
            </w:r>
            <w:r>
              <w:rPr>
                <w:rStyle w:val="Hyperlink"/>
                <w:smallCaps/>
                <w:noProof/>
              </w:rPr>
              <w:t>ARCHITECTURE DU PROJET ET APPROCHE EN MATIÈRE DE PLANIFICATION</w:t>
            </w:r>
            <w:r>
              <w:rPr>
                <w:noProof/>
                <w:webHidden/>
              </w:rPr>
              <w:tab/>
            </w:r>
            <w:r>
              <w:rPr>
                <w:noProof/>
                <w:webHidden/>
              </w:rPr>
              <w:fldChar w:fldCharType="begin"/>
            </w:r>
            <w:r>
              <w:rPr>
                <w:noProof/>
                <w:webHidden/>
              </w:rPr>
              <w:instrText xml:space="preserve"> PAGEREF _Toc45723031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lang w:val="en-US"/>
            </w:rPr>
          </w:pPr>
          <w:hyperlink w:anchor="_Toc45723032" w:history="1">
            <w:r>
              <w:rPr>
                <w:rStyle w:val="Hyperlink"/>
                <w:smallCaps/>
                <w:noProof/>
              </w:rPr>
              <w:t>4.</w:t>
            </w:r>
            <w:r>
              <w:rPr>
                <w:rFonts w:asciiTheme="minorHAnsi" w:eastAsiaTheme="minorEastAsia" w:hAnsiTheme="minorHAnsi" w:cstheme="minorBidi"/>
                <w:noProof/>
                <w:lang w:val="en-US"/>
              </w:rPr>
              <w:tab/>
            </w:r>
            <w:r>
              <w:rPr>
                <w:rStyle w:val="Hyperlink"/>
                <w:smallCaps/>
                <w:noProof/>
              </w:rPr>
              <w:t>APERÇU des progrès réalisés</w:t>
            </w:r>
            <w:r>
              <w:rPr>
                <w:noProof/>
                <w:webHidden/>
              </w:rPr>
              <w:tab/>
            </w:r>
            <w:r>
              <w:rPr>
                <w:noProof/>
                <w:webHidden/>
              </w:rPr>
              <w:fldChar w:fldCharType="begin"/>
            </w:r>
            <w:r>
              <w:rPr>
                <w:noProof/>
                <w:webHidden/>
              </w:rPr>
              <w:instrText xml:space="preserve"> PAGEREF _Toc45723032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lang w:val="en-US"/>
            </w:rPr>
          </w:pPr>
          <w:hyperlink w:anchor="_Toc45723033" w:history="1">
            <w:r>
              <w:rPr>
                <w:rStyle w:val="Hyperlink"/>
                <w:smallCaps/>
                <w:noProof/>
              </w:rPr>
              <w:t>5.</w:t>
            </w:r>
            <w:r>
              <w:rPr>
                <w:rFonts w:asciiTheme="minorHAnsi" w:eastAsiaTheme="minorEastAsia" w:hAnsiTheme="minorHAnsi" w:cstheme="minorBidi"/>
                <w:noProof/>
                <w:lang w:val="en-US"/>
              </w:rPr>
              <w:tab/>
            </w:r>
            <w:r>
              <w:rPr>
                <w:rStyle w:val="Hyperlink"/>
                <w:smallCaps/>
                <w:noProof/>
              </w:rPr>
              <w:t>RISQUES DE RETARD</w:t>
            </w:r>
            <w:r>
              <w:rPr>
                <w:noProof/>
                <w:webHidden/>
              </w:rPr>
              <w:tab/>
            </w:r>
            <w:r>
              <w:rPr>
                <w:noProof/>
                <w:webHidden/>
              </w:rPr>
              <w:fldChar w:fldCharType="begin"/>
            </w:r>
            <w:r>
              <w:rPr>
                <w:noProof/>
                <w:webHidden/>
              </w:rPr>
              <w:instrText xml:space="preserve"> PAGEREF _Toc45723033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lang w:val="en-US"/>
            </w:rPr>
          </w:pPr>
          <w:hyperlink w:anchor="_Toc45723034" w:history="1">
            <w:r>
              <w:rPr>
                <w:rStyle w:val="Hyperlink"/>
                <w:smallCaps/>
                <w:noProof/>
              </w:rPr>
              <w:t>6.</w:t>
            </w:r>
            <w:r>
              <w:rPr>
                <w:rFonts w:asciiTheme="minorHAnsi" w:eastAsiaTheme="minorEastAsia" w:hAnsiTheme="minorHAnsi" w:cstheme="minorBidi"/>
                <w:noProof/>
                <w:lang w:val="en-US"/>
              </w:rPr>
              <w:tab/>
            </w:r>
            <w:r>
              <w:rPr>
                <w:rStyle w:val="Hyperlink"/>
                <w:smallCaps/>
                <w:noProof/>
              </w:rPr>
              <w:t>CONCLUSION</w:t>
            </w:r>
            <w:r>
              <w:rPr>
                <w:noProof/>
                <w:webHidden/>
              </w:rPr>
              <w:tab/>
            </w:r>
            <w:r>
              <w:rPr>
                <w:noProof/>
                <w:webHidden/>
              </w:rPr>
              <w:fldChar w:fldCharType="begin"/>
            </w:r>
            <w:r>
              <w:rPr>
                <w:noProof/>
                <w:webHidden/>
              </w:rPr>
              <w:instrText xml:space="preserve"> PAGEREF _Toc45723034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lang w:val="en-US"/>
            </w:rPr>
          </w:pPr>
          <w:hyperlink w:anchor="_Toc45723035" w:history="1">
            <w:r>
              <w:rPr>
                <w:rStyle w:val="Hyperlink"/>
                <w:noProof/>
              </w:rPr>
              <w:t>Annexe I: Plan stratégique pluriannuel</w:t>
            </w:r>
            <w:r>
              <w:rPr>
                <w:noProof/>
                <w:webHidden/>
              </w:rPr>
              <w:tab/>
            </w:r>
            <w:r>
              <w:rPr>
                <w:noProof/>
                <w:webHidden/>
              </w:rPr>
              <w:fldChar w:fldCharType="begin"/>
            </w:r>
            <w:r>
              <w:rPr>
                <w:noProof/>
                <w:webHidden/>
              </w:rPr>
              <w:instrText xml:space="preserve"> PAGEREF _Toc45723035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noProof/>
              <w:lang w:val="en-US"/>
            </w:rPr>
          </w:pPr>
          <w:hyperlink w:anchor="_Toc45723036" w:history="1">
            <w:r>
              <w:rPr>
                <w:rStyle w:val="Hyperlink"/>
                <w:noProof/>
              </w:rPr>
              <w:t>Annexe II: Principales phases du projet et calendrier des étapes essentielles</w:t>
            </w:r>
            <w:r>
              <w:rPr>
                <w:noProof/>
                <w:webHidden/>
              </w:rPr>
              <w:tab/>
            </w:r>
            <w:r>
              <w:rPr>
                <w:noProof/>
                <w:webHidden/>
              </w:rPr>
              <w:fldChar w:fldCharType="begin"/>
            </w:r>
            <w:r>
              <w:rPr>
                <w:noProof/>
                <w:webHidden/>
              </w:rPr>
              <w:instrText xml:space="preserve"> PAGEREF _Toc45723036 \h </w:instrText>
            </w:r>
            <w:r>
              <w:rPr>
                <w:noProof/>
                <w:webHidden/>
              </w:rPr>
            </w:r>
            <w:r>
              <w:rPr>
                <w:noProof/>
                <w:webHidden/>
              </w:rPr>
              <w:fldChar w:fldCharType="separate"/>
            </w:r>
            <w:r>
              <w:rPr>
                <w:noProof/>
                <w:webHidden/>
              </w:rPr>
              <w:t>13</w:t>
            </w:r>
            <w:r>
              <w:rPr>
                <w:noProof/>
                <w:webHidden/>
              </w:rPr>
              <w:fldChar w:fldCharType="end"/>
            </w:r>
          </w:hyperlink>
        </w:p>
        <w:p>
          <w:pPr>
            <w:rPr>
              <w:noProof/>
              <w:sz w:val="24"/>
              <w:szCs w:val="24"/>
            </w:rPr>
          </w:pPr>
          <w:r>
            <w:rPr>
              <w:b/>
              <w:bCs/>
              <w:noProof/>
              <w:sz w:val="24"/>
              <w:szCs w:val="24"/>
            </w:rPr>
            <w:fldChar w:fldCharType="end"/>
          </w:r>
        </w:p>
      </w:sdtContent>
    </w:sdt>
    <w:p>
      <w:pPr>
        <w:jc w:val="left"/>
        <w:rPr>
          <w:rFonts w:eastAsiaTheme="majorEastAsia"/>
          <w:b/>
          <w:noProof/>
          <w:sz w:val="24"/>
          <w:szCs w:val="24"/>
        </w:rPr>
      </w:pPr>
      <w:r>
        <w:rPr>
          <w:noProof/>
        </w:rPr>
        <w:br w:type="page"/>
      </w:r>
    </w:p>
    <w:p>
      <w:pPr>
        <w:pStyle w:val="Heading1"/>
        <w:keepLines w:val="0"/>
        <w:numPr>
          <w:ilvl w:val="0"/>
          <w:numId w:val="2"/>
        </w:numPr>
        <w:spacing w:after="120"/>
        <w:ind w:left="432" w:hanging="432"/>
        <w:rPr>
          <w:rFonts w:ascii="Times New Roman" w:eastAsia="Times New Roman" w:hAnsi="Times New Roman" w:cs="Times New Roman"/>
          <w:smallCaps/>
          <w:noProof/>
          <w:szCs w:val="24"/>
        </w:rPr>
      </w:pPr>
      <w:bookmarkStart w:id="3" w:name="_Toc45723029"/>
      <w:r>
        <w:rPr>
          <w:rFonts w:ascii="Times New Roman" w:hAnsi="Times New Roman"/>
          <w:smallCaps/>
          <w:noProof/>
          <w:szCs w:val="24"/>
        </w:rPr>
        <w:t>INTRODUCTION</w:t>
      </w:r>
      <w:bookmarkEnd w:id="3"/>
    </w:p>
    <w:p>
      <w:pPr>
        <w:pStyle w:val="Default"/>
        <w:spacing w:after="120"/>
        <w:jc w:val="both"/>
        <w:rPr>
          <w:noProof/>
          <w:color w:val="auto"/>
        </w:rPr>
      </w:pPr>
      <w:r>
        <w:rPr>
          <w:noProof/>
          <w:color w:val="auto"/>
        </w:rPr>
        <w:t>Le règlement (UE) 2019/880 du Parlement européen et du Conseil du 17 avril 2019</w:t>
      </w:r>
      <w:r>
        <w:rPr>
          <w:rStyle w:val="FootnoteReference"/>
          <w:noProof/>
          <w:color w:val="auto"/>
          <w:lang w:val="en-GB"/>
        </w:rPr>
        <w:footnoteReference w:id="2"/>
      </w:r>
      <w:r>
        <w:rPr>
          <w:noProof/>
          <w:color w:val="auto"/>
        </w:rPr>
        <w:t xml:space="preserve"> concernant l’introduction et l’importation de biens culturels (ci-après le «règlement») vise à prévenir le commerce illicite de biens culturels, en particulier lorsqu’il contribue au financement d’activités terroristes, et à interdire l’importation sur le territoire douanier de l’Union de biens culturels exportés illégalement depuis des pays tiers. </w:t>
      </w:r>
    </w:p>
    <w:p>
      <w:pPr>
        <w:pStyle w:val="Default"/>
        <w:spacing w:after="120"/>
        <w:jc w:val="both"/>
        <w:rPr>
          <w:noProof/>
          <w:color w:val="auto"/>
        </w:rPr>
      </w:pPr>
      <w:r>
        <w:rPr>
          <w:noProof/>
          <w:color w:val="auto"/>
        </w:rPr>
        <w:t xml:space="preserve">Le règlement soumet l’importation de certains biens culturels considérés comme un patrimoine particulièrement menacé à la présentation d’une licence d’importation et celle d’autres biens, considérés comme moins menacés, à la présentation d’une déclaration de l’importateur. Il veille également à ce que ces biens soient soumis à des contrôles uniformes lors de leur importation dans l’Union. En outre, toute introduction physique dans l’Union, par exemple par transit, de biens culturels sortis du territoire du pays tiers dans lequel ils ont été créés ou découverts en violation des dispositions législatives et réglementaires de ce pays est interdite («règle de l’interdiction générale»). </w:t>
      </w:r>
    </w:p>
    <w:p>
      <w:pPr>
        <w:pStyle w:val="Default"/>
        <w:spacing w:after="120"/>
        <w:jc w:val="both"/>
        <w:rPr>
          <w:noProof/>
          <w:color w:val="auto"/>
        </w:rPr>
      </w:pPr>
      <w:r>
        <w:rPr>
          <w:noProof/>
          <w:color w:val="auto"/>
        </w:rPr>
        <w:t>Le champ d’application matériel du règlement s’inspire de la convention de l’Unesco de 1970</w:t>
      </w:r>
      <w:r>
        <w:rPr>
          <w:rStyle w:val="FootnoteReference"/>
          <w:noProof/>
          <w:color w:val="auto"/>
          <w:lang w:val="en-GB"/>
        </w:rPr>
        <w:footnoteReference w:id="3"/>
      </w:r>
      <w:r>
        <w:rPr>
          <w:noProof/>
          <w:color w:val="auto"/>
        </w:rPr>
        <w:t>; il est fixé dans l’annexe du règlement, où sont énumérées les catégories de biens culturels pour lesquelles la règle de l’interdiction générale s’applique (partie A) et celles qui sont soumises respectivement à une licence d’importation (partie B) et à une déclaration de l’importateur (partie C).</w:t>
      </w:r>
    </w:p>
    <w:p>
      <w:pPr>
        <w:pStyle w:val="Default"/>
        <w:spacing w:after="120"/>
        <w:jc w:val="both"/>
        <w:rPr>
          <w:noProof/>
          <w:color w:val="auto"/>
        </w:rPr>
      </w:pPr>
      <w:r>
        <w:rPr>
          <w:noProof/>
          <w:color w:val="auto"/>
        </w:rPr>
        <w:t xml:space="preserve">La proposition initiale de la Commission prévoyait la possibilité – sans prescrire de calendrier précis – de concevoir un système électronique destiné à faciliter la coopération administrative entre les autorités des États membres chargées de la mise en œuvre du règlement. Toutefois, suite à la demande formulée par le Parlement européen et le Conseil pendant les négociations d’adoption, le règlement a introduit l’obligation, pour la Commission, de mettre en place un système électronique centralisé dans un délai donné. </w:t>
      </w:r>
    </w:p>
    <w:p>
      <w:pPr>
        <w:pStyle w:val="Default"/>
        <w:spacing w:after="120"/>
        <w:jc w:val="both"/>
        <w:rPr>
          <w:noProof/>
          <w:color w:val="auto"/>
        </w:rPr>
      </w:pPr>
      <w:r>
        <w:rPr>
          <w:noProof/>
          <w:color w:val="auto"/>
        </w:rPr>
        <w:t xml:space="preserve">Le système électronique centralisé doit devenir opérationnel au plus tard dans un délai de six ans à compter de l’entrée en vigueur du règlement (le 28 juin 2019), soit au plus tard le 28 juin 2025. De plus, il servira non seulement au stockage et à l’échange d’informations entre les administrations des États membres, mais aussi à l’accomplissement des formalités par les opérateurs, à savoir la présentation des demandes de licences d’importation aux autorités compétentes des États membres et la délivrance de ces licences, ainsi que la présentation aux autorités douanières des déclarations des importateurs. </w:t>
      </w:r>
    </w:p>
    <w:p>
      <w:pPr>
        <w:pStyle w:val="Default"/>
        <w:spacing w:after="120"/>
        <w:jc w:val="both"/>
        <w:rPr>
          <w:noProof/>
          <w:color w:val="auto"/>
        </w:rPr>
      </w:pPr>
      <w:r>
        <w:rPr>
          <w:noProof/>
          <w:color w:val="auto"/>
        </w:rPr>
        <w:t>Par ailleurs, la conception et le fonctionnement du système électronique centralisé d’importation de biens culturels (ci-après le «système ICG») sont étroitement liés à une autre initiative majeure de la Commission dans le domaine des douanes: le Guichet unique des douanes de l’UE – Échange de certificats (EU CSW-CERTEX)</w:t>
      </w:r>
      <w:r>
        <w:rPr>
          <w:rStyle w:val="FootnoteReference"/>
          <w:noProof/>
          <w:color w:val="auto"/>
          <w:lang w:val="en-GB"/>
        </w:rPr>
        <w:footnoteReference w:id="4"/>
      </w:r>
      <w:r>
        <w:rPr>
          <w:noProof/>
          <w:color w:val="auto"/>
        </w:rPr>
        <w:t xml:space="preserve">. </w:t>
      </w:r>
    </w:p>
    <w:p>
      <w:pPr>
        <w:pStyle w:val="Default"/>
        <w:spacing w:after="120"/>
        <w:jc w:val="both"/>
        <w:rPr>
          <w:noProof/>
          <w:color w:val="auto"/>
        </w:rPr>
      </w:pPr>
      <w:r>
        <w:rPr>
          <w:noProof/>
          <w:color w:val="auto"/>
        </w:rPr>
        <w:t>Le système d’échange de certificats EU-CSW CERTEX vise à interconnecter les systèmes centralisés de l’Union destinés aux formalités autres que douanières avec les systèmes douaniers nationaux afin de permettre l’échange numérique des pièces justificatives, des résultats des contrôles et de l’issue des procédures douanières et non-douanières. Ce mécanisme bénéficiera à la fois aux opérateurs, qui n’auront pas à conserver sur eux des copies physiques des documents et aux autorités compétentes, qui ne seront pas tenues de vérifier l’authenticité des déclarations des importateurs et des licences d’importation.</w:t>
      </w:r>
    </w:p>
    <w:p>
      <w:pPr>
        <w:pStyle w:val="Default"/>
        <w:spacing w:after="120"/>
        <w:jc w:val="both"/>
        <w:rPr>
          <w:noProof/>
          <w:color w:val="auto"/>
        </w:rPr>
      </w:pPr>
      <w:r>
        <w:rPr>
          <w:noProof/>
          <w:color w:val="auto"/>
        </w:rPr>
        <w:t>Pour atteindre ces objectifs, le règlement impose à la Commission européenne d’établir, au moyen d’actes d’exécution, les modalités de déploiement, de fonctionnement et de maintenance du système électronique centralisé ICG, ainsi que les règles détaillées applicables à l’introduction, au traitement, au stockage et à l’échange d’informations entre les autorités des États membres par l’intermédiaire de ce système.</w:t>
      </w:r>
    </w:p>
    <w:p>
      <w:pPr>
        <w:pStyle w:val="Default"/>
        <w:spacing w:after="120"/>
        <w:jc w:val="both"/>
        <w:rPr>
          <w:noProof/>
          <w:color w:val="auto"/>
        </w:rPr>
      </w:pPr>
      <w:r>
        <w:rPr>
          <w:noProof/>
          <w:color w:val="auto"/>
        </w:rPr>
        <w:t>Bien que le projet progresse simultanément à plusieurs niveaux, il peut être subdivisé en trois phases:</w:t>
      </w:r>
    </w:p>
    <w:p>
      <w:pPr>
        <w:pStyle w:val="Default"/>
        <w:numPr>
          <w:ilvl w:val="0"/>
          <w:numId w:val="44"/>
        </w:numPr>
        <w:spacing w:after="120"/>
        <w:ind w:left="426"/>
        <w:jc w:val="both"/>
        <w:rPr>
          <w:noProof/>
          <w:color w:val="auto"/>
        </w:rPr>
      </w:pPr>
      <w:r>
        <w:rPr>
          <w:b/>
          <w:noProof/>
          <w:color w:val="auto"/>
        </w:rPr>
        <w:t xml:space="preserve">Phase 1 – Conceptualisation: </w:t>
      </w:r>
      <w:r>
        <w:rPr>
          <w:noProof/>
          <w:color w:val="auto"/>
        </w:rPr>
        <w:t>lors de cette phase, la Commission doit étudier la manière dont le système ICG est appelé à fonctionner et fixer les règles détaillées applicables à l’introduction, au traitement, au stockage et à l’échange d’informations entre les autorités des États membres. À l’issue de cette phase, la Commission élaborera un acte d’exécution et, parallèlement, un ensemble de documents techniques dont le détail figure au tableau 1 (voir annexe I);</w:t>
      </w:r>
    </w:p>
    <w:p>
      <w:pPr>
        <w:pStyle w:val="Default"/>
        <w:numPr>
          <w:ilvl w:val="0"/>
          <w:numId w:val="44"/>
        </w:numPr>
        <w:spacing w:after="120"/>
        <w:ind w:left="426"/>
        <w:jc w:val="both"/>
        <w:rPr>
          <w:noProof/>
          <w:color w:val="auto"/>
        </w:rPr>
      </w:pPr>
      <w:r>
        <w:rPr>
          <w:b/>
          <w:bCs/>
          <w:noProof/>
          <w:color w:val="auto"/>
        </w:rPr>
        <w:t>Phase 2 – Conception du système:</w:t>
      </w:r>
      <w:r>
        <w:rPr>
          <w:noProof/>
          <w:color w:val="auto"/>
        </w:rPr>
        <w:t xml:space="preserve"> conformément aux dispositions de l’acte d’exécution et aux documents techniques qui décrivent les exigences applicables au système, la Commission doit élaborer des spécifications techniques détaillées et développer le système ICG ainsi que ses liens avec le système d’échange de certificats du guichet unique des douanes de l’UE (EU-CSW CERTEX);</w:t>
      </w:r>
    </w:p>
    <w:p>
      <w:pPr>
        <w:pStyle w:val="Default"/>
        <w:numPr>
          <w:ilvl w:val="0"/>
          <w:numId w:val="44"/>
        </w:numPr>
        <w:spacing w:after="120"/>
        <w:ind w:left="426"/>
        <w:jc w:val="both"/>
        <w:rPr>
          <w:noProof/>
          <w:color w:val="auto"/>
        </w:rPr>
      </w:pPr>
      <w:r>
        <w:rPr>
          <w:b/>
          <w:bCs/>
          <w:noProof/>
          <w:color w:val="auto"/>
        </w:rPr>
        <w:t>Phase 3 – Déploiement et fonctionnement:</w:t>
      </w:r>
      <w:r>
        <w:rPr>
          <w:b/>
          <w:noProof/>
          <w:color w:val="auto"/>
        </w:rPr>
        <w:t xml:space="preserve"> </w:t>
      </w:r>
      <w:r>
        <w:rPr>
          <w:noProof/>
          <w:color w:val="auto"/>
        </w:rPr>
        <w:t>cette dernière phase consiste à déployer et à tester le système ICG; elle comprend des activités de formation spécifiques dans chaque État membre, afin de garantir que le 28 juin 2025 au plus tard, les opérateurs et les autorités compétentes seront capables d’utiliser le système et auront été formés à cette fin. À cette phase succédera une période de suivi de 6 mois, pendant laquelle le système sera affiné afin de répondre aux besoins opérationnels qui n’apparaissent généralement qu’après l’entrée en vigueur d’un système informatique, et d’assurer le bon fonctionnement des opérations.</w:t>
      </w:r>
    </w:p>
    <w:p>
      <w:pPr>
        <w:pStyle w:val="Default"/>
        <w:spacing w:after="120"/>
        <w:jc w:val="both"/>
        <w:rPr>
          <w:noProof/>
          <w:color w:val="auto"/>
        </w:rPr>
      </w:pPr>
      <w:r>
        <w:rPr>
          <w:noProof/>
          <w:color w:val="auto"/>
        </w:rPr>
        <w:t>Le règlement prévoit que le 28 juin 2020 au plus tard, et tous les douze mois par la suite jusqu’à ce que le système électronique devienne opérationnel, la Commission européenne présente au Parlement européen et au Conseil un rapport sur les progrès accomplis dans l’adoption des dispositions d’exécution pertinentes et dans la mise en place du système électronique.</w:t>
      </w:r>
    </w:p>
    <w:p>
      <w:pPr>
        <w:pStyle w:val="Default"/>
        <w:spacing w:after="120"/>
        <w:jc w:val="both"/>
        <w:rPr>
          <w:b/>
          <w:noProof/>
          <w:color w:val="auto"/>
        </w:rPr>
      </w:pPr>
      <w:r>
        <w:rPr>
          <w:noProof/>
          <w:color w:val="auto"/>
        </w:rPr>
        <w:t xml:space="preserve">Le présent premier rapport annuel porte essentiellement sur la phase 1 et décrit l’évolution de la situation au cours de la première année suivant l’entrée en vigueur du règlement. </w:t>
      </w:r>
      <w:r>
        <w:rPr>
          <w:b/>
          <w:noProof/>
          <w:color w:val="auto"/>
        </w:rPr>
        <w:t xml:space="preserve">Il analyse les progrès accomplis, en précisant également les objectifs à atteindre, de même que l’architecture du projet et l’approche retenue en matière de planification. Sur ce fondement, il met en évidence les risques de retard potentiels et les mesures d’atténuation envisagées. </w:t>
      </w:r>
    </w:p>
    <w:p>
      <w:pPr>
        <w:spacing w:after="240"/>
        <w:rPr>
          <w:b/>
          <w:noProof/>
          <w:sz w:val="24"/>
          <w:szCs w:val="24"/>
        </w:rPr>
      </w:pPr>
      <w:r>
        <w:rPr>
          <w:b/>
          <w:noProof/>
          <w:sz w:val="24"/>
          <w:szCs w:val="24"/>
        </w:rPr>
        <w:t xml:space="preserve">L’évaluation globale des progrès accomplis est résumée dans la partie «Conclusion» du présent rapport. </w:t>
      </w:r>
    </w:p>
    <w:p>
      <w:pPr>
        <w:pStyle w:val="Heading1"/>
        <w:keepLines w:val="0"/>
        <w:numPr>
          <w:ilvl w:val="0"/>
          <w:numId w:val="2"/>
        </w:numPr>
        <w:spacing w:after="120"/>
        <w:ind w:left="432" w:hanging="432"/>
        <w:rPr>
          <w:rFonts w:ascii="Times New Roman" w:eastAsia="Times New Roman" w:hAnsi="Times New Roman" w:cs="Times New Roman"/>
          <w:smallCaps/>
          <w:noProof/>
          <w:szCs w:val="24"/>
        </w:rPr>
      </w:pPr>
      <w:bookmarkStart w:id="4" w:name="_Toc45723030"/>
      <w:r>
        <w:rPr>
          <w:rFonts w:ascii="Times New Roman" w:hAnsi="Times New Roman"/>
          <w:smallCaps/>
          <w:noProof/>
          <w:szCs w:val="24"/>
        </w:rPr>
        <w:t>OBJECTIFS À ATTEINDRE</w:t>
      </w:r>
      <w:bookmarkEnd w:id="4"/>
    </w:p>
    <w:p>
      <w:pPr>
        <w:pStyle w:val="Default"/>
        <w:spacing w:after="120"/>
        <w:jc w:val="both"/>
        <w:rPr>
          <w:noProof/>
          <w:color w:val="auto"/>
        </w:rPr>
      </w:pPr>
      <w:r>
        <w:rPr>
          <w:noProof/>
          <w:color w:val="auto"/>
        </w:rPr>
        <w:t>Le système électronique devra être opérationnel au plus tard le 28 juin 2025, puisqu’à compter de cette date, tous les opérateurs seront tenus d’obtenir des licences d’importation ou de soumettre des déclarations d’importateurs au moyen dudit système afin de pouvoir légalement importer</w:t>
      </w:r>
      <w:r>
        <w:rPr>
          <w:rStyle w:val="FootnoteReference"/>
          <w:noProof/>
          <w:color w:val="auto"/>
          <w:lang w:val="en-GB"/>
        </w:rPr>
        <w:footnoteReference w:id="5"/>
      </w:r>
      <w:r>
        <w:rPr>
          <w:noProof/>
          <w:color w:val="auto"/>
        </w:rPr>
        <w:t xml:space="preserve"> des biens culturels dans l’Union. </w:t>
      </w:r>
    </w:p>
    <w:p>
      <w:pPr>
        <w:pStyle w:val="Default"/>
        <w:spacing w:after="120"/>
        <w:jc w:val="both"/>
        <w:rPr>
          <w:noProof/>
          <w:color w:val="auto"/>
        </w:rPr>
      </w:pPr>
      <w:r>
        <w:rPr>
          <w:noProof/>
          <w:color w:val="auto"/>
        </w:rPr>
        <w:t xml:space="preserve">Entré en vigueur le 28 juin 2019, le règlement fixe la date limite du 28 juin 2021 pour l’adoption, au moyen de la procédure d’examen, des dispositions d’exécution fixant les règles détaillées applicables au système électronique. </w:t>
      </w:r>
    </w:p>
    <w:p>
      <w:pPr>
        <w:pStyle w:val="Default"/>
        <w:spacing w:after="120"/>
        <w:jc w:val="both"/>
        <w:rPr>
          <w:noProof/>
          <w:color w:val="auto"/>
        </w:rPr>
      </w:pPr>
      <w:r>
        <w:rPr>
          <w:noProof/>
          <w:color w:val="auto"/>
        </w:rPr>
        <w:t xml:space="preserve">Une fois les dispositions d’exécution adoptées, la phase de conception du système électronique durera environ deux ans, à l’issue desquels débutera la troisième phase, pendant laquelle le système ICG sera interconnecté avec le système d’échange de certificats EU-CSW CERTEX, afin de permettre l’échange de documents avec les systèmes douaniers des États membres. Des séances de formation seront organisées afin de familiariser les administrations des États membres avec les fonctions opérationnelles du système. </w:t>
      </w:r>
    </w:p>
    <w:p>
      <w:pPr>
        <w:pStyle w:val="Default"/>
        <w:spacing w:after="120"/>
        <w:jc w:val="both"/>
        <w:rPr>
          <w:noProof/>
          <w:color w:val="auto"/>
        </w:rPr>
      </w:pPr>
      <w:r>
        <w:rPr>
          <w:noProof/>
          <w:color w:val="auto"/>
        </w:rPr>
        <w:t>À l’instar d’autres activités de la Commission dans le domaine des douanes, le projet relatif à l’importation de biens culturels fait également l’objet d’une planification détaillée dans le cadre de la révision du plan stratégique pluriannuel pour les douanes 2019 (MASP-C rév. 2019)</w:t>
      </w:r>
      <w:r>
        <w:rPr>
          <w:rStyle w:val="FootnoteReference"/>
          <w:noProof/>
          <w:color w:val="auto"/>
          <w:lang w:val="en-GB"/>
        </w:rPr>
        <w:footnoteReference w:id="6"/>
      </w:r>
      <w:r>
        <w:rPr>
          <w:noProof/>
          <w:color w:val="auto"/>
        </w:rPr>
        <w:t>. Le plan stratégique pluriannuel est un outil de gestion et de planification fondé sur la législation existante ou sur des accords internationaux, et élaboré par la Commission en partenariat avec les États membres conformément à l’article 8, paragraphe 2, de la décision sur la douane électronique</w:t>
      </w:r>
      <w:r>
        <w:rPr>
          <w:rStyle w:val="FootnoteReference"/>
          <w:noProof/>
          <w:color w:val="auto"/>
          <w:lang w:val="en-GB"/>
        </w:rPr>
        <w:footnoteReference w:id="7"/>
      </w:r>
      <w:r>
        <w:rPr>
          <w:noProof/>
          <w:color w:val="auto"/>
        </w:rPr>
        <w:t>. Un extrait du calendrier du projet relatif à l’importation de biens culturels tiré du MASP-C rév. 2019 figure à l’annexe I du présent rapport.</w:t>
      </w:r>
    </w:p>
    <w:p>
      <w:pPr>
        <w:pStyle w:val="Default"/>
        <w:spacing w:after="120"/>
        <w:jc w:val="both"/>
        <w:rPr>
          <w:noProof/>
          <w:color w:val="auto"/>
        </w:rPr>
      </w:pPr>
      <w:r>
        <w:rPr>
          <w:noProof/>
          <w:color w:val="auto"/>
        </w:rPr>
        <w:t>Une partie du projet relatif à l’importation de biens culturels est en outre développée dans le cadre de l’environnement de guichet unique de l’Union pour les douanes (MASP-C rév. 2019, fiche 1.13), dont le système d’échange de certificats EU CSW-CERTEX constitue le système informatique principal. Un extrait du calendrier du système EU CSW-CERTEX tiré du MASP-C, fiche 1.13, figure à l’annexe I du présent rapport.</w:t>
      </w:r>
    </w:p>
    <w:p>
      <w:pPr>
        <w:pStyle w:val="Default"/>
        <w:spacing w:after="240"/>
        <w:jc w:val="both"/>
        <w:rPr>
          <w:noProof/>
          <w:color w:val="auto"/>
        </w:rPr>
      </w:pPr>
      <w:r>
        <w:rPr>
          <w:noProof/>
          <w:color w:val="auto"/>
        </w:rPr>
        <w:t>De fait, l’importation de biens culturels implique une coopération étroite entre les autorités nationales compétentes qui délivrent les licences d’importation et les douanes, qui ont besoin de ces licences pour procéder au dédouanement des biens culturels à la frontière. La Commission a entamé (dès le premier trimestre 2017) une analyse préliminaire sur l’interconnexion possible entre le système ICG et les douanes. Cette analyse, élaborée selon les étapes décrites en détail dans le tableau 1 (voir annexe I), a nourri les travaux préparatoires à la phase conceptuelle du système ICG.</w:t>
      </w:r>
    </w:p>
    <w:p>
      <w:pPr>
        <w:pStyle w:val="Heading1"/>
        <w:keepLines w:val="0"/>
        <w:numPr>
          <w:ilvl w:val="0"/>
          <w:numId w:val="2"/>
        </w:numPr>
        <w:spacing w:after="120"/>
        <w:ind w:left="432" w:hanging="432"/>
        <w:rPr>
          <w:rFonts w:ascii="Times New Roman" w:eastAsia="Times New Roman" w:hAnsi="Times New Roman" w:cs="Times New Roman"/>
          <w:smallCaps/>
          <w:noProof/>
          <w:szCs w:val="24"/>
        </w:rPr>
      </w:pPr>
      <w:bookmarkStart w:id="5" w:name="_Toc45723031"/>
      <w:r>
        <w:rPr>
          <w:rFonts w:ascii="Times New Roman" w:hAnsi="Times New Roman"/>
          <w:smallCaps/>
          <w:noProof/>
          <w:szCs w:val="24"/>
        </w:rPr>
        <w:t>ARCHITECTURE DU PROJET ET APPROCHE EN MATIÈRE DE PLANIFICATION</w:t>
      </w:r>
      <w:bookmarkEnd w:id="5"/>
    </w:p>
    <w:p>
      <w:pPr>
        <w:pStyle w:val="Default"/>
        <w:spacing w:after="120"/>
        <w:jc w:val="both"/>
        <w:rPr>
          <w:iCs/>
          <w:noProof/>
          <w:color w:val="auto"/>
        </w:rPr>
      </w:pPr>
      <w:r>
        <w:rPr>
          <w:iCs/>
          <w:noProof/>
          <w:color w:val="auto"/>
        </w:rPr>
        <w:t>L’architecture du projet repose sur la méthodologie fournie dans le MASP-C rév. 2019 et ses annexes, y compris le programme de gouvernance</w:t>
      </w:r>
      <w:r>
        <w:rPr>
          <w:rStyle w:val="FootnoteReference"/>
          <w:iCs/>
          <w:noProof/>
          <w:color w:val="auto"/>
          <w:lang w:val="en-GB"/>
        </w:rPr>
        <w:footnoteReference w:id="8"/>
      </w:r>
      <w:r>
        <w:rPr>
          <w:iCs/>
          <w:noProof/>
          <w:color w:val="auto"/>
        </w:rPr>
        <w:t>, la politique de modélisation des processus opérationnels des douanes de l’Union</w:t>
      </w:r>
      <w:r>
        <w:rPr>
          <w:rStyle w:val="FootnoteReference"/>
          <w:iCs/>
          <w:noProof/>
          <w:color w:val="auto"/>
          <w:lang w:val="en-GB"/>
        </w:rPr>
        <w:footnoteReference w:id="9"/>
      </w:r>
      <w:r>
        <w:rPr>
          <w:iCs/>
          <w:noProof/>
          <w:color w:val="auto"/>
        </w:rPr>
        <w:t xml:space="preserve"> et la stratégie informatique</w:t>
      </w:r>
      <w:r>
        <w:rPr>
          <w:rStyle w:val="FootnoteReference"/>
          <w:iCs/>
          <w:noProof/>
          <w:color w:val="auto"/>
          <w:lang w:val="en-GB"/>
        </w:rPr>
        <w:footnoteReference w:id="10"/>
      </w:r>
      <w:r>
        <w:rPr>
          <w:iCs/>
          <w:noProof/>
          <w:color w:val="auto"/>
        </w:rPr>
        <w:t xml:space="preserve">. </w:t>
      </w:r>
      <w:r>
        <w:rPr>
          <w:noProof/>
        </w:rPr>
        <w:t>Une feuille de route complète, énonçant les principales phases et les étapes essentielles du projet, est exposée en détail à l’annexe II.</w:t>
      </w:r>
    </w:p>
    <w:p>
      <w:pPr>
        <w:pStyle w:val="Default"/>
        <w:spacing w:after="120"/>
        <w:jc w:val="both"/>
        <w:rPr>
          <w:b/>
          <w:iCs/>
          <w:noProof/>
          <w:color w:val="auto"/>
        </w:rPr>
      </w:pPr>
      <w:r>
        <w:rPr>
          <w:b/>
          <w:iCs/>
          <w:noProof/>
          <w:color w:val="auto"/>
        </w:rPr>
        <w:t>Phase 1 – Conceptualisation:</w:t>
      </w:r>
    </w:p>
    <w:p>
      <w:pPr>
        <w:pStyle w:val="Default"/>
        <w:spacing w:after="120"/>
        <w:jc w:val="both"/>
        <w:rPr>
          <w:noProof/>
          <w:color w:val="auto"/>
        </w:rPr>
      </w:pPr>
      <w:r>
        <w:rPr>
          <w:iCs/>
          <w:noProof/>
          <w:color w:val="auto"/>
        </w:rPr>
        <w:t>Le travail de conception de systèmes informatiques comporte plusieurs phases.</w:t>
      </w:r>
      <w:r>
        <w:rPr>
          <w:noProof/>
          <w:color w:val="auto"/>
        </w:rPr>
        <w:t xml:space="preserve"> Tout d’abord, une analyse de rentabilité est préparée; elle fournit la justification du projet et définit les exigences budgétaires. En général, l’analyse de rentabilité comprend le contexte opérationnel, la description du problème, la description et la portée du projet, les solutions alternatives possibles, les coûts et les délais. </w:t>
      </w:r>
    </w:p>
    <w:p>
      <w:pPr>
        <w:pStyle w:val="Default"/>
        <w:spacing w:after="120"/>
        <w:jc w:val="both"/>
        <w:rPr>
          <w:noProof/>
          <w:color w:val="auto"/>
        </w:rPr>
      </w:pPr>
      <w:r>
        <w:rPr>
          <w:noProof/>
          <w:color w:val="auto"/>
        </w:rPr>
        <w:t>Ensuite, un document stratégique est élaboré; il contient des informations plus détaillées sur la définition du projet en termes d’architecture, de coût, de temps et de risques, ainsi que des informations telles que les étapes, les résultats escomptés et l’organisation du projet. Après quoi la modélisation des processus opérationnels, qui consiste à représenter les processus opérationnels découlant de la législation de manière graphique sous la forme de flux ou de modèles de processus, est utilisée pour permettre l’élaboration des spécifications fonctionnelles du système et faciliter une analyse et une compréhension communes.</w:t>
      </w:r>
    </w:p>
    <w:p>
      <w:pPr>
        <w:pStyle w:val="Default"/>
        <w:spacing w:after="120"/>
        <w:jc w:val="both"/>
        <w:rPr>
          <w:b/>
          <w:noProof/>
          <w:color w:val="auto"/>
        </w:rPr>
      </w:pPr>
      <w:r>
        <w:rPr>
          <w:b/>
          <w:bCs/>
          <w:noProof/>
          <w:color w:val="auto"/>
        </w:rPr>
        <w:t>Phase 2 – Conception du système:</w:t>
      </w:r>
    </w:p>
    <w:p>
      <w:pPr>
        <w:pStyle w:val="Default"/>
        <w:spacing w:after="120"/>
        <w:jc w:val="both"/>
        <w:rPr>
          <w:noProof/>
          <w:color w:val="auto"/>
        </w:rPr>
      </w:pPr>
      <w:r>
        <w:rPr>
          <w:noProof/>
          <w:color w:val="auto"/>
        </w:rPr>
        <w:t>La phase suivante consiste à élaborer les spécifications techniques, qui définissent plus en détail la manière dont le système sera construit, l’architecture à utiliser, les messages qui devront être envoyés par les opérateurs économiques, les interfaces avec d’autres systèmes, les plans d’essais, etc.</w:t>
      </w:r>
    </w:p>
    <w:p>
      <w:pPr>
        <w:pStyle w:val="Default"/>
        <w:spacing w:after="120"/>
        <w:jc w:val="both"/>
        <w:rPr>
          <w:noProof/>
          <w:color w:val="auto"/>
        </w:rPr>
      </w:pPr>
      <w:r>
        <w:rPr>
          <w:noProof/>
          <w:color w:val="auto"/>
        </w:rPr>
        <w:t>Une fois le système achevé du point de vue conceptuel et les résultats escomptés – tels qu’énumérés au tableau 1, sous les étapes 1 et 3 (voir annexe I) – obtenus, un travail plus approfondi commence, avec la prise en considération d’aspects plus techniques dans les spécifications relatives aux applications et aux services et les spécifications techniques du système, qui sont le prolongement naturel des résultats obtenus lors des phases d’analyse opérationnelle et de lancement du projet.</w:t>
      </w:r>
    </w:p>
    <w:p>
      <w:pPr>
        <w:pStyle w:val="Default"/>
        <w:spacing w:after="120"/>
        <w:jc w:val="both"/>
        <w:rPr>
          <w:b/>
          <w:noProof/>
          <w:color w:val="auto"/>
        </w:rPr>
      </w:pPr>
      <w:r>
        <w:rPr>
          <w:b/>
          <w:bCs/>
          <w:noProof/>
          <w:color w:val="auto"/>
        </w:rPr>
        <w:t>Phase 3 – Déploiement et fonctionnement:</w:t>
      </w:r>
    </w:p>
    <w:p>
      <w:pPr>
        <w:pStyle w:val="Default"/>
        <w:spacing w:after="120"/>
        <w:jc w:val="both"/>
        <w:rPr>
          <w:noProof/>
          <w:color w:val="auto"/>
        </w:rPr>
      </w:pPr>
      <w:r>
        <w:rPr>
          <w:noProof/>
          <w:color w:val="auto"/>
        </w:rPr>
        <w:t>Enfin, la phase de développement informatique proprement dite (phase de construction) commence, suivie d’une phase de transition au cours de laquelle les premières versions du système sont progressivement déployées auprès des différents groupes d’utilisateurs et des essais réalisés. Des activités de formation et de communication sur le fonctionnement du système sont menées parallèlement au déploiement et aux essais.</w:t>
      </w:r>
    </w:p>
    <w:p>
      <w:pPr>
        <w:pStyle w:val="Default"/>
        <w:spacing w:after="120"/>
        <w:jc w:val="both"/>
        <w:rPr>
          <w:noProof/>
          <w:color w:val="auto"/>
        </w:rPr>
      </w:pPr>
      <w:r>
        <w:rPr>
          <w:noProof/>
          <w:color w:val="auto"/>
        </w:rPr>
        <w:t xml:space="preserve">Dans le cas du système électronique d’importation de biens culturels (ICG), il n’est pas prévu d’intégrer le service aux systèmes nationaux de licence de biens culturels qui existent déjà dans certains États membres ni de procéder à une mise en œuvre technique au niveau national, dès lors que le système ICG sera géré de manière centralisée par la Commission. Les opérateurs et les autorités compétentes pourront accéder au système et l’utiliser grâce à l’interface utilisateur graphique fournie par la Commission. </w:t>
      </w:r>
    </w:p>
    <w:p>
      <w:pPr>
        <w:pStyle w:val="Default"/>
        <w:spacing w:after="120"/>
        <w:jc w:val="both"/>
        <w:rPr>
          <w:noProof/>
          <w:color w:val="auto"/>
        </w:rPr>
      </w:pPr>
      <w:r>
        <w:rPr>
          <w:noProof/>
          <w:color w:val="auto"/>
        </w:rPr>
        <w:t>Du point de vue des politiques publiques, ce choix est considéré comme la solution la plus adaptée, compte tenu de la complexité des biens culturels faisant l’objet d’échanges commerciaux. En effet, les systèmes douaniers en tant que tels ne sont pas correctement équipés pour permettre une description détaillée et complète de chaque élément du patrimoine culturel, car la plupart sont des œuvres uniques.</w:t>
      </w:r>
    </w:p>
    <w:p>
      <w:pPr>
        <w:pStyle w:val="Default"/>
        <w:spacing w:after="240"/>
        <w:jc w:val="both"/>
        <w:rPr>
          <w:noProof/>
          <w:color w:val="auto"/>
        </w:rPr>
      </w:pPr>
      <w:r>
        <w:rPr>
          <w:noProof/>
          <w:color w:val="auto"/>
        </w:rPr>
        <w:t>Par ailleurs, le système ICG sera interconnecté avec les administrations douanières des États membres par l’intermédiaire du système d’échange de certificats EU CSW-CERTEX, ce qui permettra d’effectuer des contrôles douaniers automatisés des documents délivrés aux fins d’importation de biens culturels. Cette activité nécessitera des tests de conformité.</w:t>
      </w:r>
    </w:p>
    <w:p>
      <w:pPr>
        <w:pStyle w:val="Heading1"/>
        <w:keepLines w:val="0"/>
        <w:numPr>
          <w:ilvl w:val="0"/>
          <w:numId w:val="2"/>
        </w:numPr>
        <w:spacing w:after="120"/>
        <w:ind w:left="432" w:hanging="432"/>
        <w:rPr>
          <w:rFonts w:ascii="Times New Roman" w:eastAsia="Times New Roman" w:hAnsi="Times New Roman" w:cs="Times New Roman"/>
          <w:smallCaps/>
          <w:noProof/>
          <w:szCs w:val="24"/>
        </w:rPr>
      </w:pPr>
      <w:bookmarkStart w:id="6" w:name="_Toc45723032"/>
      <w:r>
        <w:rPr>
          <w:rFonts w:ascii="Times New Roman" w:hAnsi="Times New Roman"/>
          <w:smallCaps/>
          <w:noProof/>
          <w:szCs w:val="24"/>
        </w:rPr>
        <w:t>APERÇU des progrès réalisés</w:t>
      </w:r>
      <w:bookmarkEnd w:id="6"/>
      <w:r>
        <w:rPr>
          <w:rFonts w:ascii="Times New Roman" w:hAnsi="Times New Roman"/>
          <w:smallCaps/>
          <w:noProof/>
          <w:szCs w:val="24"/>
        </w:rPr>
        <w:t xml:space="preserve"> </w:t>
      </w:r>
    </w:p>
    <w:p>
      <w:pPr>
        <w:widowControl w:val="0"/>
        <w:autoSpaceDE w:val="0"/>
        <w:autoSpaceDN w:val="0"/>
        <w:adjustRightInd w:val="0"/>
        <w:rPr>
          <w:b/>
          <w:iCs/>
          <w:noProof/>
          <w:sz w:val="24"/>
          <w:szCs w:val="24"/>
        </w:rPr>
      </w:pPr>
      <w:r>
        <w:rPr>
          <w:b/>
          <w:iCs/>
          <w:noProof/>
          <w:sz w:val="24"/>
          <w:szCs w:val="24"/>
        </w:rPr>
        <w:t>Consultation et discussions</w:t>
      </w:r>
    </w:p>
    <w:p>
      <w:pPr>
        <w:widowControl w:val="0"/>
        <w:autoSpaceDE w:val="0"/>
        <w:autoSpaceDN w:val="0"/>
        <w:adjustRightInd w:val="0"/>
        <w:rPr>
          <w:iCs/>
          <w:noProof/>
          <w:sz w:val="24"/>
          <w:szCs w:val="24"/>
        </w:rPr>
      </w:pPr>
      <w:r>
        <w:rPr>
          <w:iCs/>
          <w:noProof/>
          <w:sz w:val="24"/>
          <w:szCs w:val="24"/>
        </w:rPr>
        <w:t xml:space="preserve">Au cours de la première phase, la Commission prépare l’adoption des dispositions d’exécution en vue de la mise en place du système électronique. Afin de mieux cerner les aspects pratiques de cette mise en œuvre, elle consulte régulièrement, sur les options politiques, les délégués des États membres qui siègent au sein du groupe d’experts sur les questions douanières liées aux biens culturels. </w:t>
      </w:r>
    </w:p>
    <w:p>
      <w:pPr>
        <w:widowControl w:val="0"/>
        <w:autoSpaceDE w:val="0"/>
        <w:autoSpaceDN w:val="0"/>
        <w:adjustRightInd w:val="0"/>
        <w:rPr>
          <w:iCs/>
          <w:noProof/>
          <w:sz w:val="24"/>
          <w:szCs w:val="24"/>
        </w:rPr>
      </w:pPr>
      <w:r>
        <w:rPr>
          <w:iCs/>
          <w:noProof/>
          <w:sz w:val="24"/>
          <w:szCs w:val="24"/>
        </w:rPr>
        <w:t>Le groupe d’experts est un forum de discussion consacré aux questions de mise en œuvre de la législation de l’Union relative aux biens culturels dans le domaine des douanes et, en particulier, du règlement concernant l’exportation de biens culturels</w:t>
      </w:r>
      <w:r>
        <w:rPr>
          <w:rStyle w:val="FootnoteReference"/>
          <w:iCs/>
          <w:noProof/>
          <w:sz w:val="24"/>
          <w:szCs w:val="24"/>
          <w:lang w:val="en-GB" w:eastAsia="en-GB"/>
        </w:rPr>
        <w:footnoteReference w:id="11"/>
      </w:r>
      <w:r>
        <w:rPr>
          <w:iCs/>
          <w:noProof/>
          <w:sz w:val="24"/>
          <w:szCs w:val="24"/>
        </w:rPr>
        <w:t>, ensemble de règles qui prévoit également un système d’autorisations d’exportation, en vigueur depuis 1993</w:t>
      </w:r>
      <w:r>
        <w:rPr>
          <w:rStyle w:val="FootnoteReference"/>
          <w:iCs/>
          <w:noProof/>
          <w:sz w:val="24"/>
          <w:szCs w:val="24"/>
          <w:lang w:val="en-GB" w:eastAsia="en-GB"/>
        </w:rPr>
        <w:footnoteReference w:id="12"/>
      </w:r>
      <w:r>
        <w:rPr>
          <w:iCs/>
          <w:noProof/>
          <w:sz w:val="24"/>
          <w:szCs w:val="24"/>
        </w:rPr>
        <w:t xml:space="preserve">. </w:t>
      </w:r>
    </w:p>
    <w:p>
      <w:pPr>
        <w:widowControl w:val="0"/>
        <w:autoSpaceDE w:val="0"/>
        <w:autoSpaceDN w:val="0"/>
        <w:adjustRightInd w:val="0"/>
        <w:rPr>
          <w:iCs/>
          <w:noProof/>
          <w:sz w:val="24"/>
          <w:szCs w:val="24"/>
        </w:rPr>
      </w:pPr>
      <w:r>
        <w:rPr>
          <w:iCs/>
          <w:noProof/>
          <w:sz w:val="24"/>
          <w:szCs w:val="24"/>
        </w:rPr>
        <w:t>La Commission saisit chaque occasion pour informer les associations du marché de l’art de l’avancement des travaux, elle écoute leurs préoccupations et les prend en considération, afin de veiller à ce que la mise en œuvre pratique du règlement soit adaptée aux réalités du marché.</w:t>
      </w:r>
    </w:p>
    <w:p>
      <w:pPr>
        <w:widowControl w:val="0"/>
        <w:autoSpaceDE w:val="0"/>
        <w:autoSpaceDN w:val="0"/>
        <w:adjustRightInd w:val="0"/>
        <w:rPr>
          <w:iCs/>
          <w:noProof/>
          <w:sz w:val="24"/>
          <w:szCs w:val="24"/>
        </w:rPr>
      </w:pPr>
      <w:r>
        <w:rPr>
          <w:iCs/>
          <w:noProof/>
          <w:sz w:val="24"/>
          <w:szCs w:val="24"/>
        </w:rPr>
        <w:t>La rédaction de l’acte d’exécution progressant, la Commission mènera les dernières consultations avec le comité du règlement (CE) nº 2019/880, organe appelé en principe à voter en dernier ressort sur l’acte d’exécution.</w:t>
      </w:r>
    </w:p>
    <w:p>
      <w:pPr>
        <w:spacing w:after="160" w:line="259" w:lineRule="auto"/>
        <w:rPr>
          <w:iCs/>
          <w:noProof/>
          <w:sz w:val="24"/>
          <w:szCs w:val="24"/>
        </w:rPr>
      </w:pPr>
      <w:r>
        <w:rPr>
          <w:noProof/>
        </w:rPr>
        <w:br w:type="page"/>
      </w:r>
      <w:r>
        <w:rPr>
          <w:iCs/>
          <w:noProof/>
          <w:sz w:val="24"/>
          <w:szCs w:val="24"/>
        </w:rPr>
        <w:t>En parallèle, la Commission a créé un groupe de projet Douane 2020 sur l’importation de biens culturels, qui fait office de plateforme de discussion. Le groupe réunit des experts issus des administrations douanières nationales et d’autorités (culturelles) compétentes, tous dotés d’une expérience dans l’accomplissement des formalités d’octroi de licences en matière de patrimoine, en particulier sous forme numérique. Leur mission consiste à apporter leur soutien à la rédaction de l’acte d’exécution, à définir les paramètres et à élaborer les critères relatifs aux spécifications fonctionnelles du système.</w:t>
      </w:r>
    </w:p>
    <w:p>
      <w:pPr>
        <w:widowControl w:val="0"/>
        <w:autoSpaceDE w:val="0"/>
        <w:autoSpaceDN w:val="0"/>
        <w:adjustRightInd w:val="0"/>
        <w:rPr>
          <w:iCs/>
          <w:noProof/>
          <w:sz w:val="24"/>
          <w:szCs w:val="24"/>
        </w:rPr>
      </w:pPr>
      <w:r>
        <w:rPr>
          <w:iCs/>
          <w:noProof/>
          <w:sz w:val="24"/>
          <w:szCs w:val="24"/>
        </w:rPr>
        <w:t>Le groupe de projet compte 18 délégués issus de onze États membres (AT, BE, BG, ES, LV, PT, RO, DE, NL, IT, FR). À ce jour, il s’est réuni six fois.</w:t>
      </w:r>
    </w:p>
    <w:p>
      <w:pPr>
        <w:widowControl w:val="0"/>
        <w:autoSpaceDE w:val="0"/>
        <w:autoSpaceDN w:val="0"/>
        <w:adjustRightInd w:val="0"/>
        <w:rPr>
          <w:iCs/>
          <w:noProof/>
          <w:sz w:val="24"/>
          <w:szCs w:val="24"/>
        </w:rPr>
      </w:pPr>
      <w:r>
        <w:rPr>
          <w:iCs/>
          <w:noProof/>
          <w:sz w:val="24"/>
          <w:szCs w:val="24"/>
        </w:rPr>
        <w:t>Plus précisément, le groupe de projet apporte son soutien et son expertise sur les points suivants:</w:t>
      </w:r>
    </w:p>
    <w:p>
      <w:pPr>
        <w:pStyle w:val="ListParagraph"/>
        <w:widowControl w:val="0"/>
        <w:numPr>
          <w:ilvl w:val="0"/>
          <w:numId w:val="45"/>
        </w:numPr>
        <w:autoSpaceDE w:val="0"/>
        <w:autoSpaceDN w:val="0"/>
        <w:adjustRightInd w:val="0"/>
        <w:spacing w:after="40"/>
        <w:ind w:left="425" w:hanging="357"/>
        <w:contextualSpacing w:val="0"/>
        <w:rPr>
          <w:iCs/>
          <w:noProof/>
          <w:sz w:val="24"/>
          <w:szCs w:val="24"/>
        </w:rPr>
      </w:pPr>
      <w:r>
        <w:rPr>
          <w:iCs/>
          <w:noProof/>
          <w:sz w:val="24"/>
          <w:szCs w:val="24"/>
        </w:rPr>
        <w:t>l’élaboration et l’affinement progressif de l’acte d’exécution en ce qui concerne la création d’un système électronique centralisé;</w:t>
      </w:r>
    </w:p>
    <w:p>
      <w:pPr>
        <w:pStyle w:val="ListParagraph"/>
        <w:widowControl w:val="0"/>
        <w:numPr>
          <w:ilvl w:val="0"/>
          <w:numId w:val="45"/>
        </w:numPr>
        <w:autoSpaceDE w:val="0"/>
        <w:autoSpaceDN w:val="0"/>
        <w:adjustRightInd w:val="0"/>
        <w:spacing w:after="40"/>
        <w:ind w:left="425" w:hanging="357"/>
        <w:contextualSpacing w:val="0"/>
        <w:rPr>
          <w:iCs/>
          <w:noProof/>
          <w:sz w:val="24"/>
          <w:szCs w:val="24"/>
        </w:rPr>
      </w:pPr>
      <w:r>
        <w:rPr>
          <w:iCs/>
          <w:noProof/>
          <w:sz w:val="24"/>
          <w:szCs w:val="24"/>
        </w:rPr>
        <w:t xml:space="preserve">la conception de fonctionnalités pour un système électronique d’octroi de licences interopérable au niveau de l’Union, visant à garantir des contrôles uniformes sur l’importation des biens culturels lors de leur entrée sur le territoire douanier de l’Union;  </w:t>
      </w:r>
    </w:p>
    <w:p>
      <w:pPr>
        <w:pStyle w:val="ListParagraph"/>
        <w:widowControl w:val="0"/>
        <w:numPr>
          <w:ilvl w:val="0"/>
          <w:numId w:val="45"/>
        </w:numPr>
        <w:autoSpaceDE w:val="0"/>
        <w:autoSpaceDN w:val="0"/>
        <w:adjustRightInd w:val="0"/>
        <w:spacing w:after="40"/>
        <w:ind w:left="425" w:hanging="357"/>
        <w:contextualSpacing w:val="0"/>
        <w:rPr>
          <w:iCs/>
          <w:noProof/>
          <w:sz w:val="24"/>
          <w:szCs w:val="24"/>
        </w:rPr>
      </w:pPr>
      <w:r>
        <w:rPr>
          <w:iCs/>
          <w:noProof/>
          <w:sz w:val="24"/>
          <w:szCs w:val="24"/>
        </w:rPr>
        <w:t>les modalités techniques relatives au déploiement et à la maintenance du système électronique centralisé et les règles détaillées concernant l’introduction, le traitement, le stockage et l’échange d’informations entre les autorités nationales;</w:t>
      </w:r>
    </w:p>
    <w:p>
      <w:pPr>
        <w:pStyle w:val="ListParagraph"/>
        <w:widowControl w:val="0"/>
        <w:numPr>
          <w:ilvl w:val="0"/>
          <w:numId w:val="45"/>
        </w:numPr>
        <w:autoSpaceDE w:val="0"/>
        <w:autoSpaceDN w:val="0"/>
        <w:adjustRightInd w:val="0"/>
        <w:spacing w:after="40"/>
        <w:ind w:left="425" w:hanging="357"/>
        <w:contextualSpacing w:val="0"/>
        <w:rPr>
          <w:iCs/>
          <w:noProof/>
          <w:sz w:val="24"/>
          <w:szCs w:val="24"/>
        </w:rPr>
      </w:pPr>
      <w:r>
        <w:rPr>
          <w:iCs/>
          <w:noProof/>
          <w:sz w:val="24"/>
          <w:szCs w:val="24"/>
        </w:rPr>
        <w:t>les rôles et responsabilités des acteurs impliqués dans le traitement des procédures d’octroi de licences d’importation pour les biens culturels;</w:t>
      </w:r>
    </w:p>
    <w:p>
      <w:pPr>
        <w:pStyle w:val="ListParagraph"/>
        <w:widowControl w:val="0"/>
        <w:numPr>
          <w:ilvl w:val="0"/>
          <w:numId w:val="45"/>
        </w:numPr>
        <w:autoSpaceDE w:val="0"/>
        <w:autoSpaceDN w:val="0"/>
        <w:adjustRightInd w:val="0"/>
        <w:spacing w:after="40"/>
        <w:ind w:left="425" w:hanging="357"/>
        <w:contextualSpacing w:val="0"/>
        <w:rPr>
          <w:iCs/>
          <w:noProof/>
          <w:sz w:val="24"/>
          <w:szCs w:val="24"/>
        </w:rPr>
      </w:pPr>
      <w:r>
        <w:rPr>
          <w:iCs/>
          <w:noProof/>
          <w:sz w:val="24"/>
          <w:szCs w:val="24"/>
        </w:rPr>
        <w:t>la création du modèle électronique standard de licence d’importation et la mise au point du format de la déclaration de l’importateur;</w:t>
      </w:r>
    </w:p>
    <w:p>
      <w:pPr>
        <w:pStyle w:val="ListParagraph"/>
        <w:widowControl w:val="0"/>
        <w:numPr>
          <w:ilvl w:val="0"/>
          <w:numId w:val="45"/>
        </w:numPr>
        <w:autoSpaceDE w:val="0"/>
        <w:autoSpaceDN w:val="0"/>
        <w:adjustRightInd w:val="0"/>
        <w:spacing w:after="40"/>
        <w:ind w:left="425" w:hanging="357"/>
        <w:contextualSpacing w:val="0"/>
        <w:rPr>
          <w:iCs/>
          <w:noProof/>
          <w:sz w:val="24"/>
          <w:szCs w:val="24"/>
        </w:rPr>
      </w:pPr>
      <w:r>
        <w:rPr>
          <w:iCs/>
          <w:noProof/>
          <w:sz w:val="24"/>
          <w:szCs w:val="24"/>
        </w:rPr>
        <w:t>les règles de procédure relatives à la présentation et au traitement de la demande de licence d’importation et à l’enregistrement de la déclaration de l’importateur;</w:t>
      </w:r>
    </w:p>
    <w:p>
      <w:pPr>
        <w:pStyle w:val="ListParagraph"/>
        <w:widowControl w:val="0"/>
        <w:numPr>
          <w:ilvl w:val="0"/>
          <w:numId w:val="45"/>
        </w:numPr>
        <w:autoSpaceDE w:val="0"/>
        <w:autoSpaceDN w:val="0"/>
        <w:adjustRightInd w:val="0"/>
        <w:spacing w:after="240"/>
        <w:ind w:left="426"/>
        <w:rPr>
          <w:iCs/>
          <w:noProof/>
          <w:sz w:val="24"/>
          <w:szCs w:val="24"/>
        </w:rPr>
      </w:pPr>
      <w:r>
        <w:rPr>
          <w:iCs/>
          <w:noProof/>
          <w:sz w:val="24"/>
          <w:szCs w:val="24"/>
        </w:rPr>
        <w:t>la procédure de consultation sur l’analyse de rentabilité en vue de la conception du futur système.</w:t>
      </w:r>
    </w:p>
    <w:p>
      <w:pPr>
        <w:widowControl w:val="0"/>
        <w:autoSpaceDE w:val="0"/>
        <w:autoSpaceDN w:val="0"/>
        <w:adjustRightInd w:val="0"/>
        <w:rPr>
          <w:b/>
          <w:iCs/>
          <w:noProof/>
          <w:sz w:val="24"/>
          <w:szCs w:val="24"/>
        </w:rPr>
      </w:pPr>
      <w:r>
        <w:rPr>
          <w:b/>
          <w:iCs/>
          <w:noProof/>
          <w:sz w:val="24"/>
          <w:szCs w:val="24"/>
        </w:rPr>
        <w:t>Difficultés de conception</w:t>
      </w:r>
    </w:p>
    <w:p>
      <w:pPr>
        <w:widowControl w:val="0"/>
        <w:autoSpaceDE w:val="0"/>
        <w:autoSpaceDN w:val="0"/>
        <w:adjustRightInd w:val="0"/>
        <w:rPr>
          <w:iCs/>
          <w:noProof/>
          <w:sz w:val="24"/>
          <w:szCs w:val="24"/>
        </w:rPr>
      </w:pPr>
      <w:r>
        <w:rPr>
          <w:iCs/>
          <w:noProof/>
          <w:sz w:val="24"/>
          <w:szCs w:val="24"/>
        </w:rPr>
        <w:t xml:space="preserve">La conception de l’architecture du système électronique s’est heurtée à plusieurs difficultés. L’une d’entre elles concerne la meilleure façon, pour les demandeurs (s’agissant des licences d’importation) et les déclarants (s’agissant des déclarations des importateurs), de décrire un bien culturel, compte tenu de la nature particulière et unique du produit, qui le distingue des marchandises pouvant être décrites de manière exhaustive par les codes tarifaires de la nomenclature commune. Les biens culturels qui entrent dans le champ d’application du règlement ne sont pas des produits fabriqués en série. Leur création et leur origine historique remontent à plusieurs siècles, voire plusieurs millénaires. </w:t>
      </w:r>
    </w:p>
    <w:p>
      <w:pPr>
        <w:widowControl w:val="0"/>
        <w:autoSpaceDE w:val="0"/>
        <w:autoSpaceDN w:val="0"/>
        <w:adjustRightInd w:val="0"/>
        <w:rPr>
          <w:iCs/>
          <w:noProof/>
          <w:sz w:val="24"/>
          <w:szCs w:val="24"/>
        </w:rPr>
      </w:pPr>
      <w:r>
        <w:rPr>
          <w:iCs/>
          <w:noProof/>
          <w:sz w:val="24"/>
          <w:szCs w:val="24"/>
        </w:rPr>
        <w:t>C’est pourquoi l’ensemble de données standard que devront fournir les opérateurs devra être particulièrement adapté afin, d’une part, de permettre l’identification adéquate des objets aux fins de la délivrance des licences électroniques et des déclarations et, d’autre part, de tenir compte de la réalité du marché et de la difficulté, dans certains cas, d’obtenir toutes les informations requises sur la provenance de ces objets. La Commission, en coopération avec le groupe de projet, s’efforce de définir ces données clés.</w:t>
      </w:r>
    </w:p>
    <w:p>
      <w:pPr>
        <w:widowControl w:val="0"/>
        <w:autoSpaceDE w:val="0"/>
        <w:autoSpaceDN w:val="0"/>
        <w:adjustRightInd w:val="0"/>
        <w:rPr>
          <w:iCs/>
          <w:noProof/>
          <w:sz w:val="24"/>
          <w:szCs w:val="24"/>
        </w:rPr>
      </w:pPr>
      <w:r>
        <w:rPr>
          <w:iCs/>
          <w:noProof/>
          <w:sz w:val="24"/>
          <w:szCs w:val="24"/>
        </w:rPr>
        <w:t>Autre difficulté: comment concevoir les différentes phases de la «vie» de la licence d’importation dans ce cadre numérique, de telle façon que tous les cas de figure possibles et tous les besoins éventuels des demandeurs et des autorités compétentes soient anticipés et que, dans le même temps, les procédures et les dispositions d’exécution s’y rapportant ne deviennent pas trop complexes et demeurent faciles à appliquer, en particulier dans le cas des demandeurs qui n’importent des biens culturels qu’à titre occasionnel et ne sont pas des professionnels du marché de l’art.</w:t>
      </w:r>
    </w:p>
    <w:p>
      <w:pPr>
        <w:widowControl w:val="0"/>
        <w:autoSpaceDE w:val="0"/>
        <w:autoSpaceDN w:val="0"/>
        <w:adjustRightInd w:val="0"/>
        <w:rPr>
          <w:iCs/>
          <w:noProof/>
          <w:sz w:val="24"/>
          <w:szCs w:val="24"/>
        </w:rPr>
      </w:pPr>
      <w:r>
        <w:rPr>
          <w:iCs/>
          <w:noProof/>
          <w:sz w:val="24"/>
          <w:szCs w:val="24"/>
        </w:rPr>
        <w:t>Troisième pierre d’achoppement, la compatibilité avec les procédures et les pratiques administratives nationales existantes, dans la mesure où tous les États membres appliquent depuis 1993 la législation européenne relative à l’autorisation d’exportation de biens culturels de l’Union, laquelle prévoit également un régime de licences. En effet, si ces licences d’exportation doivent encore être délivrées sur papier, un grand nombre d’États membres se sont dotés de moyens électroniques pour traiter les demandes. En réalité, l’expérience engrangée par certains États membres en ce qui concerne le système de licences d’exportation et les contrôles appliqués aux échanges de biens culturels en général a été d'une grande utilité dans l’analyse des exigences liées au système électronique d’importation.</w:t>
      </w:r>
    </w:p>
    <w:p>
      <w:pPr>
        <w:widowControl w:val="0"/>
        <w:autoSpaceDE w:val="0"/>
        <w:autoSpaceDN w:val="0"/>
        <w:adjustRightInd w:val="0"/>
        <w:rPr>
          <w:iCs/>
          <w:noProof/>
          <w:sz w:val="24"/>
          <w:szCs w:val="24"/>
        </w:rPr>
      </w:pPr>
      <w:r>
        <w:rPr>
          <w:iCs/>
          <w:noProof/>
          <w:sz w:val="24"/>
          <w:szCs w:val="24"/>
        </w:rPr>
        <w:t>Enfin, l’architecture du système électronique pour l’importation de biens culturels sera conçue de telle sorte qu’à l’avenir, et pour autant que les ressources humaines et financières nécessaires soient disponibles, ce système puisse évoluer et permettre également la numérisation et la délivrance électronique des licences d’exportation.</w:t>
      </w:r>
    </w:p>
    <w:p>
      <w:pPr>
        <w:widowControl w:val="0"/>
        <w:autoSpaceDE w:val="0"/>
        <w:autoSpaceDN w:val="0"/>
        <w:adjustRightInd w:val="0"/>
        <w:rPr>
          <w:b/>
          <w:iCs/>
          <w:noProof/>
          <w:sz w:val="24"/>
          <w:szCs w:val="24"/>
        </w:rPr>
      </w:pPr>
      <w:r>
        <w:rPr>
          <w:b/>
          <w:iCs/>
          <w:noProof/>
          <w:sz w:val="24"/>
          <w:szCs w:val="24"/>
        </w:rPr>
        <w:t>Considérations et fonctionnalités d’ordre opérationnel</w:t>
      </w:r>
    </w:p>
    <w:p>
      <w:pPr>
        <w:widowControl w:val="0"/>
        <w:autoSpaceDE w:val="0"/>
        <w:autoSpaceDN w:val="0"/>
        <w:adjustRightInd w:val="0"/>
        <w:rPr>
          <w:iCs/>
          <w:noProof/>
          <w:sz w:val="24"/>
          <w:szCs w:val="24"/>
        </w:rPr>
      </w:pPr>
      <w:r>
        <w:rPr>
          <w:iCs/>
          <w:noProof/>
          <w:sz w:val="24"/>
          <w:szCs w:val="24"/>
        </w:rPr>
        <w:t>Le groupe de projet étant composé de représentants d’autorités douanières et culturelles ayant l’expérience des biens culturels, ces derniers ont apporté une contribution non négligeable en analysant les propositions de la Commission et en fournissant des statistiques et/ou des informations sur la conception des procédures concernant les biens culturels au niveau national.</w:t>
      </w:r>
    </w:p>
    <w:p>
      <w:pPr>
        <w:widowControl w:val="0"/>
        <w:autoSpaceDE w:val="0"/>
        <w:autoSpaceDN w:val="0"/>
        <w:adjustRightInd w:val="0"/>
        <w:rPr>
          <w:iCs/>
          <w:noProof/>
          <w:sz w:val="24"/>
          <w:szCs w:val="24"/>
        </w:rPr>
      </w:pPr>
      <w:r>
        <w:rPr>
          <w:noProof/>
          <w:sz w:val="24"/>
          <w:szCs w:val="24"/>
        </w:rPr>
        <w:t>En particulier, le groupe de projet a fourni des indications utiles pour évaluer le nombre de licences d’importation que le système ICG pourrait être amené à gérer chaque année et la valeur moyenne estimée par licence; en 2019, on dénombre selon toute vraisemblance quelque 49 610 licences, pour une valeur totale moyenne de 29,4 milliards d’euros, limitée aux onze États membres participant au groupe de projet.</w:t>
      </w:r>
      <w:r>
        <w:rPr>
          <w:iCs/>
          <w:noProof/>
          <w:sz w:val="24"/>
          <w:szCs w:val="24"/>
        </w:rPr>
        <w:t xml:space="preserve"> </w:t>
      </w:r>
    </w:p>
    <w:p>
      <w:pPr>
        <w:widowControl w:val="0"/>
        <w:autoSpaceDE w:val="0"/>
        <w:autoSpaceDN w:val="0"/>
        <w:adjustRightInd w:val="0"/>
        <w:rPr>
          <w:iCs/>
          <w:noProof/>
          <w:sz w:val="24"/>
          <w:szCs w:val="24"/>
        </w:rPr>
      </w:pPr>
      <w:r>
        <w:rPr>
          <w:iCs/>
          <w:noProof/>
          <w:sz w:val="24"/>
          <w:szCs w:val="24"/>
        </w:rPr>
        <w:t>Le groupe de projet travaille également sur une foire aux questions afin d’alimenter, par la suite, le processus de communication et d’anticiper les éventuelles entraves et lacunes susceptibles de surgir lors de la conception du système ICG.</w:t>
      </w:r>
    </w:p>
    <w:p>
      <w:pPr>
        <w:widowControl w:val="0"/>
        <w:autoSpaceDE w:val="0"/>
        <w:autoSpaceDN w:val="0"/>
        <w:adjustRightInd w:val="0"/>
        <w:spacing w:after="240"/>
        <w:rPr>
          <w:iCs/>
          <w:noProof/>
          <w:sz w:val="24"/>
          <w:szCs w:val="24"/>
        </w:rPr>
      </w:pPr>
      <w:r>
        <w:rPr>
          <w:iCs/>
          <w:noProof/>
          <w:sz w:val="24"/>
          <w:szCs w:val="24"/>
        </w:rPr>
        <w:t>Enfin, il passe en revue et fournit en continu des commentaires sur les ensembles de données et les modélisations de processus opérationnels produits pour le système et destinés à faire émerger des approches innovantes de description des biens culturels grâce à la reconnaissance des images et à l’intelligence artificielle.</w:t>
      </w:r>
    </w:p>
    <w:p>
      <w:pPr>
        <w:pStyle w:val="Heading1"/>
        <w:keepLines w:val="0"/>
        <w:numPr>
          <w:ilvl w:val="0"/>
          <w:numId w:val="2"/>
        </w:numPr>
        <w:spacing w:after="120"/>
        <w:ind w:left="432" w:hanging="432"/>
        <w:rPr>
          <w:rFonts w:ascii="Times New Roman" w:eastAsia="Times New Roman" w:hAnsi="Times New Roman" w:cs="Times New Roman"/>
          <w:smallCaps/>
          <w:noProof/>
          <w:szCs w:val="24"/>
        </w:rPr>
      </w:pPr>
      <w:bookmarkStart w:id="7" w:name="_Toc45723033"/>
      <w:r>
        <w:rPr>
          <w:rFonts w:ascii="Times New Roman" w:hAnsi="Times New Roman"/>
          <w:smallCaps/>
          <w:noProof/>
          <w:szCs w:val="24"/>
        </w:rPr>
        <w:t>RISQUES DE RETARD</w:t>
      </w:r>
      <w:bookmarkEnd w:id="7"/>
    </w:p>
    <w:p>
      <w:pPr>
        <w:rPr>
          <w:b/>
          <w:noProof/>
          <w:sz w:val="24"/>
          <w:szCs w:val="24"/>
          <w:u w:val="single"/>
        </w:rPr>
      </w:pPr>
      <w:r>
        <w:rPr>
          <w:b/>
          <w:noProof/>
          <w:sz w:val="24"/>
          <w:szCs w:val="24"/>
          <w:u w:val="single"/>
        </w:rPr>
        <w:t>Résumé du projet</w:t>
      </w:r>
    </w:p>
    <w:p>
      <w:pPr>
        <w:rPr>
          <w:noProof/>
          <w:sz w:val="24"/>
          <w:szCs w:val="24"/>
        </w:rPr>
      </w:pPr>
      <w:r>
        <w:rPr>
          <w:noProof/>
          <w:sz w:val="24"/>
          <w:szCs w:val="24"/>
        </w:rPr>
        <w:t xml:space="preserve">La Commission est chargée de mettre au point un système électronique centralisé de licences et de connecter ce système avec les douanes nationales dans les six ans suivant l’entrée en vigueur du règlement. Comme l’indique la fiche financière législative correspondante, deux postes d’administrateur sont nécessaires au sein de la DG TAXUD pour mettre en œuvre cette initiative. </w:t>
      </w:r>
    </w:p>
    <w:p>
      <w:pPr>
        <w:rPr>
          <w:b/>
          <w:noProof/>
          <w:sz w:val="24"/>
          <w:szCs w:val="24"/>
          <w:u w:val="single"/>
        </w:rPr>
      </w:pPr>
      <w:r>
        <w:rPr>
          <w:b/>
          <w:noProof/>
          <w:sz w:val="24"/>
          <w:szCs w:val="24"/>
          <w:u w:val="single"/>
        </w:rPr>
        <w:t>Intitulé et description des risques</w:t>
      </w:r>
    </w:p>
    <w:p>
      <w:pPr>
        <w:rPr>
          <w:noProof/>
          <w:sz w:val="24"/>
          <w:szCs w:val="24"/>
        </w:rPr>
      </w:pPr>
      <w:r>
        <w:rPr>
          <w:noProof/>
          <w:sz w:val="24"/>
          <w:szCs w:val="24"/>
        </w:rPr>
        <w:t>La mise en œuvre du système ICG dépend de l’approbation, par les États membres et le Parlement européen, d’un financement approprié pour le programme douanier qui succédera au programme Douane 2020 dans le prochain cadre financier pluriannuel (CFP), ainsi que de l’affectation des ressources au sein de la DG TAXUD, compte tenu des différentes priorités auxquelles cette direction générale doit prendre en considération.</w:t>
      </w:r>
    </w:p>
    <w:p>
      <w:pPr>
        <w:rPr>
          <w:b/>
          <w:noProof/>
          <w:sz w:val="24"/>
          <w:szCs w:val="24"/>
        </w:rPr>
      </w:pPr>
      <w:r>
        <w:rPr>
          <w:b/>
          <w:noProof/>
          <w:sz w:val="24"/>
          <w:szCs w:val="24"/>
        </w:rPr>
        <w:t>Risque 1 – Dotation en personnel</w:t>
      </w:r>
    </w:p>
    <w:p>
      <w:pPr>
        <w:rPr>
          <w:noProof/>
          <w:sz w:val="24"/>
          <w:szCs w:val="24"/>
        </w:rPr>
      </w:pPr>
      <w:r>
        <w:rPr>
          <w:noProof/>
          <w:sz w:val="24"/>
          <w:szCs w:val="24"/>
        </w:rPr>
        <w:t>La proposition initiale de la Commission ne prévoyait pas la création d’un système informatique, les ressources n’ont donc pas été affectées en conséquence. Toutefois, au cours des négociations et à la demande des colégislateurs, la création du système ICG a été intégrée dans le règlement, d’où la nécessité de ressources supplémentaires, non prévues à ce stade. Lors des derniers trilogues politiques en décembre 2018, les besoins en personnel informatique au sein de la DG TAXUD ont été estimés, pour ce projet de six ans, à deux postes d’administrateur à temps plein. Néanmoins, compte tenu des disponibilités financières dégagées par l’actuel cadre financier pluriannuel (CFP), un seul agent contractuel a pu être affecté au projet, à compter de la fin du mois de septembre 2019.</w:t>
      </w:r>
    </w:p>
    <w:p>
      <w:pPr>
        <w:rPr>
          <w:noProof/>
          <w:sz w:val="24"/>
          <w:szCs w:val="24"/>
        </w:rPr>
      </w:pPr>
      <w:r>
        <w:rPr>
          <w:noProof/>
          <w:sz w:val="24"/>
          <w:szCs w:val="24"/>
        </w:rPr>
        <w:t>En outre, la complexité objective du projet, les connaissances spécifiques requises sur le plan des politiques publiques et les outils techniques utilisés pour développer le système ICG ont considérablement allongé le temps nécessaire à la préparation et la formation de l’agent pour qu’il soit en mesure de travailler sur ce dossier. Pour autant, l’avancement des travaux portant sur les spécifications fonctionnelles et la conception du système n’accuse qu’un léger retard.</w:t>
      </w:r>
    </w:p>
    <w:p>
      <w:pPr>
        <w:rPr>
          <w:b/>
          <w:noProof/>
          <w:sz w:val="24"/>
          <w:szCs w:val="24"/>
        </w:rPr>
      </w:pPr>
      <w:r>
        <w:rPr>
          <w:b/>
          <w:noProof/>
          <w:sz w:val="24"/>
          <w:szCs w:val="24"/>
        </w:rPr>
        <w:t>Risque 2 – Disponibilité budgétaire</w:t>
      </w:r>
    </w:p>
    <w:p>
      <w:pPr>
        <w:rPr>
          <w:noProof/>
          <w:sz w:val="24"/>
          <w:szCs w:val="24"/>
        </w:rPr>
      </w:pPr>
      <w:r>
        <w:rPr>
          <w:noProof/>
          <w:sz w:val="24"/>
          <w:szCs w:val="24"/>
        </w:rPr>
        <w:t>L’incertitude budgétaire due aux négociations sur le nouveau CFP rend les progrès très difficiles. En fonction du résultat des négociations sur le CFP, et dans le pire des cas, les phases de conception et de déploiement risquent de s’arrêter ou d’être considérablement retardées et les délais légaux impartis pour mettre en place le système ICG impossibles à respecter.</w:t>
      </w:r>
    </w:p>
    <w:p>
      <w:pPr>
        <w:rPr>
          <w:noProof/>
          <w:sz w:val="24"/>
          <w:szCs w:val="24"/>
        </w:rPr>
      </w:pPr>
      <w:r>
        <w:rPr>
          <w:noProof/>
          <w:sz w:val="24"/>
          <w:szCs w:val="24"/>
        </w:rPr>
        <w:t>Outre les risques recensés ci-dessus, la crise sanitaire provoquée par l’épidémie de Covid-19 limite elle aussi, dans une certaine mesure, la capacité de l’équipe à fournir des résultats. Les activités liées au projet s’en trouvent particulièrement perturbées, de même que les réunions avec le groupe d’experts et les réunions de ce dernier avec les États membres. Une réunion du groupe d’experts a notamment été annulée, ce qui a eu un impact direct sur l’avancement des travaux du groupe de projet. La prochaine séance du groupe ne pourra se tenir qu’à distance et ne durera qu’un tiers du temps initialement prévu. Cette crise de santé publique a également entraîné un rééchelonnement des priorités au sein des États membres, limitant ainsi leur capacité à contribuer au dossier et à fournir des retours d’information. La portée de cet impact dépendra de la durée de la crise.</w:t>
      </w:r>
    </w:p>
    <w:p>
      <w:pPr>
        <w:rPr>
          <w:b/>
          <w:noProof/>
          <w:sz w:val="24"/>
          <w:szCs w:val="24"/>
        </w:rPr>
      </w:pPr>
      <w:r>
        <w:rPr>
          <w:b/>
          <w:noProof/>
          <w:sz w:val="24"/>
          <w:szCs w:val="24"/>
        </w:rPr>
        <w:t>Mesures d’atténuation</w:t>
      </w:r>
    </w:p>
    <w:p>
      <w:pPr>
        <w:spacing w:after="240"/>
        <w:rPr>
          <w:noProof/>
          <w:sz w:val="24"/>
          <w:szCs w:val="24"/>
        </w:rPr>
      </w:pPr>
      <w:r>
        <w:rPr>
          <w:noProof/>
          <w:sz w:val="24"/>
          <w:szCs w:val="24"/>
        </w:rPr>
        <w:t xml:space="preserve">Les risques ont été documentés au sein de la DG TAXUD et un poste d’administrateur a été affecté au projet à titre temporaire (2 ans). </w:t>
      </w:r>
    </w:p>
    <w:p>
      <w:pPr>
        <w:pStyle w:val="Heading1"/>
        <w:keepLines w:val="0"/>
        <w:numPr>
          <w:ilvl w:val="0"/>
          <w:numId w:val="2"/>
        </w:numPr>
        <w:spacing w:after="120"/>
        <w:ind w:left="432" w:hanging="432"/>
        <w:rPr>
          <w:rFonts w:ascii="Times New Roman" w:eastAsia="Times New Roman" w:hAnsi="Times New Roman" w:cs="Times New Roman"/>
          <w:smallCaps/>
          <w:noProof/>
          <w:szCs w:val="24"/>
        </w:rPr>
      </w:pPr>
      <w:bookmarkStart w:id="8" w:name="_Toc45723034"/>
      <w:r>
        <w:rPr>
          <w:rFonts w:ascii="Times New Roman" w:hAnsi="Times New Roman"/>
          <w:smallCaps/>
          <w:noProof/>
          <w:szCs w:val="24"/>
        </w:rPr>
        <w:t>CONCLUSION</w:t>
      </w:r>
      <w:bookmarkEnd w:id="8"/>
    </w:p>
    <w:p>
      <w:pPr>
        <w:rPr>
          <w:noProof/>
          <w:sz w:val="24"/>
          <w:szCs w:val="24"/>
        </w:rPr>
      </w:pPr>
      <w:r>
        <w:rPr>
          <w:noProof/>
          <w:sz w:val="24"/>
          <w:szCs w:val="24"/>
        </w:rPr>
        <w:t xml:space="preserve">Ce tout premier rapport d’étape de la Commission sur la mise en place du système électronique centralisé pour l’importation de biens culturels (ICG) fait le point sur les actions entreprises jusqu’à présent, à savoir: </w:t>
      </w:r>
    </w:p>
    <w:p>
      <w:pPr>
        <w:pStyle w:val="ListParagraph"/>
        <w:numPr>
          <w:ilvl w:val="0"/>
          <w:numId w:val="50"/>
        </w:numPr>
        <w:ind w:left="426"/>
        <w:rPr>
          <w:noProof/>
          <w:sz w:val="24"/>
          <w:szCs w:val="24"/>
        </w:rPr>
      </w:pPr>
      <w:r>
        <w:rPr>
          <w:noProof/>
          <w:sz w:val="24"/>
          <w:szCs w:val="24"/>
        </w:rPr>
        <w:t xml:space="preserve">les travaux préparatoires, toujours en cours, en vue de l’adoption des dispositions d’exécution requises, </w:t>
      </w:r>
    </w:p>
    <w:p>
      <w:pPr>
        <w:pStyle w:val="ListParagraph"/>
        <w:numPr>
          <w:ilvl w:val="0"/>
          <w:numId w:val="50"/>
        </w:numPr>
        <w:ind w:left="426"/>
        <w:rPr>
          <w:noProof/>
          <w:sz w:val="24"/>
          <w:szCs w:val="24"/>
        </w:rPr>
      </w:pPr>
      <w:r>
        <w:rPr>
          <w:noProof/>
          <w:sz w:val="24"/>
          <w:szCs w:val="24"/>
        </w:rPr>
        <w:t>les consultations menées auprès des États membres par l’intermédiaire du groupe d’experts sur les questions douanières relatives aux biens culturels et le groupe de projet sur l’importation de biens culturels spécialement créé à cet effet.</w:t>
      </w:r>
    </w:p>
    <w:p>
      <w:pPr>
        <w:rPr>
          <w:noProof/>
          <w:sz w:val="24"/>
          <w:szCs w:val="24"/>
        </w:rPr>
      </w:pPr>
      <w:r>
        <w:rPr>
          <w:noProof/>
          <w:sz w:val="24"/>
          <w:szCs w:val="24"/>
        </w:rPr>
        <w:t>Pour ce qui est des risques potentiels de retard dans la mise en œuvre du système ICG d’ici à la date butoir du 28 juin 2025, la Commission a jusqu’ici relevé les incertitudes concernant le personnel affecté au projet, qui sont liées aux disponibilités budgétaires actuelles, les priorités générales fixées en matière d'informatisation des douanes</w:t>
      </w:r>
      <w:r>
        <w:rPr>
          <w:rStyle w:val="FootnoteReference"/>
          <w:noProof/>
          <w:sz w:val="24"/>
          <w:szCs w:val="24"/>
          <w:lang w:val="en-GB"/>
        </w:rPr>
        <w:footnoteReference w:id="13"/>
      </w:r>
      <w:r>
        <w:rPr>
          <w:noProof/>
          <w:sz w:val="24"/>
          <w:szCs w:val="24"/>
        </w:rPr>
        <w:t xml:space="preserve"> et la dotation future en personnel au titre du prochain CFP. </w:t>
      </w:r>
    </w:p>
    <w:p>
      <w:pPr>
        <w:spacing w:after="160" w:line="259" w:lineRule="auto"/>
        <w:jc w:val="left"/>
        <w:rPr>
          <w:rFonts w:ascii="Times New Roman Bold" w:eastAsiaTheme="majorEastAsia" w:hAnsi="Times New Roman Bold" w:cstheme="majorBidi"/>
          <w:b/>
          <w:caps/>
          <w:noProof/>
          <w:sz w:val="24"/>
          <w:szCs w:val="32"/>
        </w:rPr>
      </w:pPr>
      <w:r>
        <w:rPr>
          <w:noProof/>
        </w:rPr>
        <w:br w:type="page"/>
      </w:r>
    </w:p>
    <w:p>
      <w:pPr>
        <w:pStyle w:val="Heading1"/>
        <w:spacing w:after="240"/>
        <w:jc w:val="center"/>
        <w:rPr>
          <w:noProof/>
        </w:rPr>
      </w:pPr>
      <w:bookmarkStart w:id="9" w:name="_Toc45723035"/>
      <w:r>
        <w:rPr>
          <w:noProof/>
        </w:rPr>
        <w:t>Annexe I: Plan stratégique pluriannuel</w:t>
      </w:r>
      <w:bookmarkEnd w:id="9"/>
    </w:p>
    <w:p>
      <w:pPr>
        <w:pStyle w:val="Default"/>
        <w:spacing w:after="120"/>
        <w:jc w:val="both"/>
        <w:rPr>
          <w:noProof/>
          <w:color w:val="auto"/>
        </w:rPr>
      </w:pPr>
      <w:r>
        <w:rPr>
          <w:noProof/>
          <w:color w:val="auto"/>
        </w:rPr>
        <w:t>Le MASP-C garantit une gestion efficace et cohérente des projets informatiques en définissant à la fois un cadre stratégique et des étapes. Il est approuvé en dernier ressort par les États membres au sein du groupe chargé de la politique douanière, sur la base des avis d’experts fournis par le groupe de coordination sur la douane électronique et des consultations menées avec les opérateurs au sein du groupe de contact avec les opérateurs économiques.</w:t>
      </w:r>
    </w:p>
    <w:p>
      <w:pPr>
        <w:pStyle w:val="Default"/>
        <w:spacing w:after="120"/>
        <w:jc w:val="both"/>
        <w:rPr>
          <w:noProof/>
          <w:color w:val="auto"/>
        </w:rPr>
      </w:pPr>
      <w:r>
        <w:rPr>
          <w:noProof/>
          <w:color w:val="auto"/>
        </w:rPr>
        <w:t>La planification du système électronique a été examinée et approuvée par les États membres; elle est décrite en détail dans la fiche 1.18 du MASP-C rév. 2019.</w:t>
      </w:r>
    </w:p>
    <w:p>
      <w:pPr>
        <w:pStyle w:val="Default"/>
        <w:spacing w:after="240"/>
        <w:jc w:val="both"/>
        <w:rPr>
          <w:noProof/>
          <w:color w:val="auto"/>
        </w:rPr>
      </w:pPr>
      <w:r>
        <w:rPr>
          <w:noProof/>
          <w:color w:val="auto"/>
        </w:rPr>
        <w:t>Le tableau 1 ci-dessous présente un extrait du calendrier du projet relatif à l’importation de biens culturels tiré du MASP-C rév. 2019, fiche 1.18.</w:t>
      </w:r>
    </w:p>
    <w:tbl>
      <w:tblPr>
        <w:tblStyle w:val="TableGrid"/>
        <w:tblW w:w="0" w:type="auto"/>
        <w:tblInd w:w="108" w:type="dxa"/>
        <w:tblLook w:val="04A0" w:firstRow="1" w:lastRow="0" w:firstColumn="1" w:lastColumn="0" w:noHBand="0" w:noVBand="1"/>
      </w:tblPr>
      <w:tblGrid>
        <w:gridCol w:w="426"/>
        <w:gridCol w:w="5244"/>
        <w:gridCol w:w="3261"/>
      </w:tblGrid>
      <w:tr>
        <w:tc>
          <w:tcPr>
            <w:tcW w:w="8931" w:type="dxa"/>
            <w:gridSpan w:val="3"/>
            <w:tcBorders>
              <w:bottom w:val="single" w:sz="4" w:space="0" w:color="auto"/>
              <w:right w:val="single" w:sz="4" w:space="0" w:color="auto"/>
            </w:tcBorders>
          </w:tcPr>
          <w:p>
            <w:pPr>
              <w:pStyle w:val="Default"/>
              <w:spacing w:before="120" w:after="120"/>
              <w:rPr>
                <w:b/>
                <w:i/>
                <w:noProof/>
                <w:color w:val="auto"/>
              </w:rPr>
            </w:pPr>
            <w:r>
              <w:rPr>
                <w:b/>
                <w:i/>
                <w:noProof/>
                <w:color w:val="auto"/>
                <w:sz w:val="20"/>
              </w:rPr>
              <w:t>Tableau 1 - Extrait du MASP-C rév. 2019, fiche 1.18</w:t>
            </w:r>
          </w:p>
        </w:tc>
      </w:tr>
      <w:tr>
        <w:tc>
          <w:tcPr>
            <w:tcW w:w="426" w:type="dxa"/>
            <w:tcBorders>
              <w:bottom w:val="single" w:sz="4" w:space="0" w:color="auto"/>
            </w:tcBorders>
          </w:tcPr>
          <w:p>
            <w:pPr>
              <w:pStyle w:val="Default"/>
              <w:spacing w:before="40" w:after="40"/>
              <w:jc w:val="both"/>
              <w:rPr>
                <w:noProof/>
                <w:color w:val="auto"/>
                <w:sz w:val="20"/>
                <w:szCs w:val="20"/>
                <w:lang w:val="fr-BE"/>
              </w:rPr>
            </w:pPr>
          </w:p>
        </w:tc>
        <w:tc>
          <w:tcPr>
            <w:tcW w:w="5244" w:type="dxa"/>
          </w:tcPr>
          <w:p>
            <w:pPr>
              <w:pStyle w:val="Default"/>
              <w:spacing w:before="40" w:after="40"/>
              <w:rPr>
                <w:i/>
                <w:noProof/>
                <w:color w:val="auto"/>
                <w:sz w:val="20"/>
                <w:szCs w:val="20"/>
              </w:rPr>
            </w:pPr>
            <w:r>
              <w:rPr>
                <w:i/>
                <w:noProof/>
                <w:color w:val="auto"/>
                <w:sz w:val="20"/>
                <w:szCs w:val="20"/>
              </w:rPr>
              <w:t>Étapes</w:t>
            </w:r>
          </w:p>
        </w:tc>
        <w:tc>
          <w:tcPr>
            <w:tcW w:w="3261" w:type="dxa"/>
            <w:tcBorders>
              <w:right w:val="single" w:sz="4" w:space="0" w:color="auto"/>
            </w:tcBorders>
          </w:tcPr>
          <w:p>
            <w:pPr>
              <w:pStyle w:val="Default"/>
              <w:spacing w:before="40" w:after="40"/>
              <w:jc w:val="center"/>
              <w:rPr>
                <w:i/>
                <w:noProof/>
                <w:color w:val="auto"/>
                <w:sz w:val="20"/>
                <w:szCs w:val="20"/>
              </w:rPr>
            </w:pPr>
            <w:r>
              <w:rPr>
                <w:i/>
                <w:noProof/>
                <w:color w:val="auto"/>
                <w:sz w:val="20"/>
                <w:szCs w:val="20"/>
              </w:rPr>
              <w:t>Date d’achèvement prévue</w:t>
            </w:r>
          </w:p>
        </w:tc>
      </w:tr>
      <w:tr>
        <w:tc>
          <w:tcPr>
            <w:tcW w:w="426" w:type="dxa"/>
            <w:tcBorders>
              <w:bottom w:val="nil"/>
            </w:tcBorders>
          </w:tcPr>
          <w:p>
            <w:pPr>
              <w:pStyle w:val="Default"/>
              <w:spacing w:before="40" w:after="40"/>
              <w:jc w:val="both"/>
              <w:rPr>
                <w:noProof/>
                <w:color w:val="auto"/>
                <w:sz w:val="20"/>
                <w:szCs w:val="20"/>
              </w:rPr>
            </w:pPr>
            <w:r>
              <w:rPr>
                <w:noProof/>
                <w:color w:val="auto"/>
                <w:sz w:val="20"/>
                <w:szCs w:val="20"/>
              </w:rPr>
              <w:t>1</w:t>
            </w:r>
          </w:p>
        </w:tc>
        <w:tc>
          <w:tcPr>
            <w:tcW w:w="5244" w:type="dxa"/>
          </w:tcPr>
          <w:p>
            <w:pPr>
              <w:pStyle w:val="Default"/>
              <w:spacing w:before="40" w:after="40"/>
              <w:rPr>
                <w:b/>
                <w:noProof/>
                <w:color w:val="auto"/>
                <w:sz w:val="20"/>
                <w:szCs w:val="20"/>
              </w:rPr>
            </w:pPr>
            <w:r>
              <w:rPr>
                <w:b/>
                <w:noProof/>
                <w:color w:val="auto"/>
                <w:sz w:val="20"/>
                <w:szCs w:val="20"/>
              </w:rPr>
              <w:t>Analyse opérationnelle et modélisation des processus</w:t>
            </w:r>
          </w:p>
        </w:tc>
        <w:tc>
          <w:tcPr>
            <w:tcW w:w="3261" w:type="dxa"/>
            <w:tcBorders>
              <w:right w:val="single" w:sz="4" w:space="0" w:color="auto"/>
            </w:tcBorders>
          </w:tcPr>
          <w:p>
            <w:pPr>
              <w:pStyle w:val="Default"/>
              <w:spacing w:before="40" w:after="40"/>
              <w:jc w:val="center"/>
              <w:rPr>
                <w:noProof/>
                <w:color w:val="auto"/>
                <w:sz w:val="20"/>
                <w:szCs w:val="20"/>
                <w:lang w:val="fr-BE"/>
              </w:rPr>
            </w:pPr>
          </w:p>
        </w:tc>
      </w:tr>
      <w:tr>
        <w:tc>
          <w:tcPr>
            <w:tcW w:w="426" w:type="dxa"/>
            <w:tcBorders>
              <w:top w:val="nil"/>
              <w:bottom w:val="nil"/>
            </w:tcBorders>
          </w:tcPr>
          <w:p>
            <w:pPr>
              <w:pStyle w:val="Default"/>
              <w:spacing w:before="40" w:after="40"/>
              <w:jc w:val="both"/>
              <w:rPr>
                <w:noProof/>
                <w:color w:val="auto"/>
                <w:sz w:val="20"/>
                <w:szCs w:val="20"/>
                <w:lang w:val="fr-BE"/>
              </w:rPr>
            </w:pPr>
          </w:p>
        </w:tc>
        <w:tc>
          <w:tcPr>
            <w:tcW w:w="5244" w:type="dxa"/>
          </w:tcPr>
          <w:p>
            <w:pPr>
              <w:pStyle w:val="Default"/>
              <w:spacing w:before="40" w:after="40"/>
              <w:rPr>
                <w:noProof/>
                <w:color w:val="auto"/>
                <w:sz w:val="20"/>
                <w:szCs w:val="20"/>
              </w:rPr>
            </w:pPr>
            <w:r>
              <w:rPr>
                <w:noProof/>
                <w:color w:val="auto"/>
                <w:sz w:val="20"/>
                <w:szCs w:val="20"/>
              </w:rPr>
              <w:t>- Analyse de rentabilité</w:t>
            </w:r>
          </w:p>
        </w:tc>
        <w:tc>
          <w:tcPr>
            <w:tcW w:w="3261" w:type="dxa"/>
            <w:tcBorders>
              <w:right w:val="single" w:sz="4" w:space="0" w:color="auto"/>
            </w:tcBorders>
          </w:tcPr>
          <w:p>
            <w:pPr>
              <w:pStyle w:val="Default"/>
              <w:spacing w:before="40" w:after="40"/>
              <w:jc w:val="center"/>
              <w:rPr>
                <w:noProof/>
                <w:color w:val="auto"/>
                <w:sz w:val="20"/>
                <w:szCs w:val="20"/>
              </w:rPr>
            </w:pPr>
            <w:r>
              <w:rPr>
                <w:noProof/>
                <w:color w:val="auto"/>
                <w:sz w:val="20"/>
                <w:szCs w:val="20"/>
              </w:rPr>
              <w:t>T4 2020</w:t>
            </w: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rPr>
            </w:pPr>
            <w:r>
              <w:rPr>
                <w:noProof/>
                <w:color w:val="auto"/>
                <w:sz w:val="20"/>
                <w:szCs w:val="20"/>
              </w:rPr>
              <w:t>- Niveau 3 (besoins des utilisateurs MPO)</w:t>
            </w:r>
          </w:p>
        </w:tc>
        <w:tc>
          <w:tcPr>
            <w:tcW w:w="3261" w:type="dxa"/>
            <w:tcBorders>
              <w:right w:val="single" w:sz="4" w:space="0" w:color="auto"/>
            </w:tcBorders>
          </w:tcPr>
          <w:p>
            <w:pPr>
              <w:pStyle w:val="Default"/>
              <w:spacing w:before="40" w:after="40"/>
              <w:jc w:val="center"/>
              <w:rPr>
                <w:noProof/>
                <w:color w:val="auto"/>
                <w:sz w:val="20"/>
                <w:szCs w:val="20"/>
              </w:rPr>
            </w:pPr>
            <w:r>
              <w:rPr>
                <w:noProof/>
                <w:color w:val="auto"/>
                <w:sz w:val="20"/>
                <w:szCs w:val="20"/>
              </w:rPr>
              <w:t>T1 2022</w:t>
            </w:r>
          </w:p>
        </w:tc>
      </w:tr>
      <w:tr>
        <w:tc>
          <w:tcPr>
            <w:tcW w:w="426" w:type="dxa"/>
            <w:tcBorders>
              <w:top w:val="nil"/>
              <w:bottom w:val="single" w:sz="4" w:space="0" w:color="auto"/>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rPr>
            </w:pPr>
            <w:r>
              <w:rPr>
                <w:noProof/>
                <w:color w:val="auto"/>
                <w:sz w:val="20"/>
                <w:szCs w:val="20"/>
              </w:rPr>
              <w:t>- Niveau 4 (besoins fonctionnels MPO)</w:t>
            </w:r>
          </w:p>
        </w:tc>
        <w:tc>
          <w:tcPr>
            <w:tcW w:w="3261" w:type="dxa"/>
            <w:tcBorders>
              <w:right w:val="single" w:sz="4" w:space="0" w:color="auto"/>
            </w:tcBorders>
          </w:tcPr>
          <w:p>
            <w:pPr>
              <w:pStyle w:val="Default"/>
              <w:spacing w:before="40" w:after="40"/>
              <w:jc w:val="center"/>
              <w:rPr>
                <w:noProof/>
                <w:color w:val="auto"/>
                <w:sz w:val="20"/>
                <w:szCs w:val="20"/>
              </w:rPr>
            </w:pPr>
            <w:r>
              <w:rPr>
                <w:noProof/>
                <w:color w:val="auto"/>
                <w:sz w:val="20"/>
                <w:szCs w:val="20"/>
              </w:rPr>
              <w:t>T1 2022</w:t>
            </w:r>
          </w:p>
        </w:tc>
      </w:tr>
      <w:tr>
        <w:tc>
          <w:tcPr>
            <w:tcW w:w="426" w:type="dxa"/>
            <w:tcBorders>
              <w:bottom w:val="nil"/>
            </w:tcBorders>
          </w:tcPr>
          <w:p>
            <w:pPr>
              <w:pStyle w:val="Default"/>
              <w:spacing w:before="40" w:after="40"/>
              <w:jc w:val="both"/>
              <w:rPr>
                <w:noProof/>
                <w:color w:val="auto"/>
                <w:sz w:val="20"/>
                <w:szCs w:val="20"/>
              </w:rPr>
            </w:pPr>
            <w:r>
              <w:rPr>
                <w:noProof/>
                <w:color w:val="auto"/>
                <w:sz w:val="20"/>
                <w:szCs w:val="20"/>
              </w:rPr>
              <w:t>2</w:t>
            </w:r>
          </w:p>
        </w:tc>
        <w:tc>
          <w:tcPr>
            <w:tcW w:w="5244" w:type="dxa"/>
          </w:tcPr>
          <w:p>
            <w:pPr>
              <w:pStyle w:val="Default"/>
              <w:spacing w:before="40" w:after="40"/>
              <w:rPr>
                <w:b/>
                <w:noProof/>
                <w:color w:val="auto"/>
                <w:sz w:val="20"/>
                <w:szCs w:val="20"/>
              </w:rPr>
            </w:pPr>
            <w:r>
              <w:rPr>
                <w:b/>
                <w:noProof/>
                <w:color w:val="auto"/>
                <w:sz w:val="20"/>
                <w:szCs w:val="20"/>
              </w:rPr>
              <w:t>Dispositions juridiques</w:t>
            </w:r>
          </w:p>
        </w:tc>
        <w:tc>
          <w:tcPr>
            <w:tcW w:w="3261" w:type="dxa"/>
            <w:tcBorders>
              <w:right w:val="single" w:sz="4" w:space="0" w:color="auto"/>
            </w:tcBorders>
          </w:tcPr>
          <w:p>
            <w:pPr>
              <w:pStyle w:val="Default"/>
              <w:spacing w:before="40" w:after="40"/>
              <w:jc w:val="center"/>
              <w:rPr>
                <w:noProof/>
                <w:color w:val="auto"/>
                <w:sz w:val="20"/>
                <w:szCs w:val="20"/>
                <w:lang w:val="en-GB"/>
              </w:rPr>
            </w:pP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rPr>
            </w:pPr>
            <w:r>
              <w:rPr>
                <w:noProof/>
                <w:color w:val="auto"/>
                <w:sz w:val="20"/>
                <w:szCs w:val="20"/>
              </w:rPr>
              <w:t>- Adoption des dispositions actuelles*</w:t>
            </w:r>
          </w:p>
        </w:tc>
        <w:tc>
          <w:tcPr>
            <w:tcW w:w="3261" w:type="dxa"/>
            <w:tcBorders>
              <w:right w:val="single" w:sz="4" w:space="0" w:color="auto"/>
            </w:tcBorders>
          </w:tcPr>
          <w:p>
            <w:pPr>
              <w:pStyle w:val="Default"/>
              <w:spacing w:before="40" w:after="40"/>
              <w:jc w:val="center"/>
              <w:rPr>
                <w:noProof/>
                <w:color w:val="auto"/>
                <w:sz w:val="20"/>
                <w:szCs w:val="20"/>
              </w:rPr>
            </w:pPr>
            <w:r>
              <w:rPr>
                <w:noProof/>
                <w:color w:val="auto"/>
                <w:sz w:val="20"/>
                <w:szCs w:val="20"/>
              </w:rPr>
              <w:t>T2 2019</w:t>
            </w:r>
          </w:p>
        </w:tc>
      </w:tr>
      <w:tr>
        <w:tc>
          <w:tcPr>
            <w:tcW w:w="426" w:type="dxa"/>
            <w:tcBorders>
              <w:top w:val="nil"/>
              <w:bottom w:val="single" w:sz="4" w:space="0" w:color="auto"/>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rPr>
            </w:pPr>
            <w:r>
              <w:rPr>
                <w:noProof/>
                <w:color w:val="auto"/>
                <w:sz w:val="20"/>
                <w:szCs w:val="20"/>
              </w:rPr>
              <w:t>- Adoption des futures dispositions**</w:t>
            </w:r>
          </w:p>
        </w:tc>
        <w:tc>
          <w:tcPr>
            <w:tcW w:w="3261" w:type="dxa"/>
            <w:tcBorders>
              <w:right w:val="single" w:sz="4" w:space="0" w:color="auto"/>
            </w:tcBorders>
          </w:tcPr>
          <w:p>
            <w:pPr>
              <w:pStyle w:val="Default"/>
              <w:spacing w:before="40" w:after="40"/>
              <w:jc w:val="center"/>
              <w:rPr>
                <w:noProof/>
                <w:color w:val="auto"/>
                <w:sz w:val="20"/>
                <w:szCs w:val="20"/>
              </w:rPr>
            </w:pPr>
            <w:r>
              <w:rPr>
                <w:noProof/>
                <w:color w:val="auto"/>
                <w:sz w:val="20"/>
                <w:szCs w:val="20"/>
              </w:rPr>
              <w:t>T2 2021</w:t>
            </w:r>
          </w:p>
        </w:tc>
      </w:tr>
      <w:tr>
        <w:tc>
          <w:tcPr>
            <w:tcW w:w="426" w:type="dxa"/>
            <w:tcBorders>
              <w:bottom w:val="nil"/>
            </w:tcBorders>
          </w:tcPr>
          <w:p>
            <w:pPr>
              <w:pStyle w:val="Default"/>
              <w:spacing w:before="40" w:after="40"/>
              <w:jc w:val="both"/>
              <w:rPr>
                <w:noProof/>
                <w:color w:val="auto"/>
                <w:sz w:val="20"/>
                <w:szCs w:val="20"/>
              </w:rPr>
            </w:pPr>
            <w:r>
              <w:rPr>
                <w:noProof/>
                <w:color w:val="auto"/>
                <w:sz w:val="20"/>
                <w:szCs w:val="20"/>
              </w:rPr>
              <w:t>3</w:t>
            </w:r>
          </w:p>
        </w:tc>
        <w:tc>
          <w:tcPr>
            <w:tcW w:w="5244" w:type="dxa"/>
          </w:tcPr>
          <w:p>
            <w:pPr>
              <w:pStyle w:val="Default"/>
              <w:spacing w:before="40" w:after="40"/>
              <w:rPr>
                <w:b/>
                <w:noProof/>
                <w:color w:val="auto"/>
                <w:sz w:val="20"/>
                <w:szCs w:val="20"/>
              </w:rPr>
            </w:pPr>
            <w:r>
              <w:rPr>
                <w:b/>
                <w:noProof/>
                <w:color w:val="auto"/>
                <w:sz w:val="20"/>
                <w:szCs w:val="20"/>
              </w:rPr>
              <w:t>Phase de lancement du projet</w:t>
            </w:r>
          </w:p>
        </w:tc>
        <w:tc>
          <w:tcPr>
            <w:tcW w:w="3261" w:type="dxa"/>
            <w:tcBorders>
              <w:right w:val="single" w:sz="4" w:space="0" w:color="auto"/>
            </w:tcBorders>
          </w:tcPr>
          <w:p>
            <w:pPr>
              <w:pStyle w:val="Default"/>
              <w:spacing w:before="40" w:after="40"/>
              <w:jc w:val="center"/>
              <w:rPr>
                <w:noProof/>
                <w:color w:val="auto"/>
                <w:sz w:val="20"/>
                <w:szCs w:val="20"/>
                <w:lang w:val="fr-BE"/>
              </w:rPr>
            </w:pPr>
          </w:p>
        </w:tc>
      </w:tr>
      <w:tr>
        <w:tc>
          <w:tcPr>
            <w:tcW w:w="426" w:type="dxa"/>
            <w:tcBorders>
              <w:top w:val="nil"/>
              <w:bottom w:val="nil"/>
            </w:tcBorders>
          </w:tcPr>
          <w:p>
            <w:pPr>
              <w:pStyle w:val="Default"/>
              <w:spacing w:before="40" w:after="40"/>
              <w:jc w:val="both"/>
              <w:rPr>
                <w:noProof/>
                <w:color w:val="auto"/>
                <w:sz w:val="20"/>
                <w:szCs w:val="20"/>
                <w:lang w:val="fr-BE"/>
              </w:rPr>
            </w:pPr>
          </w:p>
        </w:tc>
        <w:tc>
          <w:tcPr>
            <w:tcW w:w="5244" w:type="dxa"/>
          </w:tcPr>
          <w:p>
            <w:pPr>
              <w:pStyle w:val="Default"/>
              <w:spacing w:before="40" w:after="40"/>
              <w:rPr>
                <w:noProof/>
                <w:color w:val="auto"/>
                <w:sz w:val="20"/>
                <w:szCs w:val="20"/>
              </w:rPr>
            </w:pPr>
            <w:r>
              <w:rPr>
                <w:noProof/>
                <w:color w:val="auto"/>
                <w:sz w:val="20"/>
                <w:szCs w:val="20"/>
              </w:rPr>
              <w:t>- Document stratégique</w:t>
            </w:r>
          </w:p>
        </w:tc>
        <w:tc>
          <w:tcPr>
            <w:tcW w:w="3261" w:type="dxa"/>
            <w:tcBorders>
              <w:right w:val="single" w:sz="4" w:space="0" w:color="auto"/>
            </w:tcBorders>
          </w:tcPr>
          <w:p>
            <w:pPr>
              <w:pStyle w:val="Default"/>
              <w:spacing w:before="40" w:after="40"/>
              <w:jc w:val="center"/>
              <w:rPr>
                <w:noProof/>
                <w:color w:val="auto"/>
                <w:sz w:val="20"/>
                <w:szCs w:val="20"/>
              </w:rPr>
            </w:pPr>
            <w:r>
              <w:rPr>
                <w:noProof/>
                <w:color w:val="auto"/>
                <w:sz w:val="20"/>
                <w:szCs w:val="20"/>
              </w:rPr>
              <w:t>T2 2021</w:t>
            </w:r>
          </w:p>
        </w:tc>
      </w:tr>
      <w:tr>
        <w:tc>
          <w:tcPr>
            <w:tcW w:w="426" w:type="dxa"/>
            <w:tcBorders>
              <w:top w:val="nil"/>
              <w:bottom w:val="single" w:sz="4" w:space="0" w:color="auto"/>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rPr>
            </w:pPr>
            <w:r>
              <w:rPr>
                <w:noProof/>
                <w:color w:val="auto"/>
                <w:sz w:val="20"/>
                <w:szCs w:val="20"/>
              </w:rPr>
              <w:t>- Feu vert</w:t>
            </w:r>
          </w:p>
        </w:tc>
        <w:tc>
          <w:tcPr>
            <w:tcW w:w="3261" w:type="dxa"/>
            <w:tcBorders>
              <w:right w:val="single" w:sz="4" w:space="0" w:color="auto"/>
            </w:tcBorders>
          </w:tcPr>
          <w:p>
            <w:pPr>
              <w:pStyle w:val="Default"/>
              <w:spacing w:before="40" w:after="40"/>
              <w:jc w:val="center"/>
              <w:rPr>
                <w:noProof/>
                <w:color w:val="auto"/>
                <w:sz w:val="20"/>
                <w:szCs w:val="20"/>
              </w:rPr>
            </w:pPr>
            <w:r>
              <w:rPr>
                <w:noProof/>
                <w:color w:val="auto"/>
                <w:sz w:val="20"/>
                <w:szCs w:val="20"/>
              </w:rPr>
              <w:t>T2 2021</w:t>
            </w:r>
          </w:p>
        </w:tc>
      </w:tr>
      <w:tr>
        <w:tc>
          <w:tcPr>
            <w:tcW w:w="426" w:type="dxa"/>
            <w:tcBorders>
              <w:bottom w:val="nil"/>
            </w:tcBorders>
          </w:tcPr>
          <w:p>
            <w:pPr>
              <w:pStyle w:val="Default"/>
              <w:spacing w:before="40" w:after="40"/>
              <w:jc w:val="both"/>
              <w:rPr>
                <w:noProof/>
                <w:color w:val="auto"/>
                <w:sz w:val="20"/>
                <w:szCs w:val="20"/>
              </w:rPr>
            </w:pPr>
            <w:r>
              <w:rPr>
                <w:noProof/>
                <w:color w:val="auto"/>
                <w:sz w:val="20"/>
                <w:szCs w:val="20"/>
              </w:rPr>
              <w:t>4</w:t>
            </w:r>
          </w:p>
        </w:tc>
        <w:tc>
          <w:tcPr>
            <w:tcW w:w="5244" w:type="dxa"/>
          </w:tcPr>
          <w:p>
            <w:pPr>
              <w:pStyle w:val="Default"/>
              <w:spacing w:before="40" w:after="40"/>
              <w:rPr>
                <w:b/>
                <w:noProof/>
                <w:color w:val="auto"/>
                <w:sz w:val="20"/>
                <w:szCs w:val="20"/>
              </w:rPr>
            </w:pPr>
            <w:r>
              <w:rPr>
                <w:b/>
                <w:noProof/>
                <w:color w:val="auto"/>
                <w:sz w:val="20"/>
                <w:szCs w:val="20"/>
              </w:rPr>
              <w:t>Projet informatique</w:t>
            </w:r>
          </w:p>
        </w:tc>
        <w:tc>
          <w:tcPr>
            <w:tcW w:w="3261" w:type="dxa"/>
            <w:tcBorders>
              <w:right w:val="single" w:sz="4" w:space="0" w:color="auto"/>
            </w:tcBorders>
          </w:tcPr>
          <w:p>
            <w:pPr>
              <w:pStyle w:val="Default"/>
              <w:spacing w:before="40" w:after="40"/>
              <w:jc w:val="center"/>
              <w:rPr>
                <w:noProof/>
                <w:color w:val="auto"/>
                <w:sz w:val="20"/>
                <w:szCs w:val="20"/>
                <w:lang w:val="en-GB"/>
              </w:rPr>
            </w:pP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rPr>
            </w:pPr>
            <w:r>
              <w:rPr>
                <w:noProof/>
                <w:color w:val="auto"/>
                <w:sz w:val="20"/>
                <w:szCs w:val="20"/>
              </w:rPr>
              <w:t>- Spécifications relatives aux applications et aux services</w:t>
            </w:r>
          </w:p>
        </w:tc>
        <w:tc>
          <w:tcPr>
            <w:tcW w:w="3261" w:type="dxa"/>
            <w:tcBorders>
              <w:right w:val="single" w:sz="4" w:space="0" w:color="auto"/>
            </w:tcBorders>
          </w:tcPr>
          <w:p>
            <w:pPr>
              <w:pStyle w:val="Default"/>
              <w:spacing w:before="40" w:after="40"/>
              <w:jc w:val="center"/>
              <w:rPr>
                <w:noProof/>
                <w:color w:val="auto"/>
                <w:sz w:val="20"/>
                <w:szCs w:val="20"/>
              </w:rPr>
            </w:pPr>
            <w:r>
              <w:rPr>
                <w:noProof/>
                <w:color w:val="auto"/>
                <w:sz w:val="20"/>
                <w:szCs w:val="20"/>
              </w:rPr>
              <w:t>T2 2023</w:t>
            </w: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rPr>
            </w:pPr>
            <w:r>
              <w:rPr>
                <w:noProof/>
                <w:color w:val="auto"/>
                <w:sz w:val="20"/>
                <w:szCs w:val="20"/>
              </w:rPr>
              <w:t>- Spécifications techniques du système</w:t>
            </w:r>
          </w:p>
        </w:tc>
        <w:tc>
          <w:tcPr>
            <w:tcW w:w="3261" w:type="dxa"/>
            <w:tcBorders>
              <w:right w:val="single" w:sz="4" w:space="0" w:color="auto"/>
            </w:tcBorders>
          </w:tcPr>
          <w:p>
            <w:pPr>
              <w:pStyle w:val="Default"/>
              <w:spacing w:before="40" w:after="40"/>
              <w:jc w:val="center"/>
              <w:rPr>
                <w:noProof/>
                <w:color w:val="auto"/>
                <w:sz w:val="20"/>
                <w:szCs w:val="20"/>
              </w:rPr>
            </w:pPr>
            <w:r>
              <w:rPr>
                <w:noProof/>
                <w:color w:val="auto"/>
                <w:sz w:val="20"/>
                <w:szCs w:val="20"/>
              </w:rPr>
              <w:t>T2 2023</w:t>
            </w: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b/>
                <w:noProof/>
                <w:color w:val="auto"/>
                <w:sz w:val="20"/>
                <w:szCs w:val="20"/>
              </w:rPr>
            </w:pPr>
            <w:r>
              <w:rPr>
                <w:b/>
                <w:noProof/>
                <w:color w:val="auto"/>
                <w:sz w:val="20"/>
                <w:szCs w:val="20"/>
              </w:rPr>
              <w:t>Phase de construction</w:t>
            </w:r>
          </w:p>
        </w:tc>
        <w:tc>
          <w:tcPr>
            <w:tcW w:w="3261" w:type="dxa"/>
            <w:tcBorders>
              <w:right w:val="single" w:sz="4" w:space="0" w:color="auto"/>
            </w:tcBorders>
          </w:tcPr>
          <w:p>
            <w:pPr>
              <w:pStyle w:val="Default"/>
              <w:spacing w:before="40" w:after="40"/>
              <w:jc w:val="center"/>
              <w:rPr>
                <w:noProof/>
                <w:color w:val="auto"/>
                <w:sz w:val="20"/>
                <w:szCs w:val="20"/>
                <w:lang w:val="en-GB"/>
              </w:rPr>
            </w:pP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rPr>
            </w:pPr>
            <w:r>
              <w:rPr>
                <w:noProof/>
                <w:color w:val="auto"/>
                <w:sz w:val="20"/>
                <w:szCs w:val="20"/>
              </w:rPr>
              <w:t>- Mise en œuvre des services centraux</w:t>
            </w:r>
          </w:p>
        </w:tc>
        <w:tc>
          <w:tcPr>
            <w:tcW w:w="3261" w:type="dxa"/>
            <w:tcBorders>
              <w:right w:val="single" w:sz="4" w:space="0" w:color="auto"/>
            </w:tcBorders>
          </w:tcPr>
          <w:p>
            <w:pPr>
              <w:pStyle w:val="Default"/>
              <w:spacing w:before="40" w:after="40"/>
              <w:jc w:val="center"/>
              <w:rPr>
                <w:noProof/>
                <w:color w:val="auto"/>
                <w:sz w:val="20"/>
                <w:szCs w:val="20"/>
              </w:rPr>
            </w:pPr>
            <w:r>
              <w:rPr>
                <w:noProof/>
                <w:color w:val="auto"/>
                <w:sz w:val="20"/>
                <w:szCs w:val="20"/>
              </w:rPr>
              <w:t>T3 2024</w:t>
            </w: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rPr>
            </w:pPr>
            <w:r>
              <w:rPr>
                <w:noProof/>
                <w:color w:val="auto"/>
                <w:sz w:val="20"/>
                <w:szCs w:val="20"/>
              </w:rPr>
              <w:t>- Intégration des services dans les systèmes nationaux</w:t>
            </w:r>
          </w:p>
        </w:tc>
        <w:tc>
          <w:tcPr>
            <w:tcW w:w="3261" w:type="dxa"/>
            <w:tcBorders>
              <w:right w:val="single" w:sz="4" w:space="0" w:color="auto"/>
            </w:tcBorders>
          </w:tcPr>
          <w:p>
            <w:pPr>
              <w:pStyle w:val="Default"/>
              <w:spacing w:before="40" w:after="40"/>
              <w:jc w:val="center"/>
              <w:rPr>
                <w:noProof/>
                <w:color w:val="auto"/>
                <w:sz w:val="20"/>
                <w:szCs w:val="20"/>
              </w:rPr>
            </w:pPr>
            <w:r>
              <w:rPr>
                <w:noProof/>
                <w:color w:val="auto"/>
                <w:sz w:val="20"/>
                <w:szCs w:val="20"/>
              </w:rPr>
              <w:t>n.d.</w:t>
            </w: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rPr>
            </w:pPr>
            <w:r>
              <w:rPr>
                <w:noProof/>
                <w:color w:val="auto"/>
                <w:sz w:val="20"/>
                <w:szCs w:val="20"/>
              </w:rPr>
              <w:t>- Mise en œuvre au niveau national</w:t>
            </w:r>
          </w:p>
        </w:tc>
        <w:tc>
          <w:tcPr>
            <w:tcW w:w="3261" w:type="dxa"/>
            <w:tcBorders>
              <w:right w:val="single" w:sz="4" w:space="0" w:color="auto"/>
            </w:tcBorders>
          </w:tcPr>
          <w:p>
            <w:pPr>
              <w:pStyle w:val="Default"/>
              <w:spacing w:before="40" w:after="40"/>
              <w:jc w:val="center"/>
              <w:rPr>
                <w:noProof/>
                <w:color w:val="auto"/>
                <w:sz w:val="20"/>
                <w:szCs w:val="20"/>
              </w:rPr>
            </w:pPr>
            <w:r>
              <w:rPr>
                <w:noProof/>
                <w:color w:val="auto"/>
                <w:sz w:val="20"/>
                <w:szCs w:val="20"/>
              </w:rPr>
              <w:t>n.d.</w:t>
            </w: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b/>
                <w:noProof/>
                <w:color w:val="auto"/>
                <w:sz w:val="20"/>
                <w:szCs w:val="20"/>
              </w:rPr>
            </w:pPr>
            <w:r>
              <w:rPr>
                <w:b/>
                <w:noProof/>
                <w:color w:val="auto"/>
                <w:sz w:val="20"/>
                <w:szCs w:val="20"/>
              </w:rPr>
              <w:t>Phase de transition</w:t>
            </w:r>
          </w:p>
        </w:tc>
        <w:tc>
          <w:tcPr>
            <w:tcW w:w="3261" w:type="dxa"/>
            <w:tcBorders>
              <w:right w:val="single" w:sz="4" w:space="0" w:color="auto"/>
            </w:tcBorders>
          </w:tcPr>
          <w:p>
            <w:pPr>
              <w:pStyle w:val="Default"/>
              <w:spacing w:before="40" w:after="40"/>
              <w:jc w:val="center"/>
              <w:rPr>
                <w:noProof/>
                <w:color w:val="auto"/>
                <w:sz w:val="20"/>
                <w:szCs w:val="20"/>
                <w:lang w:val="en-GB"/>
              </w:rPr>
            </w:pP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rPr>
            </w:pPr>
            <w:r>
              <w:rPr>
                <w:noProof/>
                <w:color w:val="auto"/>
                <w:sz w:val="20"/>
                <w:szCs w:val="20"/>
              </w:rPr>
              <w:t>- Déploiement</w:t>
            </w:r>
          </w:p>
        </w:tc>
        <w:tc>
          <w:tcPr>
            <w:tcW w:w="3261" w:type="dxa"/>
            <w:tcBorders>
              <w:right w:val="single" w:sz="4" w:space="0" w:color="auto"/>
            </w:tcBorders>
          </w:tcPr>
          <w:p>
            <w:pPr>
              <w:pStyle w:val="Default"/>
              <w:spacing w:before="40" w:after="40"/>
              <w:jc w:val="center"/>
              <w:rPr>
                <w:noProof/>
                <w:color w:val="auto"/>
                <w:sz w:val="20"/>
                <w:szCs w:val="20"/>
              </w:rPr>
            </w:pPr>
            <w:r>
              <w:rPr>
                <w:noProof/>
                <w:color w:val="auto"/>
                <w:sz w:val="20"/>
                <w:szCs w:val="20"/>
              </w:rPr>
              <w:t>T4 2024</w:t>
            </w:r>
          </w:p>
        </w:tc>
      </w:tr>
      <w:tr>
        <w:tc>
          <w:tcPr>
            <w:tcW w:w="426" w:type="dxa"/>
            <w:tcBorders>
              <w:top w:val="nil"/>
              <w:bottom w:val="single" w:sz="4" w:space="0" w:color="auto"/>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rPr>
            </w:pPr>
            <w:r>
              <w:rPr>
                <w:noProof/>
                <w:color w:val="auto"/>
                <w:sz w:val="20"/>
                <w:szCs w:val="20"/>
              </w:rPr>
              <w:t>- Tests de conformité</w:t>
            </w:r>
          </w:p>
        </w:tc>
        <w:tc>
          <w:tcPr>
            <w:tcW w:w="3261" w:type="dxa"/>
            <w:tcBorders>
              <w:right w:val="single" w:sz="4" w:space="0" w:color="auto"/>
            </w:tcBorders>
          </w:tcPr>
          <w:p>
            <w:pPr>
              <w:pStyle w:val="Default"/>
              <w:spacing w:before="40" w:after="40"/>
              <w:jc w:val="center"/>
              <w:rPr>
                <w:noProof/>
                <w:color w:val="auto"/>
                <w:sz w:val="20"/>
                <w:szCs w:val="20"/>
              </w:rPr>
            </w:pPr>
            <w:r>
              <w:rPr>
                <w:noProof/>
                <w:color w:val="auto"/>
                <w:sz w:val="20"/>
                <w:szCs w:val="20"/>
              </w:rPr>
              <w:t>T2 2025</w:t>
            </w:r>
          </w:p>
        </w:tc>
      </w:tr>
      <w:tr>
        <w:tc>
          <w:tcPr>
            <w:tcW w:w="426" w:type="dxa"/>
            <w:tcBorders>
              <w:bottom w:val="nil"/>
            </w:tcBorders>
          </w:tcPr>
          <w:p>
            <w:pPr>
              <w:pStyle w:val="Default"/>
              <w:spacing w:before="40" w:after="40"/>
              <w:jc w:val="both"/>
              <w:rPr>
                <w:noProof/>
                <w:color w:val="auto"/>
                <w:sz w:val="20"/>
                <w:szCs w:val="20"/>
              </w:rPr>
            </w:pPr>
            <w:r>
              <w:rPr>
                <w:noProof/>
                <w:color w:val="auto"/>
                <w:sz w:val="20"/>
                <w:szCs w:val="20"/>
              </w:rPr>
              <w:t>5</w:t>
            </w:r>
          </w:p>
        </w:tc>
        <w:tc>
          <w:tcPr>
            <w:tcW w:w="5244" w:type="dxa"/>
          </w:tcPr>
          <w:p>
            <w:pPr>
              <w:pStyle w:val="Default"/>
              <w:spacing w:before="40" w:after="40"/>
              <w:rPr>
                <w:b/>
                <w:noProof/>
                <w:color w:val="auto"/>
                <w:sz w:val="20"/>
                <w:szCs w:val="20"/>
              </w:rPr>
            </w:pPr>
            <w:r>
              <w:rPr>
                <w:b/>
                <w:noProof/>
                <w:color w:val="auto"/>
                <w:sz w:val="20"/>
                <w:szCs w:val="20"/>
              </w:rPr>
              <w:t>Fonctionnement</w:t>
            </w:r>
          </w:p>
        </w:tc>
        <w:tc>
          <w:tcPr>
            <w:tcW w:w="3261" w:type="dxa"/>
            <w:tcBorders>
              <w:right w:val="single" w:sz="4" w:space="0" w:color="auto"/>
            </w:tcBorders>
          </w:tcPr>
          <w:p>
            <w:pPr>
              <w:pStyle w:val="Default"/>
              <w:spacing w:before="40" w:after="40"/>
              <w:jc w:val="center"/>
              <w:rPr>
                <w:noProof/>
                <w:color w:val="auto"/>
                <w:sz w:val="20"/>
                <w:szCs w:val="20"/>
                <w:lang w:val="en-GB"/>
              </w:rPr>
            </w:pP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rPr>
            </w:pPr>
            <w:r>
              <w:rPr>
                <w:noProof/>
                <w:color w:val="auto"/>
                <w:sz w:val="20"/>
                <w:szCs w:val="20"/>
              </w:rPr>
              <w:t>- Commission, administrations des États membres et opérateurs</w:t>
            </w:r>
          </w:p>
        </w:tc>
        <w:tc>
          <w:tcPr>
            <w:tcW w:w="3261" w:type="dxa"/>
            <w:tcBorders>
              <w:right w:val="single" w:sz="4" w:space="0" w:color="auto"/>
            </w:tcBorders>
          </w:tcPr>
          <w:p>
            <w:pPr>
              <w:pStyle w:val="Default"/>
              <w:spacing w:before="40" w:after="40"/>
              <w:jc w:val="center"/>
              <w:rPr>
                <w:noProof/>
                <w:color w:val="auto"/>
                <w:sz w:val="20"/>
                <w:szCs w:val="20"/>
              </w:rPr>
            </w:pPr>
            <w:r>
              <w:rPr>
                <w:noProof/>
                <w:color w:val="auto"/>
                <w:sz w:val="20"/>
                <w:szCs w:val="20"/>
              </w:rPr>
              <w:t>T2 2025</w:t>
            </w:r>
          </w:p>
        </w:tc>
      </w:tr>
      <w:tr>
        <w:tc>
          <w:tcPr>
            <w:tcW w:w="426" w:type="dxa"/>
            <w:tcBorders>
              <w:top w:val="nil"/>
              <w:bottom w:val="single" w:sz="4" w:space="0" w:color="auto"/>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rPr>
            </w:pPr>
            <w:r>
              <w:rPr>
                <w:noProof/>
                <w:color w:val="auto"/>
                <w:sz w:val="20"/>
                <w:szCs w:val="20"/>
              </w:rPr>
              <w:t>- Pays tiers et opérateurs tiers (le cas échéant)</w:t>
            </w:r>
          </w:p>
        </w:tc>
        <w:tc>
          <w:tcPr>
            <w:tcW w:w="3261" w:type="dxa"/>
            <w:tcBorders>
              <w:right w:val="single" w:sz="4" w:space="0" w:color="auto"/>
            </w:tcBorders>
          </w:tcPr>
          <w:p>
            <w:pPr>
              <w:pStyle w:val="Default"/>
              <w:spacing w:before="40" w:after="40"/>
              <w:jc w:val="center"/>
              <w:rPr>
                <w:noProof/>
                <w:color w:val="auto"/>
                <w:sz w:val="20"/>
                <w:szCs w:val="20"/>
              </w:rPr>
            </w:pPr>
            <w:r>
              <w:rPr>
                <w:noProof/>
                <w:color w:val="auto"/>
                <w:sz w:val="20"/>
                <w:szCs w:val="20"/>
              </w:rPr>
              <w:t>n.d.</w:t>
            </w:r>
          </w:p>
        </w:tc>
      </w:tr>
      <w:tr>
        <w:tc>
          <w:tcPr>
            <w:tcW w:w="426" w:type="dxa"/>
            <w:tcBorders>
              <w:bottom w:val="nil"/>
            </w:tcBorders>
          </w:tcPr>
          <w:p>
            <w:pPr>
              <w:pStyle w:val="Default"/>
              <w:spacing w:before="40" w:after="40"/>
              <w:jc w:val="both"/>
              <w:rPr>
                <w:noProof/>
                <w:color w:val="auto"/>
                <w:sz w:val="20"/>
                <w:szCs w:val="20"/>
              </w:rPr>
            </w:pPr>
            <w:r>
              <w:rPr>
                <w:noProof/>
                <w:color w:val="auto"/>
                <w:sz w:val="20"/>
                <w:szCs w:val="20"/>
              </w:rPr>
              <w:t>6</w:t>
            </w:r>
          </w:p>
        </w:tc>
        <w:tc>
          <w:tcPr>
            <w:tcW w:w="5244" w:type="dxa"/>
          </w:tcPr>
          <w:p>
            <w:pPr>
              <w:pStyle w:val="Default"/>
              <w:spacing w:before="40" w:after="40"/>
              <w:rPr>
                <w:b/>
                <w:noProof/>
                <w:color w:val="auto"/>
                <w:sz w:val="20"/>
                <w:szCs w:val="20"/>
              </w:rPr>
            </w:pPr>
            <w:r>
              <w:rPr>
                <w:b/>
                <w:noProof/>
                <w:color w:val="auto"/>
                <w:sz w:val="20"/>
                <w:szCs w:val="20"/>
              </w:rPr>
              <w:t>Soutien à la mise en œuvre (formation et communication)</w:t>
            </w:r>
          </w:p>
        </w:tc>
        <w:tc>
          <w:tcPr>
            <w:tcW w:w="3261" w:type="dxa"/>
            <w:tcBorders>
              <w:right w:val="single" w:sz="4" w:space="0" w:color="auto"/>
            </w:tcBorders>
          </w:tcPr>
          <w:p>
            <w:pPr>
              <w:pStyle w:val="Default"/>
              <w:spacing w:before="40" w:after="40"/>
              <w:jc w:val="center"/>
              <w:rPr>
                <w:noProof/>
                <w:color w:val="auto"/>
                <w:sz w:val="20"/>
                <w:szCs w:val="20"/>
                <w:lang w:val="fr-BE"/>
              </w:rPr>
            </w:pPr>
          </w:p>
        </w:tc>
      </w:tr>
      <w:tr>
        <w:tc>
          <w:tcPr>
            <w:tcW w:w="426" w:type="dxa"/>
            <w:tcBorders>
              <w:top w:val="nil"/>
              <w:bottom w:val="nil"/>
            </w:tcBorders>
          </w:tcPr>
          <w:p>
            <w:pPr>
              <w:pStyle w:val="Default"/>
              <w:spacing w:before="40" w:after="40"/>
              <w:jc w:val="both"/>
              <w:rPr>
                <w:noProof/>
                <w:color w:val="auto"/>
                <w:sz w:val="20"/>
                <w:szCs w:val="20"/>
                <w:lang w:val="fr-BE"/>
              </w:rPr>
            </w:pPr>
          </w:p>
        </w:tc>
        <w:tc>
          <w:tcPr>
            <w:tcW w:w="5244" w:type="dxa"/>
          </w:tcPr>
          <w:p>
            <w:pPr>
              <w:pStyle w:val="Default"/>
              <w:spacing w:before="40" w:after="40"/>
              <w:rPr>
                <w:noProof/>
                <w:color w:val="auto"/>
                <w:sz w:val="20"/>
                <w:szCs w:val="20"/>
              </w:rPr>
            </w:pPr>
            <w:r>
              <w:rPr>
                <w:noProof/>
                <w:color w:val="auto"/>
                <w:sz w:val="20"/>
                <w:szCs w:val="20"/>
              </w:rPr>
              <w:t>- Formation et communication développées au niveau central</w:t>
            </w:r>
          </w:p>
        </w:tc>
        <w:tc>
          <w:tcPr>
            <w:tcW w:w="3261" w:type="dxa"/>
            <w:tcBorders>
              <w:right w:val="single" w:sz="4" w:space="0" w:color="auto"/>
            </w:tcBorders>
          </w:tcPr>
          <w:p>
            <w:pPr>
              <w:pStyle w:val="Default"/>
              <w:spacing w:before="40" w:after="40"/>
              <w:jc w:val="center"/>
              <w:rPr>
                <w:noProof/>
                <w:color w:val="auto"/>
                <w:sz w:val="20"/>
                <w:szCs w:val="20"/>
              </w:rPr>
            </w:pPr>
            <w:r>
              <w:rPr>
                <w:noProof/>
                <w:color w:val="auto"/>
                <w:sz w:val="20"/>
                <w:szCs w:val="20"/>
              </w:rPr>
              <w:t>T4 2024</w:t>
            </w:r>
          </w:p>
        </w:tc>
      </w:tr>
      <w:tr>
        <w:tc>
          <w:tcPr>
            <w:tcW w:w="426" w:type="dxa"/>
            <w:tcBorders>
              <w:top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rPr>
            </w:pPr>
            <w:r>
              <w:rPr>
                <w:noProof/>
                <w:color w:val="auto"/>
                <w:sz w:val="20"/>
                <w:szCs w:val="20"/>
              </w:rPr>
              <w:t>- Formation et communication au niveau national</w:t>
            </w:r>
          </w:p>
        </w:tc>
        <w:tc>
          <w:tcPr>
            <w:tcW w:w="3261" w:type="dxa"/>
            <w:tcBorders>
              <w:right w:val="single" w:sz="4" w:space="0" w:color="auto"/>
            </w:tcBorders>
          </w:tcPr>
          <w:p>
            <w:pPr>
              <w:pStyle w:val="Default"/>
              <w:spacing w:before="40" w:after="40"/>
              <w:jc w:val="center"/>
              <w:rPr>
                <w:noProof/>
                <w:color w:val="auto"/>
                <w:sz w:val="20"/>
                <w:szCs w:val="20"/>
              </w:rPr>
            </w:pPr>
            <w:r>
              <w:rPr>
                <w:noProof/>
                <w:color w:val="auto"/>
                <w:sz w:val="20"/>
                <w:szCs w:val="20"/>
              </w:rPr>
              <w:t>T4 2024</w:t>
            </w:r>
          </w:p>
        </w:tc>
      </w:tr>
    </w:tbl>
    <w:p>
      <w:pPr>
        <w:pStyle w:val="Default"/>
        <w:spacing w:before="240"/>
        <w:jc w:val="both"/>
        <w:rPr>
          <w:noProof/>
          <w:color w:val="auto"/>
          <w:sz w:val="20"/>
          <w:szCs w:val="20"/>
        </w:rPr>
      </w:pPr>
      <w:r>
        <w:rPr>
          <w:noProof/>
          <w:color w:val="auto"/>
          <w:sz w:val="20"/>
          <w:szCs w:val="20"/>
        </w:rPr>
        <w:t>* Les dispositions actuelles renvoient au règlement (UE) 2019/880.</w:t>
      </w:r>
    </w:p>
    <w:p>
      <w:pPr>
        <w:pStyle w:val="Default"/>
        <w:spacing w:after="360"/>
        <w:jc w:val="both"/>
        <w:rPr>
          <w:noProof/>
          <w:color w:val="auto"/>
          <w:sz w:val="20"/>
          <w:szCs w:val="20"/>
        </w:rPr>
      </w:pPr>
      <w:r>
        <w:rPr>
          <w:noProof/>
          <w:color w:val="auto"/>
          <w:sz w:val="20"/>
          <w:szCs w:val="20"/>
        </w:rPr>
        <w:t>** Les futures dispositions renvoient aux dispositions d’exécution appelées à être adoptées conformément au règlement (UE) 2019/880</w:t>
      </w:r>
    </w:p>
    <w:p>
      <w:pPr>
        <w:pStyle w:val="Default"/>
        <w:spacing w:after="360"/>
        <w:jc w:val="both"/>
        <w:rPr>
          <w:noProof/>
          <w:color w:val="auto"/>
        </w:rPr>
      </w:pPr>
      <w:r>
        <w:rPr>
          <w:noProof/>
          <w:color w:val="auto"/>
        </w:rPr>
        <w:t>Le tableau 2 présente un extrait du projet EU CSW-CERTEX, en mettant l’accent sur le volet 2 du projet, à savoir l’interconnexion avec le système ICG.</w:t>
      </w:r>
    </w:p>
    <w:tbl>
      <w:tblPr>
        <w:tblStyle w:val="TableGrid"/>
        <w:tblW w:w="0" w:type="auto"/>
        <w:tblInd w:w="108" w:type="dxa"/>
        <w:tblLook w:val="04A0" w:firstRow="1" w:lastRow="0" w:firstColumn="1" w:lastColumn="0" w:noHBand="0" w:noVBand="1"/>
      </w:tblPr>
      <w:tblGrid>
        <w:gridCol w:w="426"/>
        <w:gridCol w:w="5244"/>
        <w:gridCol w:w="3261"/>
      </w:tblGrid>
      <w:tr>
        <w:tc>
          <w:tcPr>
            <w:tcW w:w="8931" w:type="dxa"/>
            <w:gridSpan w:val="3"/>
            <w:tcBorders>
              <w:bottom w:val="single" w:sz="4" w:space="0" w:color="auto"/>
              <w:right w:val="single" w:sz="4" w:space="0" w:color="auto"/>
            </w:tcBorders>
          </w:tcPr>
          <w:p>
            <w:pPr>
              <w:pStyle w:val="Default"/>
              <w:spacing w:before="120" w:after="120"/>
              <w:rPr>
                <w:b/>
                <w:i/>
                <w:noProof/>
                <w:color w:val="auto"/>
              </w:rPr>
            </w:pPr>
            <w:r>
              <w:rPr>
                <w:b/>
                <w:i/>
                <w:noProof/>
                <w:color w:val="auto"/>
                <w:sz w:val="20"/>
              </w:rPr>
              <w:t>Tableau 2 - Extrait du MASP-C rév. 2019, fiche 1.13 - volet 2 «EU CSW - CERTEX»</w:t>
            </w:r>
          </w:p>
        </w:tc>
      </w:tr>
      <w:tr>
        <w:tc>
          <w:tcPr>
            <w:tcW w:w="426" w:type="dxa"/>
            <w:tcBorders>
              <w:bottom w:val="single" w:sz="4" w:space="0" w:color="auto"/>
            </w:tcBorders>
          </w:tcPr>
          <w:p>
            <w:pPr>
              <w:pStyle w:val="Default"/>
              <w:spacing w:before="40" w:after="40"/>
              <w:jc w:val="both"/>
              <w:rPr>
                <w:noProof/>
                <w:color w:val="auto"/>
                <w:sz w:val="20"/>
                <w:szCs w:val="20"/>
                <w:lang w:val="fr-BE"/>
              </w:rPr>
            </w:pPr>
          </w:p>
        </w:tc>
        <w:tc>
          <w:tcPr>
            <w:tcW w:w="5244" w:type="dxa"/>
          </w:tcPr>
          <w:p>
            <w:pPr>
              <w:pStyle w:val="Default"/>
              <w:spacing w:before="40" w:after="40"/>
              <w:rPr>
                <w:i/>
                <w:noProof/>
                <w:color w:val="auto"/>
                <w:sz w:val="20"/>
                <w:szCs w:val="20"/>
              </w:rPr>
            </w:pPr>
            <w:r>
              <w:rPr>
                <w:i/>
                <w:noProof/>
                <w:color w:val="auto"/>
                <w:sz w:val="20"/>
                <w:szCs w:val="20"/>
              </w:rPr>
              <w:t>Étapes</w:t>
            </w:r>
          </w:p>
        </w:tc>
        <w:tc>
          <w:tcPr>
            <w:tcW w:w="3261" w:type="dxa"/>
            <w:tcBorders>
              <w:right w:val="single" w:sz="4" w:space="0" w:color="auto"/>
            </w:tcBorders>
          </w:tcPr>
          <w:p>
            <w:pPr>
              <w:pStyle w:val="Default"/>
              <w:spacing w:before="40" w:after="40"/>
              <w:jc w:val="center"/>
              <w:rPr>
                <w:i/>
                <w:noProof/>
                <w:color w:val="auto"/>
                <w:sz w:val="20"/>
                <w:szCs w:val="20"/>
              </w:rPr>
            </w:pPr>
            <w:r>
              <w:rPr>
                <w:i/>
                <w:noProof/>
                <w:color w:val="auto"/>
                <w:sz w:val="20"/>
                <w:szCs w:val="20"/>
              </w:rPr>
              <w:t>Date d’achèvement prévue</w:t>
            </w:r>
          </w:p>
        </w:tc>
      </w:tr>
      <w:tr>
        <w:tc>
          <w:tcPr>
            <w:tcW w:w="426" w:type="dxa"/>
            <w:tcBorders>
              <w:bottom w:val="nil"/>
            </w:tcBorders>
          </w:tcPr>
          <w:p>
            <w:pPr>
              <w:pStyle w:val="Default"/>
              <w:spacing w:before="40" w:after="40"/>
              <w:jc w:val="both"/>
              <w:rPr>
                <w:noProof/>
                <w:color w:val="auto"/>
                <w:sz w:val="20"/>
                <w:szCs w:val="20"/>
              </w:rPr>
            </w:pPr>
            <w:r>
              <w:rPr>
                <w:noProof/>
                <w:color w:val="auto"/>
                <w:sz w:val="20"/>
                <w:szCs w:val="20"/>
              </w:rPr>
              <w:t>1</w:t>
            </w:r>
          </w:p>
        </w:tc>
        <w:tc>
          <w:tcPr>
            <w:tcW w:w="5244" w:type="dxa"/>
          </w:tcPr>
          <w:p>
            <w:pPr>
              <w:pStyle w:val="Default"/>
              <w:spacing w:before="40" w:after="40"/>
              <w:rPr>
                <w:b/>
                <w:noProof/>
                <w:color w:val="auto"/>
                <w:sz w:val="20"/>
                <w:szCs w:val="20"/>
              </w:rPr>
            </w:pPr>
            <w:r>
              <w:rPr>
                <w:b/>
                <w:noProof/>
                <w:color w:val="auto"/>
                <w:sz w:val="20"/>
                <w:szCs w:val="20"/>
              </w:rPr>
              <w:t>Analyse opérationnelle et modélisation des processus</w:t>
            </w:r>
          </w:p>
        </w:tc>
        <w:tc>
          <w:tcPr>
            <w:tcW w:w="3261" w:type="dxa"/>
            <w:tcBorders>
              <w:right w:val="single" w:sz="4" w:space="0" w:color="auto"/>
            </w:tcBorders>
          </w:tcPr>
          <w:p>
            <w:pPr>
              <w:pStyle w:val="Default"/>
              <w:spacing w:before="40" w:after="40"/>
              <w:jc w:val="center"/>
              <w:rPr>
                <w:noProof/>
                <w:color w:val="auto"/>
                <w:sz w:val="20"/>
                <w:szCs w:val="20"/>
                <w:lang w:val="fr-BE"/>
              </w:rPr>
            </w:pPr>
          </w:p>
        </w:tc>
      </w:tr>
      <w:tr>
        <w:tc>
          <w:tcPr>
            <w:tcW w:w="426" w:type="dxa"/>
            <w:tcBorders>
              <w:top w:val="nil"/>
              <w:bottom w:val="nil"/>
            </w:tcBorders>
          </w:tcPr>
          <w:p>
            <w:pPr>
              <w:pStyle w:val="Default"/>
              <w:spacing w:before="40" w:after="40"/>
              <w:jc w:val="both"/>
              <w:rPr>
                <w:noProof/>
                <w:color w:val="auto"/>
                <w:sz w:val="20"/>
                <w:szCs w:val="20"/>
                <w:lang w:val="fr-BE"/>
              </w:rPr>
            </w:pPr>
          </w:p>
        </w:tc>
        <w:tc>
          <w:tcPr>
            <w:tcW w:w="5244" w:type="dxa"/>
          </w:tcPr>
          <w:p>
            <w:pPr>
              <w:pStyle w:val="Default"/>
              <w:spacing w:before="40" w:after="40"/>
              <w:rPr>
                <w:noProof/>
                <w:color w:val="auto"/>
                <w:sz w:val="20"/>
                <w:szCs w:val="20"/>
              </w:rPr>
            </w:pPr>
            <w:r>
              <w:rPr>
                <w:noProof/>
                <w:color w:val="auto"/>
                <w:sz w:val="20"/>
                <w:szCs w:val="20"/>
              </w:rPr>
              <w:t>- Analyse de rentabilité</w:t>
            </w:r>
          </w:p>
        </w:tc>
        <w:tc>
          <w:tcPr>
            <w:tcW w:w="3261" w:type="dxa"/>
            <w:tcBorders>
              <w:right w:val="single" w:sz="4" w:space="0" w:color="auto"/>
            </w:tcBorders>
          </w:tcPr>
          <w:p>
            <w:pPr>
              <w:pStyle w:val="Default"/>
              <w:spacing w:before="40" w:after="40"/>
              <w:jc w:val="center"/>
              <w:rPr>
                <w:noProof/>
                <w:color w:val="auto"/>
                <w:sz w:val="20"/>
                <w:szCs w:val="20"/>
              </w:rPr>
            </w:pPr>
            <w:r>
              <w:rPr>
                <w:noProof/>
                <w:color w:val="auto"/>
                <w:sz w:val="20"/>
                <w:szCs w:val="20"/>
              </w:rPr>
              <w:t>T1 2017</w:t>
            </w: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rPr>
            </w:pPr>
            <w:r>
              <w:rPr>
                <w:noProof/>
                <w:color w:val="auto"/>
                <w:sz w:val="20"/>
                <w:szCs w:val="20"/>
              </w:rPr>
              <w:t>- Annexe de l’analyse de rentabilité</w:t>
            </w:r>
          </w:p>
        </w:tc>
        <w:tc>
          <w:tcPr>
            <w:tcW w:w="3261" w:type="dxa"/>
            <w:tcBorders>
              <w:right w:val="single" w:sz="4" w:space="0" w:color="auto"/>
            </w:tcBorders>
          </w:tcPr>
          <w:p>
            <w:pPr>
              <w:pStyle w:val="Default"/>
              <w:spacing w:before="40" w:after="40"/>
              <w:jc w:val="center"/>
              <w:rPr>
                <w:noProof/>
                <w:color w:val="auto"/>
                <w:sz w:val="20"/>
                <w:szCs w:val="20"/>
              </w:rPr>
            </w:pPr>
            <w:r>
              <w:rPr>
                <w:noProof/>
                <w:color w:val="auto"/>
                <w:sz w:val="20"/>
                <w:szCs w:val="20"/>
              </w:rPr>
              <w:t>T2 2023</w:t>
            </w: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rPr>
            </w:pPr>
            <w:r>
              <w:rPr>
                <w:noProof/>
                <w:color w:val="auto"/>
                <w:sz w:val="20"/>
                <w:szCs w:val="20"/>
              </w:rPr>
              <w:t>- Niveau 3 (besoins des utilisateurs MPO)</w:t>
            </w:r>
          </w:p>
        </w:tc>
        <w:tc>
          <w:tcPr>
            <w:tcW w:w="3261" w:type="dxa"/>
            <w:tcBorders>
              <w:right w:val="single" w:sz="4" w:space="0" w:color="auto"/>
            </w:tcBorders>
          </w:tcPr>
          <w:p>
            <w:pPr>
              <w:pStyle w:val="Default"/>
              <w:spacing w:before="40" w:after="40"/>
              <w:jc w:val="center"/>
              <w:rPr>
                <w:noProof/>
                <w:color w:val="auto"/>
                <w:sz w:val="20"/>
                <w:szCs w:val="20"/>
              </w:rPr>
            </w:pPr>
            <w:r>
              <w:rPr>
                <w:noProof/>
                <w:color w:val="auto"/>
                <w:sz w:val="20"/>
                <w:szCs w:val="20"/>
              </w:rPr>
              <w:t>T1 2024</w:t>
            </w:r>
          </w:p>
        </w:tc>
      </w:tr>
      <w:tr>
        <w:tc>
          <w:tcPr>
            <w:tcW w:w="426" w:type="dxa"/>
            <w:tcBorders>
              <w:top w:val="nil"/>
              <w:bottom w:val="single" w:sz="4" w:space="0" w:color="auto"/>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rPr>
            </w:pPr>
            <w:r>
              <w:rPr>
                <w:noProof/>
                <w:color w:val="auto"/>
                <w:sz w:val="20"/>
                <w:szCs w:val="20"/>
              </w:rPr>
              <w:t>- Niveau 4 (besoins fonctionnels MPO)</w:t>
            </w:r>
          </w:p>
        </w:tc>
        <w:tc>
          <w:tcPr>
            <w:tcW w:w="3261" w:type="dxa"/>
            <w:tcBorders>
              <w:right w:val="single" w:sz="4" w:space="0" w:color="auto"/>
            </w:tcBorders>
          </w:tcPr>
          <w:p>
            <w:pPr>
              <w:pStyle w:val="Default"/>
              <w:spacing w:before="40" w:after="40"/>
              <w:jc w:val="center"/>
              <w:rPr>
                <w:noProof/>
                <w:color w:val="auto"/>
                <w:sz w:val="20"/>
                <w:szCs w:val="20"/>
              </w:rPr>
            </w:pPr>
            <w:r>
              <w:rPr>
                <w:noProof/>
                <w:color w:val="auto"/>
                <w:sz w:val="20"/>
                <w:szCs w:val="20"/>
              </w:rPr>
              <w:t>T1 2024</w:t>
            </w:r>
          </w:p>
        </w:tc>
      </w:tr>
      <w:tr>
        <w:tc>
          <w:tcPr>
            <w:tcW w:w="426" w:type="dxa"/>
            <w:tcBorders>
              <w:bottom w:val="nil"/>
            </w:tcBorders>
          </w:tcPr>
          <w:p>
            <w:pPr>
              <w:pStyle w:val="Default"/>
              <w:spacing w:before="40" w:after="40"/>
              <w:jc w:val="both"/>
              <w:rPr>
                <w:noProof/>
                <w:color w:val="auto"/>
                <w:sz w:val="20"/>
                <w:szCs w:val="20"/>
              </w:rPr>
            </w:pPr>
            <w:r>
              <w:rPr>
                <w:noProof/>
                <w:color w:val="auto"/>
                <w:sz w:val="20"/>
                <w:szCs w:val="20"/>
              </w:rPr>
              <w:t>2</w:t>
            </w:r>
          </w:p>
        </w:tc>
        <w:tc>
          <w:tcPr>
            <w:tcW w:w="5244" w:type="dxa"/>
          </w:tcPr>
          <w:p>
            <w:pPr>
              <w:pStyle w:val="Default"/>
              <w:spacing w:before="40" w:after="40"/>
              <w:rPr>
                <w:b/>
                <w:noProof/>
                <w:color w:val="auto"/>
                <w:sz w:val="20"/>
                <w:szCs w:val="20"/>
              </w:rPr>
            </w:pPr>
            <w:r>
              <w:rPr>
                <w:b/>
                <w:noProof/>
                <w:color w:val="auto"/>
                <w:sz w:val="20"/>
                <w:szCs w:val="20"/>
              </w:rPr>
              <w:t>Dispositions juridiques</w:t>
            </w:r>
          </w:p>
        </w:tc>
        <w:tc>
          <w:tcPr>
            <w:tcW w:w="3261" w:type="dxa"/>
            <w:tcBorders>
              <w:right w:val="single" w:sz="4" w:space="0" w:color="auto"/>
            </w:tcBorders>
          </w:tcPr>
          <w:p>
            <w:pPr>
              <w:pStyle w:val="Default"/>
              <w:spacing w:before="40" w:after="40"/>
              <w:jc w:val="center"/>
              <w:rPr>
                <w:noProof/>
                <w:color w:val="auto"/>
                <w:sz w:val="20"/>
                <w:szCs w:val="20"/>
                <w:lang w:val="en-GB"/>
              </w:rPr>
            </w:pP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rPr>
            </w:pPr>
            <w:r>
              <w:rPr>
                <w:noProof/>
                <w:color w:val="auto"/>
                <w:sz w:val="20"/>
                <w:szCs w:val="20"/>
              </w:rPr>
              <w:t>- Adoption des dispositions actuelles*</w:t>
            </w:r>
          </w:p>
        </w:tc>
        <w:tc>
          <w:tcPr>
            <w:tcW w:w="3261" w:type="dxa"/>
            <w:tcBorders>
              <w:right w:val="single" w:sz="4" w:space="0" w:color="auto"/>
            </w:tcBorders>
          </w:tcPr>
          <w:p>
            <w:pPr>
              <w:pStyle w:val="Default"/>
              <w:spacing w:before="40" w:after="40"/>
              <w:jc w:val="center"/>
              <w:rPr>
                <w:noProof/>
                <w:color w:val="auto"/>
                <w:sz w:val="20"/>
                <w:szCs w:val="20"/>
              </w:rPr>
            </w:pPr>
            <w:r>
              <w:rPr>
                <w:noProof/>
                <w:color w:val="auto"/>
                <w:sz w:val="20"/>
                <w:szCs w:val="20"/>
              </w:rPr>
              <w:t>En vigueur</w:t>
            </w:r>
          </w:p>
        </w:tc>
      </w:tr>
      <w:tr>
        <w:tc>
          <w:tcPr>
            <w:tcW w:w="426" w:type="dxa"/>
            <w:tcBorders>
              <w:top w:val="nil"/>
              <w:bottom w:val="single" w:sz="4" w:space="0" w:color="auto"/>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rPr>
            </w:pPr>
            <w:r>
              <w:rPr>
                <w:noProof/>
                <w:color w:val="auto"/>
                <w:sz w:val="20"/>
                <w:szCs w:val="20"/>
              </w:rPr>
              <w:t>- Adoption des futures dispositions**</w:t>
            </w:r>
          </w:p>
        </w:tc>
        <w:tc>
          <w:tcPr>
            <w:tcW w:w="3261" w:type="dxa"/>
            <w:tcBorders>
              <w:right w:val="single" w:sz="4" w:space="0" w:color="auto"/>
            </w:tcBorders>
          </w:tcPr>
          <w:p>
            <w:pPr>
              <w:pStyle w:val="Default"/>
              <w:spacing w:before="40" w:after="40"/>
              <w:jc w:val="center"/>
              <w:rPr>
                <w:noProof/>
                <w:color w:val="auto"/>
                <w:sz w:val="20"/>
                <w:szCs w:val="20"/>
              </w:rPr>
            </w:pPr>
            <w:r>
              <w:rPr>
                <w:noProof/>
                <w:color w:val="auto"/>
                <w:sz w:val="20"/>
                <w:szCs w:val="20"/>
              </w:rPr>
              <w:t>2021</w:t>
            </w:r>
          </w:p>
        </w:tc>
      </w:tr>
      <w:tr>
        <w:tc>
          <w:tcPr>
            <w:tcW w:w="426" w:type="dxa"/>
            <w:tcBorders>
              <w:bottom w:val="nil"/>
            </w:tcBorders>
          </w:tcPr>
          <w:p>
            <w:pPr>
              <w:pStyle w:val="Default"/>
              <w:spacing w:before="40" w:after="40"/>
              <w:jc w:val="both"/>
              <w:rPr>
                <w:noProof/>
                <w:color w:val="auto"/>
                <w:sz w:val="20"/>
                <w:szCs w:val="20"/>
              </w:rPr>
            </w:pPr>
            <w:r>
              <w:rPr>
                <w:noProof/>
                <w:color w:val="auto"/>
                <w:sz w:val="20"/>
                <w:szCs w:val="20"/>
              </w:rPr>
              <w:t>3</w:t>
            </w:r>
          </w:p>
        </w:tc>
        <w:tc>
          <w:tcPr>
            <w:tcW w:w="5244" w:type="dxa"/>
          </w:tcPr>
          <w:p>
            <w:pPr>
              <w:pStyle w:val="Default"/>
              <w:spacing w:before="40" w:after="40"/>
              <w:rPr>
                <w:b/>
                <w:noProof/>
                <w:color w:val="auto"/>
                <w:sz w:val="20"/>
                <w:szCs w:val="20"/>
              </w:rPr>
            </w:pPr>
            <w:r>
              <w:rPr>
                <w:b/>
                <w:noProof/>
                <w:color w:val="auto"/>
                <w:sz w:val="20"/>
                <w:szCs w:val="20"/>
              </w:rPr>
              <w:t>Phase de lancement du projet</w:t>
            </w:r>
          </w:p>
        </w:tc>
        <w:tc>
          <w:tcPr>
            <w:tcW w:w="3261" w:type="dxa"/>
            <w:tcBorders>
              <w:right w:val="single" w:sz="4" w:space="0" w:color="auto"/>
            </w:tcBorders>
          </w:tcPr>
          <w:p>
            <w:pPr>
              <w:pStyle w:val="Default"/>
              <w:spacing w:before="40" w:after="40"/>
              <w:jc w:val="center"/>
              <w:rPr>
                <w:noProof/>
                <w:color w:val="auto"/>
                <w:sz w:val="20"/>
                <w:szCs w:val="20"/>
                <w:lang w:val="fr-BE"/>
              </w:rPr>
            </w:pPr>
          </w:p>
        </w:tc>
      </w:tr>
      <w:tr>
        <w:tc>
          <w:tcPr>
            <w:tcW w:w="426" w:type="dxa"/>
            <w:tcBorders>
              <w:top w:val="nil"/>
              <w:bottom w:val="nil"/>
            </w:tcBorders>
          </w:tcPr>
          <w:p>
            <w:pPr>
              <w:pStyle w:val="Default"/>
              <w:spacing w:before="40" w:after="40"/>
              <w:jc w:val="both"/>
              <w:rPr>
                <w:noProof/>
                <w:color w:val="auto"/>
                <w:sz w:val="20"/>
                <w:szCs w:val="20"/>
                <w:lang w:val="fr-BE"/>
              </w:rPr>
            </w:pPr>
          </w:p>
        </w:tc>
        <w:tc>
          <w:tcPr>
            <w:tcW w:w="5244" w:type="dxa"/>
          </w:tcPr>
          <w:p>
            <w:pPr>
              <w:pStyle w:val="Default"/>
              <w:spacing w:before="40" w:after="40"/>
              <w:rPr>
                <w:noProof/>
                <w:color w:val="auto"/>
                <w:sz w:val="20"/>
                <w:szCs w:val="20"/>
              </w:rPr>
            </w:pPr>
            <w:r>
              <w:rPr>
                <w:noProof/>
                <w:color w:val="auto"/>
                <w:sz w:val="20"/>
                <w:szCs w:val="20"/>
              </w:rPr>
              <w:t>Document stratégique</w:t>
            </w:r>
          </w:p>
        </w:tc>
        <w:tc>
          <w:tcPr>
            <w:tcW w:w="3261" w:type="dxa"/>
            <w:tcBorders>
              <w:right w:val="single" w:sz="4" w:space="0" w:color="auto"/>
            </w:tcBorders>
          </w:tcPr>
          <w:p>
            <w:pPr>
              <w:pStyle w:val="Default"/>
              <w:spacing w:before="40" w:after="40"/>
              <w:jc w:val="center"/>
              <w:rPr>
                <w:noProof/>
                <w:color w:val="auto"/>
                <w:sz w:val="20"/>
                <w:szCs w:val="20"/>
              </w:rPr>
            </w:pPr>
            <w:r>
              <w:rPr>
                <w:noProof/>
                <w:color w:val="auto"/>
                <w:sz w:val="20"/>
                <w:szCs w:val="20"/>
              </w:rPr>
              <w:t>T3 2017</w:t>
            </w: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rPr>
            </w:pPr>
            <w:r>
              <w:rPr>
                <w:noProof/>
                <w:color w:val="auto"/>
                <w:sz w:val="20"/>
                <w:szCs w:val="20"/>
              </w:rPr>
              <w:t>- Annexe du document stratégique</w:t>
            </w:r>
          </w:p>
        </w:tc>
        <w:tc>
          <w:tcPr>
            <w:tcW w:w="3261" w:type="dxa"/>
            <w:tcBorders>
              <w:right w:val="single" w:sz="4" w:space="0" w:color="auto"/>
            </w:tcBorders>
          </w:tcPr>
          <w:p>
            <w:pPr>
              <w:pStyle w:val="Default"/>
              <w:spacing w:before="40" w:after="40"/>
              <w:jc w:val="center"/>
              <w:rPr>
                <w:noProof/>
                <w:color w:val="auto"/>
                <w:sz w:val="20"/>
                <w:szCs w:val="20"/>
              </w:rPr>
            </w:pPr>
            <w:r>
              <w:rPr>
                <w:noProof/>
                <w:color w:val="auto"/>
                <w:sz w:val="20"/>
                <w:szCs w:val="20"/>
              </w:rPr>
              <w:t>T3 2023</w:t>
            </w:r>
          </w:p>
        </w:tc>
      </w:tr>
      <w:tr>
        <w:tc>
          <w:tcPr>
            <w:tcW w:w="426" w:type="dxa"/>
            <w:tcBorders>
              <w:top w:val="nil"/>
              <w:bottom w:val="single" w:sz="4" w:space="0" w:color="auto"/>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rPr>
            </w:pPr>
            <w:r>
              <w:rPr>
                <w:noProof/>
                <w:color w:val="auto"/>
                <w:sz w:val="20"/>
                <w:szCs w:val="20"/>
              </w:rPr>
              <w:t>- Feu vert</w:t>
            </w:r>
          </w:p>
        </w:tc>
        <w:tc>
          <w:tcPr>
            <w:tcW w:w="3261" w:type="dxa"/>
            <w:tcBorders>
              <w:right w:val="single" w:sz="4" w:space="0" w:color="auto"/>
            </w:tcBorders>
          </w:tcPr>
          <w:p>
            <w:pPr>
              <w:pStyle w:val="Default"/>
              <w:spacing w:before="40" w:after="40"/>
              <w:jc w:val="center"/>
              <w:rPr>
                <w:noProof/>
                <w:color w:val="auto"/>
                <w:sz w:val="20"/>
                <w:szCs w:val="20"/>
              </w:rPr>
            </w:pPr>
            <w:r>
              <w:rPr>
                <w:noProof/>
                <w:color w:val="auto"/>
                <w:sz w:val="20"/>
                <w:szCs w:val="20"/>
              </w:rPr>
              <w:t>T3 2023</w:t>
            </w:r>
          </w:p>
        </w:tc>
      </w:tr>
      <w:tr>
        <w:tc>
          <w:tcPr>
            <w:tcW w:w="426" w:type="dxa"/>
            <w:tcBorders>
              <w:bottom w:val="nil"/>
            </w:tcBorders>
          </w:tcPr>
          <w:p>
            <w:pPr>
              <w:pStyle w:val="Default"/>
              <w:spacing w:before="40" w:after="40"/>
              <w:jc w:val="both"/>
              <w:rPr>
                <w:noProof/>
                <w:color w:val="auto"/>
                <w:sz w:val="20"/>
                <w:szCs w:val="20"/>
              </w:rPr>
            </w:pPr>
            <w:r>
              <w:rPr>
                <w:noProof/>
                <w:color w:val="auto"/>
                <w:sz w:val="20"/>
                <w:szCs w:val="20"/>
              </w:rPr>
              <w:t>4</w:t>
            </w:r>
          </w:p>
        </w:tc>
        <w:tc>
          <w:tcPr>
            <w:tcW w:w="5244" w:type="dxa"/>
          </w:tcPr>
          <w:p>
            <w:pPr>
              <w:pStyle w:val="Default"/>
              <w:spacing w:before="40" w:after="40"/>
              <w:rPr>
                <w:b/>
                <w:noProof/>
                <w:color w:val="auto"/>
                <w:sz w:val="20"/>
                <w:szCs w:val="20"/>
              </w:rPr>
            </w:pPr>
            <w:r>
              <w:rPr>
                <w:b/>
                <w:noProof/>
                <w:color w:val="auto"/>
                <w:sz w:val="20"/>
                <w:szCs w:val="20"/>
              </w:rPr>
              <w:t>Projet informatique</w:t>
            </w:r>
          </w:p>
        </w:tc>
        <w:tc>
          <w:tcPr>
            <w:tcW w:w="3261" w:type="dxa"/>
            <w:tcBorders>
              <w:right w:val="single" w:sz="4" w:space="0" w:color="auto"/>
            </w:tcBorders>
          </w:tcPr>
          <w:p>
            <w:pPr>
              <w:pStyle w:val="Default"/>
              <w:spacing w:before="40" w:after="40"/>
              <w:jc w:val="center"/>
              <w:rPr>
                <w:noProof/>
                <w:color w:val="auto"/>
                <w:sz w:val="20"/>
                <w:szCs w:val="20"/>
                <w:lang w:val="en-GB"/>
              </w:rPr>
            </w:pPr>
          </w:p>
        </w:tc>
      </w:tr>
      <w:tr>
        <w:tc>
          <w:tcPr>
            <w:tcW w:w="426" w:type="dxa"/>
            <w:tcBorders>
              <w:top w:val="nil"/>
              <w:bottom w:val="nil"/>
            </w:tcBorders>
          </w:tcPr>
          <w:p>
            <w:pPr>
              <w:pStyle w:val="Default"/>
              <w:spacing w:after="40"/>
              <w:jc w:val="both"/>
              <w:rPr>
                <w:noProof/>
                <w:color w:val="auto"/>
                <w:sz w:val="20"/>
                <w:szCs w:val="20"/>
                <w:lang w:val="en-GB"/>
              </w:rPr>
            </w:pPr>
          </w:p>
        </w:tc>
        <w:tc>
          <w:tcPr>
            <w:tcW w:w="5244" w:type="dxa"/>
          </w:tcPr>
          <w:p>
            <w:pPr>
              <w:pStyle w:val="Default"/>
              <w:spacing w:after="40"/>
              <w:rPr>
                <w:noProof/>
                <w:color w:val="auto"/>
                <w:sz w:val="20"/>
                <w:szCs w:val="20"/>
              </w:rPr>
            </w:pPr>
            <w:r>
              <w:rPr>
                <w:noProof/>
                <w:color w:val="auto"/>
                <w:sz w:val="20"/>
                <w:szCs w:val="20"/>
              </w:rPr>
              <w:t>- Spécifications relatives aux applications et aux services</w:t>
            </w:r>
          </w:p>
        </w:tc>
        <w:tc>
          <w:tcPr>
            <w:tcW w:w="3261" w:type="dxa"/>
            <w:tcBorders>
              <w:right w:val="single" w:sz="4" w:space="0" w:color="auto"/>
            </w:tcBorders>
          </w:tcPr>
          <w:p>
            <w:pPr>
              <w:pStyle w:val="Default"/>
              <w:spacing w:after="40"/>
              <w:jc w:val="center"/>
              <w:rPr>
                <w:noProof/>
                <w:color w:val="auto"/>
                <w:sz w:val="20"/>
                <w:szCs w:val="20"/>
              </w:rPr>
            </w:pPr>
            <w:r>
              <w:rPr>
                <w:noProof/>
                <w:color w:val="auto"/>
                <w:sz w:val="20"/>
                <w:szCs w:val="20"/>
              </w:rPr>
              <w:t>T2 2024</w:t>
            </w:r>
          </w:p>
        </w:tc>
      </w:tr>
      <w:tr>
        <w:tc>
          <w:tcPr>
            <w:tcW w:w="426" w:type="dxa"/>
            <w:tcBorders>
              <w:top w:val="nil"/>
              <w:bottom w:val="nil"/>
            </w:tcBorders>
          </w:tcPr>
          <w:p>
            <w:pPr>
              <w:pStyle w:val="Default"/>
              <w:spacing w:after="40"/>
              <w:jc w:val="both"/>
              <w:rPr>
                <w:noProof/>
                <w:color w:val="auto"/>
                <w:sz w:val="20"/>
                <w:szCs w:val="20"/>
                <w:lang w:val="en-GB"/>
              </w:rPr>
            </w:pPr>
          </w:p>
        </w:tc>
        <w:tc>
          <w:tcPr>
            <w:tcW w:w="5244" w:type="dxa"/>
          </w:tcPr>
          <w:p>
            <w:pPr>
              <w:pStyle w:val="Default"/>
              <w:spacing w:after="40"/>
              <w:rPr>
                <w:noProof/>
                <w:color w:val="auto"/>
                <w:sz w:val="20"/>
                <w:szCs w:val="20"/>
              </w:rPr>
            </w:pPr>
            <w:r>
              <w:rPr>
                <w:noProof/>
                <w:color w:val="auto"/>
                <w:sz w:val="20"/>
                <w:szCs w:val="20"/>
              </w:rPr>
              <w:t>- Spécifications techniques du système</w:t>
            </w:r>
          </w:p>
        </w:tc>
        <w:tc>
          <w:tcPr>
            <w:tcW w:w="3261" w:type="dxa"/>
            <w:tcBorders>
              <w:right w:val="single" w:sz="4" w:space="0" w:color="auto"/>
            </w:tcBorders>
          </w:tcPr>
          <w:p>
            <w:pPr>
              <w:pStyle w:val="Default"/>
              <w:spacing w:after="40"/>
              <w:jc w:val="center"/>
              <w:rPr>
                <w:noProof/>
                <w:color w:val="auto"/>
                <w:sz w:val="20"/>
                <w:szCs w:val="20"/>
              </w:rPr>
            </w:pPr>
            <w:r>
              <w:rPr>
                <w:noProof/>
                <w:color w:val="auto"/>
                <w:sz w:val="20"/>
                <w:szCs w:val="20"/>
              </w:rPr>
              <w:t>T2 2024</w:t>
            </w:r>
          </w:p>
        </w:tc>
      </w:tr>
      <w:tr>
        <w:tc>
          <w:tcPr>
            <w:tcW w:w="426" w:type="dxa"/>
            <w:tcBorders>
              <w:top w:val="nil"/>
              <w:bottom w:val="nil"/>
            </w:tcBorders>
          </w:tcPr>
          <w:p>
            <w:pPr>
              <w:pStyle w:val="Default"/>
              <w:spacing w:after="40"/>
              <w:jc w:val="both"/>
              <w:rPr>
                <w:noProof/>
                <w:color w:val="auto"/>
                <w:sz w:val="20"/>
                <w:szCs w:val="20"/>
                <w:lang w:val="en-GB"/>
              </w:rPr>
            </w:pPr>
          </w:p>
        </w:tc>
        <w:tc>
          <w:tcPr>
            <w:tcW w:w="5244" w:type="dxa"/>
          </w:tcPr>
          <w:p>
            <w:pPr>
              <w:pStyle w:val="Default"/>
              <w:spacing w:after="40"/>
              <w:rPr>
                <w:b/>
                <w:noProof/>
                <w:color w:val="auto"/>
                <w:sz w:val="20"/>
                <w:szCs w:val="20"/>
              </w:rPr>
            </w:pPr>
            <w:r>
              <w:rPr>
                <w:b/>
                <w:noProof/>
                <w:color w:val="auto"/>
                <w:sz w:val="20"/>
                <w:szCs w:val="20"/>
              </w:rPr>
              <w:t>Phase de construction</w:t>
            </w:r>
          </w:p>
        </w:tc>
        <w:tc>
          <w:tcPr>
            <w:tcW w:w="3261" w:type="dxa"/>
            <w:tcBorders>
              <w:right w:val="single" w:sz="4" w:space="0" w:color="auto"/>
            </w:tcBorders>
          </w:tcPr>
          <w:p>
            <w:pPr>
              <w:pStyle w:val="Default"/>
              <w:spacing w:after="40"/>
              <w:jc w:val="center"/>
              <w:rPr>
                <w:noProof/>
                <w:color w:val="auto"/>
                <w:sz w:val="20"/>
                <w:szCs w:val="20"/>
                <w:lang w:val="en-GB"/>
              </w:rPr>
            </w:pPr>
          </w:p>
        </w:tc>
      </w:tr>
      <w:tr>
        <w:tc>
          <w:tcPr>
            <w:tcW w:w="426" w:type="dxa"/>
            <w:tcBorders>
              <w:top w:val="nil"/>
              <w:bottom w:val="nil"/>
            </w:tcBorders>
          </w:tcPr>
          <w:p>
            <w:pPr>
              <w:pStyle w:val="Default"/>
              <w:spacing w:after="40"/>
              <w:jc w:val="both"/>
              <w:rPr>
                <w:noProof/>
                <w:color w:val="auto"/>
                <w:sz w:val="20"/>
                <w:szCs w:val="20"/>
                <w:lang w:val="en-GB"/>
              </w:rPr>
            </w:pPr>
          </w:p>
        </w:tc>
        <w:tc>
          <w:tcPr>
            <w:tcW w:w="5244" w:type="dxa"/>
          </w:tcPr>
          <w:p>
            <w:pPr>
              <w:pStyle w:val="Default"/>
              <w:spacing w:after="40"/>
              <w:rPr>
                <w:noProof/>
                <w:color w:val="auto"/>
                <w:sz w:val="20"/>
                <w:szCs w:val="20"/>
              </w:rPr>
            </w:pPr>
            <w:r>
              <w:rPr>
                <w:noProof/>
                <w:color w:val="auto"/>
                <w:sz w:val="20"/>
                <w:szCs w:val="20"/>
              </w:rPr>
              <w:t>- Mise en œuvre des services centraux</w:t>
            </w:r>
          </w:p>
        </w:tc>
        <w:tc>
          <w:tcPr>
            <w:tcW w:w="3261" w:type="dxa"/>
            <w:tcBorders>
              <w:right w:val="single" w:sz="4" w:space="0" w:color="auto"/>
            </w:tcBorders>
          </w:tcPr>
          <w:p>
            <w:pPr>
              <w:pStyle w:val="Default"/>
              <w:spacing w:after="40"/>
              <w:jc w:val="center"/>
              <w:rPr>
                <w:noProof/>
                <w:color w:val="auto"/>
                <w:sz w:val="20"/>
                <w:szCs w:val="20"/>
              </w:rPr>
            </w:pPr>
            <w:r>
              <w:rPr>
                <w:noProof/>
                <w:color w:val="auto"/>
                <w:sz w:val="20"/>
                <w:szCs w:val="20"/>
              </w:rPr>
              <w:t>T3 2024</w:t>
            </w:r>
          </w:p>
        </w:tc>
      </w:tr>
      <w:tr>
        <w:tc>
          <w:tcPr>
            <w:tcW w:w="426" w:type="dxa"/>
            <w:tcBorders>
              <w:top w:val="nil"/>
              <w:bottom w:val="nil"/>
            </w:tcBorders>
          </w:tcPr>
          <w:p>
            <w:pPr>
              <w:pStyle w:val="Default"/>
              <w:spacing w:after="40"/>
              <w:jc w:val="both"/>
              <w:rPr>
                <w:noProof/>
                <w:color w:val="auto"/>
                <w:sz w:val="20"/>
                <w:szCs w:val="20"/>
                <w:lang w:val="en-GB"/>
              </w:rPr>
            </w:pPr>
          </w:p>
        </w:tc>
        <w:tc>
          <w:tcPr>
            <w:tcW w:w="5244" w:type="dxa"/>
          </w:tcPr>
          <w:p>
            <w:pPr>
              <w:pStyle w:val="Default"/>
              <w:spacing w:after="40"/>
              <w:rPr>
                <w:noProof/>
                <w:color w:val="auto"/>
                <w:sz w:val="20"/>
                <w:szCs w:val="20"/>
              </w:rPr>
            </w:pPr>
            <w:r>
              <w:rPr>
                <w:noProof/>
                <w:color w:val="auto"/>
                <w:sz w:val="20"/>
                <w:szCs w:val="20"/>
              </w:rPr>
              <w:t>- Intégration des services dans les systèmes nationaux</w:t>
            </w:r>
          </w:p>
        </w:tc>
        <w:tc>
          <w:tcPr>
            <w:tcW w:w="3261" w:type="dxa"/>
            <w:tcBorders>
              <w:right w:val="single" w:sz="4" w:space="0" w:color="auto"/>
            </w:tcBorders>
          </w:tcPr>
          <w:p>
            <w:pPr>
              <w:pStyle w:val="Default"/>
              <w:spacing w:after="40"/>
              <w:jc w:val="center"/>
              <w:rPr>
                <w:noProof/>
                <w:color w:val="auto"/>
                <w:sz w:val="20"/>
                <w:szCs w:val="20"/>
              </w:rPr>
            </w:pPr>
            <w:r>
              <w:rPr>
                <w:noProof/>
                <w:color w:val="auto"/>
                <w:sz w:val="20"/>
                <w:szCs w:val="20"/>
              </w:rPr>
              <w:t>À partir de T4 2024</w:t>
            </w:r>
          </w:p>
        </w:tc>
      </w:tr>
      <w:tr>
        <w:tc>
          <w:tcPr>
            <w:tcW w:w="426" w:type="dxa"/>
            <w:tcBorders>
              <w:top w:val="nil"/>
              <w:bottom w:val="nil"/>
            </w:tcBorders>
          </w:tcPr>
          <w:p>
            <w:pPr>
              <w:pStyle w:val="Default"/>
              <w:spacing w:after="40"/>
              <w:jc w:val="both"/>
              <w:rPr>
                <w:noProof/>
                <w:color w:val="auto"/>
                <w:sz w:val="20"/>
                <w:szCs w:val="20"/>
                <w:lang w:val="en-GB"/>
              </w:rPr>
            </w:pPr>
          </w:p>
        </w:tc>
        <w:tc>
          <w:tcPr>
            <w:tcW w:w="5244" w:type="dxa"/>
          </w:tcPr>
          <w:p>
            <w:pPr>
              <w:pStyle w:val="Default"/>
              <w:spacing w:after="40"/>
              <w:rPr>
                <w:noProof/>
                <w:color w:val="auto"/>
                <w:sz w:val="20"/>
                <w:szCs w:val="20"/>
              </w:rPr>
            </w:pPr>
            <w:r>
              <w:rPr>
                <w:noProof/>
                <w:color w:val="auto"/>
                <w:sz w:val="20"/>
                <w:szCs w:val="20"/>
              </w:rPr>
              <w:t>- Mise en œuvre au niveau national</w:t>
            </w:r>
          </w:p>
        </w:tc>
        <w:tc>
          <w:tcPr>
            <w:tcW w:w="3261" w:type="dxa"/>
            <w:tcBorders>
              <w:right w:val="single" w:sz="4" w:space="0" w:color="auto"/>
            </w:tcBorders>
          </w:tcPr>
          <w:p>
            <w:pPr>
              <w:pStyle w:val="Default"/>
              <w:spacing w:after="40"/>
              <w:jc w:val="center"/>
              <w:rPr>
                <w:noProof/>
                <w:color w:val="auto"/>
                <w:sz w:val="20"/>
                <w:szCs w:val="20"/>
              </w:rPr>
            </w:pPr>
            <w:r>
              <w:rPr>
                <w:noProof/>
                <w:color w:val="auto"/>
                <w:sz w:val="20"/>
                <w:szCs w:val="20"/>
              </w:rPr>
              <w:t>À partir de T4 2024</w:t>
            </w:r>
          </w:p>
        </w:tc>
      </w:tr>
      <w:tr>
        <w:tc>
          <w:tcPr>
            <w:tcW w:w="426" w:type="dxa"/>
            <w:tcBorders>
              <w:top w:val="nil"/>
              <w:bottom w:val="nil"/>
            </w:tcBorders>
          </w:tcPr>
          <w:p>
            <w:pPr>
              <w:pStyle w:val="Default"/>
              <w:spacing w:after="40"/>
              <w:jc w:val="both"/>
              <w:rPr>
                <w:noProof/>
                <w:color w:val="auto"/>
                <w:sz w:val="20"/>
                <w:szCs w:val="20"/>
                <w:lang w:val="en-GB"/>
              </w:rPr>
            </w:pPr>
          </w:p>
        </w:tc>
        <w:tc>
          <w:tcPr>
            <w:tcW w:w="5244" w:type="dxa"/>
          </w:tcPr>
          <w:p>
            <w:pPr>
              <w:pStyle w:val="Default"/>
              <w:spacing w:after="40"/>
              <w:rPr>
                <w:b/>
                <w:noProof/>
                <w:color w:val="auto"/>
                <w:sz w:val="20"/>
                <w:szCs w:val="20"/>
              </w:rPr>
            </w:pPr>
            <w:r>
              <w:rPr>
                <w:b/>
                <w:noProof/>
                <w:color w:val="auto"/>
                <w:sz w:val="20"/>
                <w:szCs w:val="20"/>
              </w:rPr>
              <w:t>Phase de transition</w:t>
            </w:r>
          </w:p>
        </w:tc>
        <w:tc>
          <w:tcPr>
            <w:tcW w:w="3261" w:type="dxa"/>
            <w:tcBorders>
              <w:right w:val="single" w:sz="4" w:space="0" w:color="auto"/>
            </w:tcBorders>
          </w:tcPr>
          <w:p>
            <w:pPr>
              <w:pStyle w:val="Default"/>
              <w:spacing w:after="40"/>
              <w:jc w:val="center"/>
              <w:rPr>
                <w:noProof/>
                <w:color w:val="auto"/>
                <w:sz w:val="20"/>
                <w:szCs w:val="20"/>
                <w:lang w:val="en-GB"/>
              </w:rPr>
            </w:pPr>
          </w:p>
        </w:tc>
      </w:tr>
      <w:tr>
        <w:tc>
          <w:tcPr>
            <w:tcW w:w="426" w:type="dxa"/>
            <w:tcBorders>
              <w:top w:val="nil"/>
              <w:bottom w:val="nil"/>
            </w:tcBorders>
          </w:tcPr>
          <w:p>
            <w:pPr>
              <w:pStyle w:val="Default"/>
              <w:spacing w:after="40"/>
              <w:jc w:val="both"/>
              <w:rPr>
                <w:noProof/>
                <w:color w:val="auto"/>
                <w:sz w:val="20"/>
                <w:szCs w:val="20"/>
                <w:lang w:val="en-GB"/>
              </w:rPr>
            </w:pPr>
          </w:p>
        </w:tc>
        <w:tc>
          <w:tcPr>
            <w:tcW w:w="5244" w:type="dxa"/>
          </w:tcPr>
          <w:p>
            <w:pPr>
              <w:pStyle w:val="Default"/>
              <w:spacing w:after="40"/>
              <w:rPr>
                <w:noProof/>
                <w:color w:val="auto"/>
                <w:sz w:val="20"/>
                <w:szCs w:val="20"/>
              </w:rPr>
            </w:pPr>
            <w:r>
              <w:rPr>
                <w:noProof/>
                <w:color w:val="auto"/>
                <w:sz w:val="20"/>
                <w:szCs w:val="20"/>
              </w:rPr>
              <w:t>- Déploiement</w:t>
            </w:r>
          </w:p>
        </w:tc>
        <w:tc>
          <w:tcPr>
            <w:tcW w:w="3261" w:type="dxa"/>
            <w:tcBorders>
              <w:right w:val="single" w:sz="4" w:space="0" w:color="auto"/>
            </w:tcBorders>
          </w:tcPr>
          <w:p>
            <w:pPr>
              <w:pStyle w:val="Default"/>
              <w:spacing w:after="40"/>
              <w:jc w:val="center"/>
              <w:rPr>
                <w:noProof/>
                <w:color w:val="auto"/>
                <w:sz w:val="20"/>
                <w:szCs w:val="20"/>
              </w:rPr>
            </w:pPr>
            <w:r>
              <w:rPr>
                <w:noProof/>
                <w:color w:val="auto"/>
                <w:sz w:val="20"/>
                <w:szCs w:val="20"/>
              </w:rPr>
              <w:t>T4 2024</w:t>
            </w:r>
          </w:p>
        </w:tc>
      </w:tr>
      <w:tr>
        <w:tc>
          <w:tcPr>
            <w:tcW w:w="426" w:type="dxa"/>
            <w:tcBorders>
              <w:top w:val="nil"/>
              <w:bottom w:val="single" w:sz="4" w:space="0" w:color="auto"/>
            </w:tcBorders>
          </w:tcPr>
          <w:p>
            <w:pPr>
              <w:pStyle w:val="Default"/>
              <w:spacing w:after="40"/>
              <w:jc w:val="both"/>
              <w:rPr>
                <w:noProof/>
                <w:color w:val="auto"/>
                <w:sz w:val="20"/>
                <w:szCs w:val="20"/>
                <w:lang w:val="en-GB"/>
              </w:rPr>
            </w:pPr>
          </w:p>
        </w:tc>
        <w:tc>
          <w:tcPr>
            <w:tcW w:w="5244" w:type="dxa"/>
          </w:tcPr>
          <w:p>
            <w:pPr>
              <w:pStyle w:val="Default"/>
              <w:spacing w:after="40"/>
              <w:rPr>
                <w:noProof/>
                <w:color w:val="auto"/>
                <w:sz w:val="20"/>
                <w:szCs w:val="20"/>
              </w:rPr>
            </w:pPr>
            <w:r>
              <w:rPr>
                <w:noProof/>
                <w:color w:val="auto"/>
                <w:sz w:val="20"/>
                <w:szCs w:val="20"/>
              </w:rPr>
              <w:t>- Tests de conformité</w:t>
            </w:r>
          </w:p>
        </w:tc>
        <w:tc>
          <w:tcPr>
            <w:tcW w:w="3261" w:type="dxa"/>
            <w:tcBorders>
              <w:right w:val="single" w:sz="4" w:space="0" w:color="auto"/>
            </w:tcBorders>
          </w:tcPr>
          <w:p>
            <w:pPr>
              <w:pStyle w:val="Default"/>
              <w:spacing w:after="40"/>
              <w:jc w:val="center"/>
              <w:rPr>
                <w:noProof/>
                <w:color w:val="auto"/>
                <w:sz w:val="20"/>
                <w:szCs w:val="20"/>
              </w:rPr>
            </w:pPr>
            <w:r>
              <w:rPr>
                <w:noProof/>
                <w:color w:val="auto"/>
                <w:sz w:val="20"/>
                <w:szCs w:val="20"/>
              </w:rPr>
              <w:t>À partir de T1 2025</w:t>
            </w:r>
          </w:p>
        </w:tc>
      </w:tr>
      <w:tr>
        <w:tc>
          <w:tcPr>
            <w:tcW w:w="426" w:type="dxa"/>
            <w:tcBorders>
              <w:bottom w:val="nil"/>
            </w:tcBorders>
          </w:tcPr>
          <w:p>
            <w:pPr>
              <w:pStyle w:val="Default"/>
              <w:spacing w:after="40"/>
              <w:jc w:val="both"/>
              <w:rPr>
                <w:noProof/>
                <w:color w:val="auto"/>
                <w:sz w:val="20"/>
                <w:szCs w:val="20"/>
              </w:rPr>
            </w:pPr>
            <w:r>
              <w:rPr>
                <w:noProof/>
                <w:color w:val="auto"/>
                <w:sz w:val="20"/>
                <w:szCs w:val="20"/>
              </w:rPr>
              <w:t>5</w:t>
            </w:r>
          </w:p>
        </w:tc>
        <w:tc>
          <w:tcPr>
            <w:tcW w:w="5244" w:type="dxa"/>
          </w:tcPr>
          <w:p>
            <w:pPr>
              <w:pStyle w:val="Default"/>
              <w:spacing w:after="40"/>
              <w:rPr>
                <w:b/>
                <w:noProof/>
                <w:color w:val="auto"/>
                <w:sz w:val="20"/>
                <w:szCs w:val="20"/>
              </w:rPr>
            </w:pPr>
            <w:r>
              <w:rPr>
                <w:b/>
                <w:noProof/>
                <w:color w:val="auto"/>
                <w:sz w:val="20"/>
                <w:szCs w:val="20"/>
              </w:rPr>
              <w:t>Fonctionnement</w:t>
            </w:r>
          </w:p>
        </w:tc>
        <w:tc>
          <w:tcPr>
            <w:tcW w:w="3261" w:type="dxa"/>
            <w:tcBorders>
              <w:right w:val="single" w:sz="4" w:space="0" w:color="auto"/>
            </w:tcBorders>
          </w:tcPr>
          <w:p>
            <w:pPr>
              <w:pStyle w:val="Default"/>
              <w:spacing w:after="40"/>
              <w:jc w:val="center"/>
              <w:rPr>
                <w:noProof/>
                <w:color w:val="auto"/>
                <w:sz w:val="20"/>
                <w:szCs w:val="20"/>
                <w:lang w:val="en-GB"/>
              </w:rPr>
            </w:pPr>
          </w:p>
        </w:tc>
      </w:tr>
      <w:tr>
        <w:tc>
          <w:tcPr>
            <w:tcW w:w="426" w:type="dxa"/>
            <w:tcBorders>
              <w:top w:val="nil"/>
              <w:bottom w:val="nil"/>
            </w:tcBorders>
          </w:tcPr>
          <w:p>
            <w:pPr>
              <w:pStyle w:val="Default"/>
              <w:spacing w:after="40"/>
              <w:jc w:val="both"/>
              <w:rPr>
                <w:noProof/>
                <w:color w:val="auto"/>
                <w:sz w:val="20"/>
                <w:szCs w:val="20"/>
                <w:lang w:val="en-GB"/>
              </w:rPr>
            </w:pPr>
          </w:p>
        </w:tc>
        <w:tc>
          <w:tcPr>
            <w:tcW w:w="5244" w:type="dxa"/>
          </w:tcPr>
          <w:p>
            <w:pPr>
              <w:pStyle w:val="Default"/>
              <w:spacing w:after="40"/>
              <w:rPr>
                <w:noProof/>
                <w:color w:val="auto"/>
                <w:sz w:val="20"/>
                <w:szCs w:val="20"/>
              </w:rPr>
            </w:pPr>
            <w:r>
              <w:rPr>
                <w:noProof/>
                <w:color w:val="auto"/>
                <w:sz w:val="20"/>
                <w:szCs w:val="20"/>
              </w:rPr>
              <w:t>- Commission, administrations des États membres et opérateurs (N.B. : il s’agit de la date de fonctionnement pour la Commission, les États membres procéderont à des tests de conformité à partir de T2 2020)</w:t>
            </w:r>
          </w:p>
        </w:tc>
        <w:tc>
          <w:tcPr>
            <w:tcW w:w="3261" w:type="dxa"/>
            <w:tcBorders>
              <w:right w:val="single" w:sz="4" w:space="0" w:color="auto"/>
            </w:tcBorders>
          </w:tcPr>
          <w:p>
            <w:pPr>
              <w:pStyle w:val="Default"/>
              <w:spacing w:after="40"/>
              <w:jc w:val="center"/>
              <w:rPr>
                <w:noProof/>
                <w:color w:val="auto"/>
                <w:sz w:val="20"/>
                <w:szCs w:val="20"/>
              </w:rPr>
            </w:pPr>
            <w:r>
              <w:rPr>
                <w:noProof/>
                <w:color w:val="auto"/>
                <w:sz w:val="20"/>
                <w:szCs w:val="20"/>
              </w:rPr>
              <w:t>T2 2025</w:t>
            </w:r>
          </w:p>
        </w:tc>
      </w:tr>
      <w:tr>
        <w:tc>
          <w:tcPr>
            <w:tcW w:w="426" w:type="dxa"/>
            <w:tcBorders>
              <w:top w:val="nil"/>
              <w:bottom w:val="single" w:sz="4" w:space="0" w:color="auto"/>
            </w:tcBorders>
          </w:tcPr>
          <w:p>
            <w:pPr>
              <w:pStyle w:val="Default"/>
              <w:spacing w:after="40"/>
              <w:jc w:val="both"/>
              <w:rPr>
                <w:noProof/>
                <w:color w:val="auto"/>
                <w:sz w:val="20"/>
                <w:szCs w:val="20"/>
                <w:lang w:val="en-GB"/>
              </w:rPr>
            </w:pPr>
          </w:p>
        </w:tc>
        <w:tc>
          <w:tcPr>
            <w:tcW w:w="5244" w:type="dxa"/>
          </w:tcPr>
          <w:p>
            <w:pPr>
              <w:pStyle w:val="Default"/>
              <w:spacing w:after="40"/>
              <w:rPr>
                <w:noProof/>
                <w:color w:val="auto"/>
                <w:sz w:val="20"/>
                <w:szCs w:val="20"/>
              </w:rPr>
            </w:pPr>
            <w:r>
              <w:rPr>
                <w:noProof/>
                <w:color w:val="auto"/>
                <w:sz w:val="20"/>
                <w:szCs w:val="20"/>
              </w:rPr>
              <w:t>- Pays tiers et opérateurs tiers (le cas échéant)</w:t>
            </w:r>
          </w:p>
        </w:tc>
        <w:tc>
          <w:tcPr>
            <w:tcW w:w="3261" w:type="dxa"/>
            <w:tcBorders>
              <w:right w:val="single" w:sz="4" w:space="0" w:color="auto"/>
            </w:tcBorders>
          </w:tcPr>
          <w:p>
            <w:pPr>
              <w:pStyle w:val="Default"/>
              <w:spacing w:after="40"/>
              <w:jc w:val="center"/>
              <w:rPr>
                <w:noProof/>
                <w:color w:val="auto"/>
                <w:sz w:val="20"/>
                <w:szCs w:val="20"/>
              </w:rPr>
            </w:pPr>
            <w:r>
              <w:rPr>
                <w:noProof/>
                <w:color w:val="auto"/>
                <w:sz w:val="20"/>
                <w:szCs w:val="20"/>
              </w:rPr>
              <w:t>n.d.</w:t>
            </w:r>
          </w:p>
        </w:tc>
      </w:tr>
      <w:tr>
        <w:tc>
          <w:tcPr>
            <w:tcW w:w="426" w:type="dxa"/>
            <w:tcBorders>
              <w:bottom w:val="nil"/>
            </w:tcBorders>
          </w:tcPr>
          <w:p>
            <w:pPr>
              <w:pStyle w:val="Default"/>
              <w:spacing w:after="40"/>
              <w:jc w:val="both"/>
              <w:rPr>
                <w:noProof/>
                <w:color w:val="auto"/>
                <w:sz w:val="20"/>
                <w:szCs w:val="20"/>
              </w:rPr>
            </w:pPr>
            <w:r>
              <w:rPr>
                <w:noProof/>
                <w:color w:val="auto"/>
                <w:sz w:val="20"/>
                <w:szCs w:val="20"/>
              </w:rPr>
              <w:t>6</w:t>
            </w:r>
          </w:p>
        </w:tc>
        <w:tc>
          <w:tcPr>
            <w:tcW w:w="5244" w:type="dxa"/>
          </w:tcPr>
          <w:p>
            <w:pPr>
              <w:pStyle w:val="Default"/>
              <w:spacing w:after="40"/>
              <w:rPr>
                <w:b/>
                <w:noProof/>
                <w:color w:val="auto"/>
                <w:sz w:val="20"/>
                <w:szCs w:val="20"/>
              </w:rPr>
            </w:pPr>
            <w:r>
              <w:rPr>
                <w:b/>
                <w:noProof/>
                <w:color w:val="auto"/>
                <w:sz w:val="20"/>
                <w:szCs w:val="20"/>
              </w:rPr>
              <w:t>Soutien à la mise en œuvre (formation et communication)</w:t>
            </w:r>
          </w:p>
        </w:tc>
        <w:tc>
          <w:tcPr>
            <w:tcW w:w="3261" w:type="dxa"/>
            <w:tcBorders>
              <w:right w:val="single" w:sz="4" w:space="0" w:color="auto"/>
            </w:tcBorders>
          </w:tcPr>
          <w:p>
            <w:pPr>
              <w:pStyle w:val="Default"/>
              <w:spacing w:after="40"/>
              <w:jc w:val="center"/>
              <w:rPr>
                <w:noProof/>
                <w:color w:val="auto"/>
                <w:sz w:val="20"/>
                <w:szCs w:val="20"/>
                <w:lang w:val="fr-BE"/>
              </w:rPr>
            </w:pPr>
          </w:p>
        </w:tc>
      </w:tr>
      <w:tr>
        <w:tc>
          <w:tcPr>
            <w:tcW w:w="426" w:type="dxa"/>
            <w:tcBorders>
              <w:top w:val="nil"/>
              <w:bottom w:val="nil"/>
            </w:tcBorders>
          </w:tcPr>
          <w:p>
            <w:pPr>
              <w:pStyle w:val="Default"/>
              <w:spacing w:after="40"/>
              <w:jc w:val="both"/>
              <w:rPr>
                <w:noProof/>
                <w:color w:val="auto"/>
                <w:sz w:val="20"/>
                <w:szCs w:val="20"/>
                <w:lang w:val="fr-BE"/>
              </w:rPr>
            </w:pPr>
          </w:p>
        </w:tc>
        <w:tc>
          <w:tcPr>
            <w:tcW w:w="5244" w:type="dxa"/>
          </w:tcPr>
          <w:p>
            <w:pPr>
              <w:pStyle w:val="Default"/>
              <w:spacing w:after="40"/>
              <w:rPr>
                <w:noProof/>
                <w:color w:val="auto"/>
                <w:sz w:val="20"/>
                <w:szCs w:val="20"/>
              </w:rPr>
            </w:pPr>
            <w:r>
              <w:rPr>
                <w:noProof/>
                <w:color w:val="auto"/>
                <w:sz w:val="20"/>
                <w:szCs w:val="20"/>
              </w:rPr>
              <w:t>- Formation et communication développées au niveau central</w:t>
            </w:r>
          </w:p>
        </w:tc>
        <w:tc>
          <w:tcPr>
            <w:tcW w:w="3261" w:type="dxa"/>
            <w:tcBorders>
              <w:right w:val="single" w:sz="4" w:space="0" w:color="auto"/>
            </w:tcBorders>
          </w:tcPr>
          <w:p>
            <w:pPr>
              <w:pStyle w:val="Default"/>
              <w:spacing w:after="40"/>
              <w:jc w:val="center"/>
              <w:rPr>
                <w:noProof/>
                <w:color w:val="auto"/>
                <w:sz w:val="20"/>
                <w:szCs w:val="20"/>
              </w:rPr>
            </w:pPr>
            <w:r>
              <w:rPr>
                <w:noProof/>
                <w:color w:val="auto"/>
                <w:sz w:val="20"/>
                <w:szCs w:val="20"/>
              </w:rPr>
              <w:t>n.d.</w:t>
            </w:r>
          </w:p>
        </w:tc>
      </w:tr>
      <w:tr>
        <w:tc>
          <w:tcPr>
            <w:tcW w:w="426" w:type="dxa"/>
            <w:tcBorders>
              <w:top w:val="nil"/>
            </w:tcBorders>
          </w:tcPr>
          <w:p>
            <w:pPr>
              <w:pStyle w:val="Default"/>
              <w:spacing w:after="40"/>
              <w:jc w:val="both"/>
              <w:rPr>
                <w:noProof/>
                <w:color w:val="auto"/>
                <w:sz w:val="20"/>
                <w:szCs w:val="20"/>
                <w:lang w:val="en-GB"/>
              </w:rPr>
            </w:pPr>
          </w:p>
        </w:tc>
        <w:tc>
          <w:tcPr>
            <w:tcW w:w="5244" w:type="dxa"/>
          </w:tcPr>
          <w:p>
            <w:pPr>
              <w:pStyle w:val="Default"/>
              <w:spacing w:after="40"/>
              <w:rPr>
                <w:noProof/>
                <w:color w:val="auto"/>
                <w:sz w:val="20"/>
                <w:szCs w:val="20"/>
              </w:rPr>
            </w:pPr>
            <w:r>
              <w:rPr>
                <w:noProof/>
                <w:color w:val="auto"/>
                <w:sz w:val="20"/>
                <w:szCs w:val="20"/>
              </w:rPr>
              <w:t>- Formation et communication au niveau national</w:t>
            </w:r>
          </w:p>
        </w:tc>
        <w:tc>
          <w:tcPr>
            <w:tcW w:w="3261" w:type="dxa"/>
            <w:tcBorders>
              <w:right w:val="single" w:sz="4" w:space="0" w:color="auto"/>
            </w:tcBorders>
          </w:tcPr>
          <w:p>
            <w:pPr>
              <w:pStyle w:val="Default"/>
              <w:spacing w:after="40"/>
              <w:jc w:val="center"/>
              <w:rPr>
                <w:noProof/>
                <w:color w:val="auto"/>
                <w:sz w:val="20"/>
                <w:szCs w:val="20"/>
              </w:rPr>
            </w:pPr>
            <w:r>
              <w:rPr>
                <w:noProof/>
                <w:color w:val="auto"/>
                <w:sz w:val="20"/>
                <w:szCs w:val="20"/>
              </w:rPr>
              <w:t>n.d.</w:t>
            </w:r>
          </w:p>
        </w:tc>
      </w:tr>
    </w:tbl>
    <w:p>
      <w:pPr>
        <w:pStyle w:val="Default"/>
        <w:spacing w:before="240"/>
        <w:jc w:val="both"/>
        <w:rPr>
          <w:noProof/>
          <w:color w:val="auto"/>
          <w:sz w:val="20"/>
          <w:szCs w:val="20"/>
        </w:rPr>
      </w:pPr>
      <w:r>
        <w:rPr>
          <w:noProof/>
          <w:color w:val="auto"/>
          <w:sz w:val="20"/>
          <w:szCs w:val="20"/>
        </w:rPr>
        <w:t>* Les dispositions actuelles renvoient au règlement (UE) 2019/880.</w:t>
      </w:r>
    </w:p>
    <w:p>
      <w:pPr>
        <w:pStyle w:val="Default"/>
        <w:spacing w:after="240"/>
        <w:jc w:val="both"/>
        <w:rPr>
          <w:noProof/>
          <w:color w:val="auto"/>
          <w:sz w:val="20"/>
          <w:szCs w:val="20"/>
        </w:rPr>
      </w:pPr>
      <w:r>
        <w:rPr>
          <w:noProof/>
          <w:color w:val="auto"/>
          <w:sz w:val="20"/>
          <w:szCs w:val="20"/>
        </w:rPr>
        <w:t>** Les futures dispositions renvoient aux dispositions d’exécution appelées à être adoptées conformément au règlement (UE) 2019/880</w:t>
      </w:r>
    </w:p>
    <w:p>
      <w:pPr>
        <w:pStyle w:val="Default"/>
        <w:jc w:val="both"/>
        <w:rPr>
          <w:noProof/>
          <w:color w:val="auto"/>
          <w:sz w:val="20"/>
          <w:szCs w:val="20"/>
          <w:lang w:val="fr-BE"/>
        </w:rPr>
      </w:pPr>
    </w:p>
    <w:p>
      <w:pPr>
        <w:jc w:val="center"/>
        <w:rPr>
          <w:b/>
          <w:noProof/>
          <w:sz w:val="24"/>
          <w:szCs w:val="24"/>
          <w:lang w:val="fr-BE"/>
        </w:rPr>
        <w:sectPr>
          <w:headerReference w:type="even" r:id="rId19"/>
          <w:headerReference w:type="default" r:id="rId20"/>
          <w:footerReference w:type="even" r:id="rId21"/>
          <w:footerReference w:type="default" r:id="rId22"/>
          <w:headerReference w:type="first" r:id="rId23"/>
          <w:footerReference w:type="first" r:id="rId24"/>
          <w:pgSz w:w="11906" w:h="16838"/>
          <w:pgMar w:top="1135" w:right="1417" w:bottom="1135" w:left="1417" w:header="567" w:footer="454" w:gutter="0"/>
          <w:cols w:space="720"/>
          <w:docGrid w:linePitch="360"/>
        </w:sectPr>
      </w:pPr>
    </w:p>
    <w:p>
      <w:pPr>
        <w:pStyle w:val="Heading1"/>
        <w:spacing w:after="240"/>
        <w:jc w:val="center"/>
        <w:rPr>
          <w:noProof/>
        </w:rPr>
      </w:pPr>
      <w:bookmarkStart w:id="10" w:name="_Toc45723036"/>
      <w:r>
        <w:rPr>
          <w:noProof/>
        </w:rPr>
        <w:t>Annexe II: Principales phases du projet et calendrier des étapes essentielles</w:t>
      </w:r>
      <w:bookmarkEnd w:id="10"/>
    </w:p>
    <w:p>
      <w:pPr>
        <w:jc w:val="center"/>
        <w:rPr>
          <w:i/>
          <w:noProof/>
          <w:sz w:val="24"/>
          <w:szCs w:val="24"/>
        </w:rPr>
      </w:pPr>
      <w:r>
        <w:rPr>
          <w:noProof/>
          <w:lang w:val="en-GB" w:eastAsia="en-GB"/>
        </w:rPr>
        <w:drawing>
          <wp:inline distT="0" distB="0" distL="0" distR="0">
            <wp:extent cx="8891270" cy="4797943"/>
            <wp:effectExtent l="0" t="0" r="508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91270" cy="4797943"/>
                    </a:xfrm>
                    <a:prstGeom prst="rect">
                      <a:avLst/>
                    </a:prstGeom>
                    <a:noFill/>
                    <a:ln>
                      <a:noFill/>
                    </a:ln>
                  </pic:spPr>
                </pic:pic>
              </a:graphicData>
            </a:graphic>
          </wp:inline>
        </w:drawing>
      </w:r>
    </w:p>
    <w:sectPr>
      <w:headerReference w:type="even" r:id="rId26"/>
      <w:headerReference w:type="default" r:id="rId27"/>
      <w:footerReference w:type="even" r:id="rId28"/>
      <w:footerReference w:type="default" r:id="rId29"/>
      <w:headerReference w:type="first" r:id="rId30"/>
      <w:footerReference w:type="first" r:id="rId31"/>
      <w:pgSz w:w="16838" w:h="11906" w:orient="landscape"/>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25616"/>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37968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13</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JO L 151 du 7.6.2019, p. 1.</w:t>
      </w:r>
    </w:p>
  </w:footnote>
  <w:footnote w:id="3">
    <w:p>
      <w:pPr>
        <w:pStyle w:val="FootnoteText"/>
      </w:pPr>
      <w:r>
        <w:rPr>
          <w:rStyle w:val="FootnoteReference"/>
        </w:rPr>
        <w:footnoteRef/>
      </w:r>
      <w:r>
        <w:t xml:space="preserve"> Convention de l’UNESCO concernant les mesures à prendre pour interdire et empêcher l’importation, l’exportation et le transfert de propriété illicites des biens culturels, signée à Paris en 1970.</w:t>
      </w:r>
    </w:p>
  </w:footnote>
  <w:footnote w:id="4">
    <w:p>
      <w:pPr>
        <w:pStyle w:val="FootnoteText"/>
        <w:jc w:val="left"/>
      </w:pPr>
      <w:r>
        <w:rPr>
          <w:rStyle w:val="FootnoteReference"/>
        </w:rPr>
        <w:footnoteRef/>
      </w:r>
      <w:r>
        <w:t xml:space="preserve"> </w:t>
      </w:r>
      <w:hyperlink r:id="rId1" w:history="1">
        <w:r>
          <w:rPr>
            <w:rStyle w:val="Hyperlink"/>
          </w:rPr>
          <w:t>https://ec.europa.eu/taxation_customs/general-information-customs/electronic-customs/eu-single-window-environment-for-customs_fr</w:t>
        </w:r>
      </w:hyperlink>
      <w:r>
        <w:t xml:space="preserve"> </w:t>
      </w:r>
    </w:p>
  </w:footnote>
  <w:footnote w:id="5">
    <w:p>
      <w:pPr>
        <w:pStyle w:val="FootnoteText"/>
      </w:pPr>
      <w:r>
        <w:rPr>
          <w:rStyle w:val="FootnoteReference"/>
        </w:rPr>
        <w:footnoteRef/>
      </w:r>
      <w:r>
        <w:t xml:space="preserve"> Le placement de marchandises sous les régimes douaniers suivants est défini comme une «importation» dans le règlement: la mise en libre pratique; le stockage dans des entrepôts douaniers ou des zones franches; l’admission temporaire; la destination particulière, y compris le perfectionnement actif.</w:t>
      </w:r>
    </w:p>
  </w:footnote>
  <w:footnote w:id="6">
    <w:p>
      <w:pPr>
        <w:pStyle w:val="FootnoteText"/>
      </w:pPr>
      <w:r>
        <w:rPr>
          <w:rStyle w:val="FootnoteReference"/>
        </w:rPr>
        <w:footnoteRef/>
      </w:r>
      <w:r>
        <w:t xml:space="preserve"> Voir </w:t>
      </w:r>
      <w:hyperlink r:id="rId2" w:history="1">
        <w:r>
          <w:rPr>
            <w:rStyle w:val="Hyperlink"/>
          </w:rPr>
          <w:t>https://ec.europa.eu/taxation_customs/general-information-customs/electronic-customs_fr</w:t>
        </w:r>
      </w:hyperlink>
      <w:r>
        <w:t>.</w:t>
      </w:r>
    </w:p>
  </w:footnote>
  <w:footnote w:id="7">
    <w:p>
      <w:pPr>
        <w:pStyle w:val="FootnoteText"/>
      </w:pPr>
      <w:r>
        <w:t>Décision nº 70/2008/CE du Parlement européen et du Conseil du 15 janvier 2008 relative à un environnement sans support papier pour la douane et le commerce (JO L 23 du 26.1.2008, p. 21).</w:t>
      </w:r>
    </w:p>
  </w:footnote>
  <w:footnote w:id="8">
    <w:p>
      <w:pPr>
        <w:pStyle w:val="FootnoteText"/>
      </w:pPr>
      <w:r>
        <w:rPr>
          <w:rStyle w:val="FootnoteReference"/>
        </w:rPr>
        <w:footnoteRef/>
      </w:r>
      <w:r>
        <w:t xml:space="preserve"> </w:t>
      </w:r>
      <w:hyperlink r:id="rId3" w:history="1">
        <w:r>
          <w:rPr>
            <w:rStyle w:val="Hyperlink"/>
          </w:rPr>
          <w:t>https://ec.europa.eu/taxation_customs/sites/taxation/files/2019_masp_annex3_en.pdf</w:t>
        </w:r>
      </w:hyperlink>
      <w:r>
        <w:t xml:space="preserve"> </w:t>
      </w:r>
    </w:p>
  </w:footnote>
  <w:footnote w:id="9">
    <w:p>
      <w:pPr>
        <w:pStyle w:val="FootnoteText"/>
      </w:pPr>
      <w:r>
        <w:rPr>
          <w:rStyle w:val="FootnoteReference"/>
        </w:rPr>
        <w:footnoteRef/>
      </w:r>
      <w:r>
        <w:t xml:space="preserve"> </w:t>
      </w:r>
      <w:hyperlink r:id="rId4" w:history="1">
        <w:r>
          <w:rPr>
            <w:rStyle w:val="Hyperlink"/>
          </w:rPr>
          <w:t>https://ec.europa.eu/taxation_customs/sites/taxation/files/2019_masp_annex4_en.pdf</w:t>
        </w:r>
      </w:hyperlink>
      <w:r>
        <w:t xml:space="preserve"> </w:t>
      </w:r>
    </w:p>
  </w:footnote>
  <w:footnote w:id="10">
    <w:p>
      <w:pPr>
        <w:pStyle w:val="FootnoteText"/>
      </w:pPr>
      <w:r>
        <w:rPr>
          <w:rStyle w:val="FootnoteReference"/>
        </w:rPr>
        <w:footnoteRef/>
      </w:r>
      <w:r>
        <w:t xml:space="preserve"> </w:t>
      </w:r>
      <w:hyperlink r:id="rId5" w:history="1">
        <w:r>
          <w:rPr>
            <w:rStyle w:val="Hyperlink"/>
          </w:rPr>
          <w:t>https://ec.europa.eu/taxation_customs/sites/taxation/files/2019_masp_annex5_en.pdf</w:t>
        </w:r>
      </w:hyperlink>
      <w:r>
        <w:t xml:space="preserve"> </w:t>
      </w:r>
    </w:p>
  </w:footnote>
  <w:footnote w:id="11">
    <w:p>
      <w:pPr>
        <w:pStyle w:val="FootnoteText"/>
      </w:pPr>
      <w:r>
        <w:rPr>
          <w:rStyle w:val="FootnoteReference"/>
        </w:rPr>
        <w:footnoteRef/>
      </w:r>
      <w:r>
        <w:t xml:space="preserve"> Règlement (CE) nº 116/2009 du Conseil du 18 décembre 2008 concernant l’exportation de biens culturels (JO L 39 du 10.2.2009, p. 1 à 7).</w:t>
      </w:r>
    </w:p>
  </w:footnote>
  <w:footnote w:id="12">
    <w:p>
      <w:pPr>
        <w:pStyle w:val="FootnoteText"/>
      </w:pPr>
      <w:r>
        <w:rPr>
          <w:rStyle w:val="FootnoteReference"/>
          <w:lang w:val="en-GB"/>
        </w:rPr>
        <w:footnoteRef/>
      </w:r>
      <w:r>
        <w:t xml:space="preserve"> Avant la création de groupes d’experts aux fins du traité de Lisbonne, ces mêmes discussions avaient lieu au sein du comité du règlement (CE) nº 116/2009. Les membres du groupe d’experts sont globalement les mêmes que ceux qui se réunissent au sein de ce comité.</w:t>
      </w:r>
    </w:p>
  </w:footnote>
  <w:footnote w:id="13">
    <w:p>
      <w:pPr>
        <w:pStyle w:val="FootnoteText"/>
      </w:pPr>
      <w:r>
        <w:rPr>
          <w:rStyle w:val="FootnoteReference"/>
          <w:lang w:val="en-GB"/>
        </w:rPr>
        <w:footnoteRef/>
      </w:r>
      <w:r>
        <w:t xml:space="preserve"> Comme la numérisation du code des douanes de l’Union (CDU).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368"/>
    <w:multiLevelType w:val="hybridMultilevel"/>
    <w:tmpl w:val="A9D876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778EB"/>
    <w:multiLevelType w:val="hybridMultilevel"/>
    <w:tmpl w:val="658E5EBA"/>
    <w:lvl w:ilvl="0" w:tplc="F80A18B6">
      <w:numFmt w:val="bullet"/>
      <w:lvlText w:val=""/>
      <w:lvlJc w:val="left"/>
      <w:pPr>
        <w:ind w:left="1068" w:hanging="708"/>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60109AC"/>
    <w:multiLevelType w:val="hybridMultilevel"/>
    <w:tmpl w:val="666C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322687"/>
    <w:multiLevelType w:val="hybridMultilevel"/>
    <w:tmpl w:val="858A5D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D5E9A"/>
    <w:multiLevelType w:val="hybridMultilevel"/>
    <w:tmpl w:val="592A3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EE105F"/>
    <w:multiLevelType w:val="hybridMultilevel"/>
    <w:tmpl w:val="95960D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E2A11E8"/>
    <w:multiLevelType w:val="hybridMultilevel"/>
    <w:tmpl w:val="9F6A1A70"/>
    <w:lvl w:ilvl="0" w:tplc="B7BADE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797B02"/>
    <w:multiLevelType w:val="hybridMultilevel"/>
    <w:tmpl w:val="734C8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69402D"/>
    <w:multiLevelType w:val="hybridMultilevel"/>
    <w:tmpl w:val="6BC86388"/>
    <w:lvl w:ilvl="0" w:tplc="08090001">
      <w:start w:val="1"/>
      <w:numFmt w:val="bullet"/>
      <w:lvlText w:val=""/>
      <w:lvlJc w:val="left"/>
      <w:pPr>
        <w:ind w:left="1428" w:hanging="360"/>
      </w:pPr>
      <w:rPr>
        <w:rFonts w:ascii="Symbol" w:hAnsi="Symbol"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9">
    <w:nsid w:val="1698063C"/>
    <w:multiLevelType w:val="multilevel"/>
    <w:tmpl w:val="471683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9FB5F46"/>
    <w:multiLevelType w:val="hybridMultilevel"/>
    <w:tmpl w:val="1C96036C"/>
    <w:lvl w:ilvl="0" w:tplc="FEB2B44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1B3F7B98"/>
    <w:multiLevelType w:val="hybridMultilevel"/>
    <w:tmpl w:val="81007638"/>
    <w:lvl w:ilvl="0" w:tplc="FEB2B44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1DA21475"/>
    <w:multiLevelType w:val="multilevel"/>
    <w:tmpl w:val="471683B4"/>
    <w:lvl w:ilvl="0">
      <w:start w:val="1"/>
      <w:numFmt w:val="decimal"/>
      <w:lvlText w:val="%1."/>
      <w:lvlJc w:val="left"/>
      <w:pPr>
        <w:ind w:left="720" w:hanging="360"/>
      </w:pPr>
      <w:rPr>
        <w:rFonts w:hint="default"/>
      </w:rPr>
    </w:lvl>
    <w:lvl w:ilvl="1">
      <w:start w:val="1"/>
      <w:numFmt w:val="decimal"/>
      <w:isLgl/>
      <w:lvlText w:val="%1.%2"/>
      <w:lvlJc w:val="left"/>
      <w:pPr>
        <w:ind w:left="4329"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29E91AA8"/>
    <w:multiLevelType w:val="hybridMultilevel"/>
    <w:tmpl w:val="EC5418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CEB6492"/>
    <w:multiLevelType w:val="hybridMultilevel"/>
    <w:tmpl w:val="05BAF7E2"/>
    <w:lvl w:ilvl="0" w:tplc="168C3F4E">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2DF82EF0"/>
    <w:multiLevelType w:val="hybridMultilevel"/>
    <w:tmpl w:val="C78E2476"/>
    <w:lvl w:ilvl="0" w:tplc="5A361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F50F05"/>
    <w:multiLevelType w:val="multilevel"/>
    <w:tmpl w:val="8B187830"/>
    <w:lvl w:ilvl="0">
      <w:start w:val="1"/>
      <w:numFmt w:val="decimal"/>
      <w:lvlText w:val="%1."/>
      <w:lvlJc w:val="left"/>
      <w:pPr>
        <w:ind w:left="720" w:hanging="360"/>
      </w:pPr>
      <w:rPr>
        <w:rFonts w:hint="default"/>
      </w:rPr>
    </w:lvl>
    <w:lvl w:ilvl="1">
      <w:start w:val="1"/>
      <w:numFmt w:val="decimal"/>
      <w:isLgl/>
      <w:lvlText w:val="%1.%2"/>
      <w:lvlJc w:val="left"/>
      <w:pPr>
        <w:ind w:left="4329"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350D7098"/>
    <w:multiLevelType w:val="hybridMultilevel"/>
    <w:tmpl w:val="B30A12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38BB1EAA"/>
    <w:multiLevelType w:val="hybridMultilevel"/>
    <w:tmpl w:val="B102101A"/>
    <w:lvl w:ilvl="0" w:tplc="E4E6F064">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3A116806"/>
    <w:multiLevelType w:val="multilevel"/>
    <w:tmpl w:val="F45A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89380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3F315D7"/>
    <w:multiLevelType w:val="hybridMultilevel"/>
    <w:tmpl w:val="131A437C"/>
    <w:lvl w:ilvl="0" w:tplc="5A361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226D28"/>
    <w:multiLevelType w:val="multilevel"/>
    <w:tmpl w:val="471683B4"/>
    <w:lvl w:ilvl="0">
      <w:start w:val="1"/>
      <w:numFmt w:val="decimal"/>
      <w:lvlText w:val="%1."/>
      <w:lvlJc w:val="left"/>
      <w:pPr>
        <w:ind w:left="720" w:hanging="360"/>
      </w:pPr>
      <w:rPr>
        <w:rFonts w:hint="default"/>
      </w:rPr>
    </w:lvl>
    <w:lvl w:ilvl="1">
      <w:start w:val="1"/>
      <w:numFmt w:val="decimal"/>
      <w:isLgl/>
      <w:lvlText w:val="%1.%2"/>
      <w:lvlJc w:val="left"/>
      <w:pPr>
        <w:ind w:left="4329"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5">
    <w:nsid w:val="49F03D91"/>
    <w:multiLevelType w:val="hybridMultilevel"/>
    <w:tmpl w:val="239A4722"/>
    <w:lvl w:ilvl="0" w:tplc="080C0001">
      <w:start w:val="1"/>
      <w:numFmt w:val="bullet"/>
      <w:lvlText w:val=""/>
      <w:lvlJc w:val="left"/>
      <w:pPr>
        <w:ind w:left="776" w:hanging="360"/>
      </w:pPr>
      <w:rPr>
        <w:rFonts w:ascii="Symbol" w:hAnsi="Symbol" w:hint="default"/>
      </w:rPr>
    </w:lvl>
    <w:lvl w:ilvl="1" w:tplc="080C0003" w:tentative="1">
      <w:start w:val="1"/>
      <w:numFmt w:val="bullet"/>
      <w:lvlText w:val="o"/>
      <w:lvlJc w:val="left"/>
      <w:pPr>
        <w:ind w:left="1496" w:hanging="360"/>
      </w:pPr>
      <w:rPr>
        <w:rFonts w:ascii="Courier New" w:hAnsi="Courier New" w:cs="Courier New" w:hint="default"/>
      </w:rPr>
    </w:lvl>
    <w:lvl w:ilvl="2" w:tplc="080C0005" w:tentative="1">
      <w:start w:val="1"/>
      <w:numFmt w:val="bullet"/>
      <w:lvlText w:val=""/>
      <w:lvlJc w:val="left"/>
      <w:pPr>
        <w:ind w:left="2216" w:hanging="360"/>
      </w:pPr>
      <w:rPr>
        <w:rFonts w:ascii="Wingdings" w:hAnsi="Wingdings" w:hint="default"/>
      </w:rPr>
    </w:lvl>
    <w:lvl w:ilvl="3" w:tplc="080C0001" w:tentative="1">
      <w:start w:val="1"/>
      <w:numFmt w:val="bullet"/>
      <w:lvlText w:val=""/>
      <w:lvlJc w:val="left"/>
      <w:pPr>
        <w:ind w:left="2936" w:hanging="360"/>
      </w:pPr>
      <w:rPr>
        <w:rFonts w:ascii="Symbol" w:hAnsi="Symbol" w:hint="default"/>
      </w:rPr>
    </w:lvl>
    <w:lvl w:ilvl="4" w:tplc="080C0003" w:tentative="1">
      <w:start w:val="1"/>
      <w:numFmt w:val="bullet"/>
      <w:lvlText w:val="o"/>
      <w:lvlJc w:val="left"/>
      <w:pPr>
        <w:ind w:left="3656" w:hanging="360"/>
      </w:pPr>
      <w:rPr>
        <w:rFonts w:ascii="Courier New" w:hAnsi="Courier New" w:cs="Courier New" w:hint="default"/>
      </w:rPr>
    </w:lvl>
    <w:lvl w:ilvl="5" w:tplc="080C0005" w:tentative="1">
      <w:start w:val="1"/>
      <w:numFmt w:val="bullet"/>
      <w:lvlText w:val=""/>
      <w:lvlJc w:val="left"/>
      <w:pPr>
        <w:ind w:left="4376" w:hanging="360"/>
      </w:pPr>
      <w:rPr>
        <w:rFonts w:ascii="Wingdings" w:hAnsi="Wingdings" w:hint="default"/>
      </w:rPr>
    </w:lvl>
    <w:lvl w:ilvl="6" w:tplc="080C0001" w:tentative="1">
      <w:start w:val="1"/>
      <w:numFmt w:val="bullet"/>
      <w:lvlText w:val=""/>
      <w:lvlJc w:val="left"/>
      <w:pPr>
        <w:ind w:left="5096" w:hanging="360"/>
      </w:pPr>
      <w:rPr>
        <w:rFonts w:ascii="Symbol" w:hAnsi="Symbol" w:hint="default"/>
      </w:rPr>
    </w:lvl>
    <w:lvl w:ilvl="7" w:tplc="080C0003" w:tentative="1">
      <w:start w:val="1"/>
      <w:numFmt w:val="bullet"/>
      <w:lvlText w:val="o"/>
      <w:lvlJc w:val="left"/>
      <w:pPr>
        <w:ind w:left="5816" w:hanging="360"/>
      </w:pPr>
      <w:rPr>
        <w:rFonts w:ascii="Courier New" w:hAnsi="Courier New" w:cs="Courier New" w:hint="default"/>
      </w:rPr>
    </w:lvl>
    <w:lvl w:ilvl="8" w:tplc="080C0005" w:tentative="1">
      <w:start w:val="1"/>
      <w:numFmt w:val="bullet"/>
      <w:lvlText w:val=""/>
      <w:lvlJc w:val="left"/>
      <w:pPr>
        <w:ind w:left="6536" w:hanging="360"/>
      </w:pPr>
      <w:rPr>
        <w:rFonts w:ascii="Wingdings" w:hAnsi="Wingdings" w:hint="default"/>
      </w:rPr>
    </w:lvl>
  </w:abstractNum>
  <w:abstractNum w:abstractNumId="26">
    <w:nsid w:val="4A446A3C"/>
    <w:multiLevelType w:val="multilevel"/>
    <w:tmpl w:val="E14828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4C175371"/>
    <w:multiLevelType w:val="hybridMultilevel"/>
    <w:tmpl w:val="D146FAF2"/>
    <w:lvl w:ilvl="0" w:tplc="08090001">
      <w:start w:val="1"/>
      <w:numFmt w:val="bullet"/>
      <w:lvlText w:val=""/>
      <w:lvlJc w:val="left"/>
      <w:pPr>
        <w:ind w:left="1428" w:hanging="360"/>
      </w:pPr>
      <w:rPr>
        <w:rFonts w:ascii="Symbol" w:hAnsi="Symbol"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8">
    <w:nsid w:val="4F053BD8"/>
    <w:multiLevelType w:val="hybridMultilevel"/>
    <w:tmpl w:val="F920F3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519213DD"/>
    <w:multiLevelType w:val="multilevel"/>
    <w:tmpl w:val="471683B4"/>
    <w:lvl w:ilvl="0">
      <w:start w:val="1"/>
      <w:numFmt w:val="decimal"/>
      <w:lvlText w:val="%1."/>
      <w:lvlJc w:val="left"/>
      <w:pPr>
        <w:ind w:left="720" w:hanging="360"/>
      </w:pPr>
      <w:rPr>
        <w:rFonts w:hint="default"/>
      </w:rPr>
    </w:lvl>
    <w:lvl w:ilvl="1">
      <w:start w:val="1"/>
      <w:numFmt w:val="decimal"/>
      <w:isLgl/>
      <w:lvlText w:val="%1.%2"/>
      <w:lvlJc w:val="left"/>
      <w:pPr>
        <w:ind w:left="4329"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51E164CF"/>
    <w:multiLevelType w:val="hybridMultilevel"/>
    <w:tmpl w:val="3F28704C"/>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524A36B5"/>
    <w:multiLevelType w:val="hybridMultilevel"/>
    <w:tmpl w:val="EA14B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A21875"/>
    <w:multiLevelType w:val="hybridMultilevel"/>
    <w:tmpl w:val="D3363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5FF5A0C"/>
    <w:multiLevelType w:val="hybridMultilevel"/>
    <w:tmpl w:val="DF16F34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4">
    <w:nsid w:val="58F14F68"/>
    <w:multiLevelType w:val="hybridMultilevel"/>
    <w:tmpl w:val="29C6DC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B516E47"/>
    <w:multiLevelType w:val="multilevel"/>
    <w:tmpl w:val="E14828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5B5F1970"/>
    <w:multiLevelType w:val="multilevel"/>
    <w:tmpl w:val="471683B4"/>
    <w:lvl w:ilvl="0">
      <w:start w:val="1"/>
      <w:numFmt w:val="decimal"/>
      <w:lvlText w:val="%1."/>
      <w:lvlJc w:val="left"/>
      <w:pPr>
        <w:ind w:left="720" w:hanging="360"/>
      </w:pPr>
      <w:rPr>
        <w:rFonts w:hint="default"/>
      </w:rPr>
    </w:lvl>
    <w:lvl w:ilvl="1">
      <w:start w:val="1"/>
      <w:numFmt w:val="decimal"/>
      <w:isLgl/>
      <w:lvlText w:val="%1.%2"/>
      <w:lvlJc w:val="left"/>
      <w:pPr>
        <w:ind w:left="4329"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5C961ED9"/>
    <w:multiLevelType w:val="hybridMultilevel"/>
    <w:tmpl w:val="D3363B8A"/>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DFD773C"/>
    <w:multiLevelType w:val="hybridMultilevel"/>
    <w:tmpl w:val="0694BD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FA629A5"/>
    <w:multiLevelType w:val="hybridMultilevel"/>
    <w:tmpl w:val="BEF660BE"/>
    <w:lvl w:ilvl="0" w:tplc="A154B0F8">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0">
    <w:nsid w:val="626D33AA"/>
    <w:multiLevelType w:val="hybridMultilevel"/>
    <w:tmpl w:val="6BE48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665B7CEA"/>
    <w:multiLevelType w:val="hybridMultilevel"/>
    <w:tmpl w:val="D3363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AAA58B2"/>
    <w:multiLevelType w:val="hybridMultilevel"/>
    <w:tmpl w:val="38D247EE"/>
    <w:lvl w:ilvl="0" w:tplc="DC3A21C8">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nsid w:val="70D73057"/>
    <w:multiLevelType w:val="hybridMultilevel"/>
    <w:tmpl w:val="650E214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nsid w:val="71900421"/>
    <w:multiLevelType w:val="hybridMultilevel"/>
    <w:tmpl w:val="68528C9C"/>
    <w:lvl w:ilvl="0" w:tplc="A6AC7E6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A17039"/>
    <w:multiLevelType w:val="multilevel"/>
    <w:tmpl w:val="E148287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lang w:val="en-GB"/>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46">
    <w:nsid w:val="72AC132E"/>
    <w:multiLevelType w:val="hybridMultilevel"/>
    <w:tmpl w:val="17EABBC0"/>
    <w:lvl w:ilvl="0" w:tplc="9CA4E6FE">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7">
    <w:nsid w:val="7518646B"/>
    <w:multiLevelType w:val="hybridMultilevel"/>
    <w:tmpl w:val="53C8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71F320F"/>
    <w:multiLevelType w:val="hybridMultilevel"/>
    <w:tmpl w:val="F4142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44"/>
  </w:num>
  <w:num w:numId="4">
    <w:abstractNumId w:val="3"/>
  </w:num>
  <w:num w:numId="5">
    <w:abstractNumId w:val="0"/>
  </w:num>
  <w:num w:numId="6">
    <w:abstractNumId w:val="30"/>
  </w:num>
  <w:num w:numId="7">
    <w:abstractNumId w:val="21"/>
  </w:num>
  <w:num w:numId="8">
    <w:abstractNumId w:val="35"/>
  </w:num>
  <w:num w:numId="9">
    <w:abstractNumId w:val="26"/>
  </w:num>
  <w:num w:numId="10">
    <w:abstractNumId w:val="45"/>
  </w:num>
  <w:num w:numId="11">
    <w:abstractNumId w:val="9"/>
  </w:num>
  <w:num w:numId="12">
    <w:abstractNumId w:val="18"/>
  </w:num>
  <w:num w:numId="13">
    <w:abstractNumId w:val="1"/>
  </w:num>
  <w:num w:numId="14">
    <w:abstractNumId w:val="2"/>
  </w:num>
  <w:num w:numId="15">
    <w:abstractNumId w:val="5"/>
  </w:num>
  <w:num w:numId="16">
    <w:abstractNumId w:val="38"/>
  </w:num>
  <w:num w:numId="17">
    <w:abstractNumId w:val="6"/>
  </w:num>
  <w:num w:numId="18">
    <w:abstractNumId w:val="4"/>
  </w:num>
  <w:num w:numId="19">
    <w:abstractNumId w:val="31"/>
  </w:num>
  <w:num w:numId="20">
    <w:abstractNumId w:val="48"/>
  </w:num>
  <w:num w:numId="21">
    <w:abstractNumId w:val="34"/>
  </w:num>
  <w:num w:numId="22">
    <w:abstractNumId w:val="28"/>
  </w:num>
  <w:num w:numId="23">
    <w:abstractNumId w:val="40"/>
  </w:num>
  <w:num w:numId="24">
    <w:abstractNumId w:val="36"/>
  </w:num>
  <w:num w:numId="25">
    <w:abstractNumId w:val="23"/>
  </w:num>
  <w:num w:numId="26">
    <w:abstractNumId w:val="29"/>
  </w:num>
  <w:num w:numId="27">
    <w:abstractNumId w:val="13"/>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47"/>
  </w:num>
  <w:num w:numId="32">
    <w:abstractNumId w:val="15"/>
  </w:num>
  <w:num w:numId="33">
    <w:abstractNumId w:val="7"/>
  </w:num>
  <w:num w:numId="34">
    <w:abstractNumId w:val="46"/>
  </w:num>
  <w:num w:numId="35">
    <w:abstractNumId w:val="39"/>
  </w:num>
  <w:num w:numId="36">
    <w:abstractNumId w:val="41"/>
  </w:num>
  <w:num w:numId="37">
    <w:abstractNumId w:val="37"/>
  </w:num>
  <w:num w:numId="38">
    <w:abstractNumId w:val="32"/>
  </w:num>
  <w:num w:numId="39">
    <w:abstractNumId w:val="33"/>
  </w:num>
  <w:num w:numId="40">
    <w:abstractNumId w:val="8"/>
  </w:num>
  <w:num w:numId="41">
    <w:abstractNumId w:val="27"/>
  </w:num>
  <w:num w:numId="42">
    <w:abstractNumId w:val="42"/>
  </w:num>
  <w:num w:numId="43">
    <w:abstractNumId w:val="19"/>
  </w:num>
  <w:num w:numId="44">
    <w:abstractNumId w:val="25"/>
  </w:num>
  <w:num w:numId="45">
    <w:abstractNumId w:val="12"/>
  </w:num>
  <w:num w:numId="46">
    <w:abstractNumId w:val="10"/>
  </w:num>
  <w:num w:numId="47">
    <w:abstractNumId w:val="20"/>
  </w:num>
  <w:num w:numId="48">
    <w:abstractNumId w:val="43"/>
  </w:num>
  <w:num w:numId="49">
    <w:abstractNumId w:val="16"/>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revisionView w:markup="0"/>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D9643F2-E9EA-4F0D-991D-8446B71934B4"/>
    <w:docVar w:name="LW_COVERPAGE_TYPE" w:val="1"/>
    <w:docVar w:name="LW_CROSSREFERENCE" w:val="&lt;UNUSED&gt;"/>
    <w:docVar w:name="LW_DocType" w:val="NORMAL"/>
    <w:docVar w:name="LW_EMISSION" w:val="30.7.2020"/>
    <w:docVar w:name="LW_EMISSION_ISODATE" w:val="2020-07-30"/>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3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nformément à l\u8217?article 14, paragraphe 3, du règlement (UE) 2019/880 du Parlement européen et du Conseil du 17 avril 2019 concernant l\u8217?introduction et l\u8217?importation de biens culturels"/>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eastAsia="Times New Roman" w:hAnsi="Times New Roman" w:cs="Times New Roman"/>
    </w:rPr>
  </w:style>
  <w:style w:type="paragraph" w:styleId="Heading1">
    <w:name w:val="heading 1"/>
    <w:basedOn w:val="Normal"/>
    <w:next w:val="Normal"/>
    <w:link w:val="Heading1Char"/>
    <w:qFormat/>
    <w:pPr>
      <w:keepNext/>
      <w:keepLines/>
      <w:spacing w:after="0"/>
      <w:outlineLvl w:val="0"/>
    </w:pPr>
    <w:rPr>
      <w:rFonts w:ascii="Times New Roman Bold" w:eastAsiaTheme="majorEastAsia" w:hAnsi="Times New Roman Bold" w:cstheme="majorBidi"/>
      <w:b/>
      <w:caps/>
      <w:sz w:val="24"/>
      <w:szCs w:val="32"/>
    </w:rPr>
  </w:style>
  <w:style w:type="paragraph" w:styleId="Heading2">
    <w:name w:val="heading 2"/>
    <w:aliases w:val="szd_h2,Headline 2,h2,2,headi,heading2,h21,h22,21,H2,l2,kopregel 2"/>
    <w:basedOn w:val="Normal"/>
    <w:next w:val="Normal"/>
    <w:link w:val="Heading2Char"/>
    <w:unhideWhenUsed/>
    <w:qFormat/>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nhideWhenUsed/>
    <w:qFormat/>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jc w:val="center"/>
      <w:outlineLvl w:val="4"/>
    </w:pPr>
    <w:rPr>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List Paragraph1,Lettre d'introduction,Paragrafo elenco,Medium Grid 1 - Accent 21"/>
    <w:basedOn w:val="Normal"/>
    <w:uiPriority w:val="34"/>
    <w:qFormat/>
    <w:pPr>
      <w:ind w:left="720"/>
      <w:contextualSpacing/>
    </w:pPr>
  </w:style>
  <w:style w:type="paragraph" w:styleId="Date">
    <w:name w:val="Date"/>
    <w:basedOn w:val="Normal"/>
    <w:next w:val="Normal"/>
    <w:link w:val="DateChar"/>
    <w:pPr>
      <w:suppressAutoHyphens/>
      <w:spacing w:after="0"/>
      <w:ind w:left="5103" w:right="-567"/>
    </w:pPr>
    <w:rPr>
      <w:sz w:val="24"/>
      <w:szCs w:val="20"/>
      <w:lang w:eastAsia="ar-SA"/>
    </w:rPr>
  </w:style>
  <w:style w:type="character" w:customStyle="1" w:styleId="DateChar">
    <w:name w:val="Date Char"/>
    <w:basedOn w:val="DefaultParagraphFont"/>
    <w:link w:val="Date"/>
    <w:rPr>
      <w:rFonts w:ascii="Times New Roman" w:eastAsia="Times New Roman" w:hAnsi="Times New Roman" w:cs="Times New Roman"/>
      <w:sz w:val="24"/>
      <w:szCs w:val="20"/>
      <w:lang w:val="fr-FR" w:eastAsia="ar-SA"/>
    </w:rPr>
  </w:style>
  <w:style w:type="paragraph" w:customStyle="1" w:styleId="ZCom">
    <w:name w:val="Z_Com"/>
    <w:basedOn w:val="Normal"/>
    <w:next w:val="ZDGName"/>
    <w:pPr>
      <w:widowControl w:val="0"/>
      <w:suppressAutoHyphens/>
      <w:spacing w:after="0"/>
      <w:ind w:right="85"/>
    </w:pPr>
    <w:rPr>
      <w:rFonts w:ascii="Arial" w:hAnsi="Arial"/>
      <w:sz w:val="24"/>
      <w:szCs w:val="20"/>
      <w:lang w:eastAsia="ar-SA"/>
    </w:rPr>
  </w:style>
  <w:style w:type="paragraph" w:customStyle="1" w:styleId="ZDGName">
    <w:name w:val="Z_DGName"/>
    <w:basedOn w:val="Normal"/>
    <w:uiPriority w:val="99"/>
    <w:pPr>
      <w:widowControl w:val="0"/>
      <w:suppressAutoHyphens/>
      <w:spacing w:after="0"/>
      <w:ind w:right="85"/>
    </w:pPr>
    <w:rPr>
      <w:rFonts w:ascii="Arial" w:hAnsi="Arial"/>
      <w:sz w:val="16"/>
      <w:szCs w:val="20"/>
      <w:lang w:eastAsia="ar-SA"/>
    </w:rPr>
  </w:style>
  <w:style w:type="paragraph" w:styleId="Title">
    <w:name w:val="Title"/>
    <w:basedOn w:val="Normal"/>
    <w:next w:val="Normal"/>
    <w:link w:val="TitleChar"/>
    <w:autoRedefine/>
    <w:uiPriority w:val="10"/>
    <w:qFormat/>
    <w:pPr>
      <w:spacing w:before="240" w:after="60"/>
      <w:jc w:val="center"/>
      <w:outlineLvl w:val="0"/>
    </w:pPr>
    <w:rPr>
      <w:b/>
      <w:bCs/>
      <w:kern w:val="28"/>
      <w:sz w:val="44"/>
      <w:szCs w:val="32"/>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44"/>
      <w:szCs w:val="32"/>
      <w:lang w:val="fr-FR"/>
    </w:rPr>
  </w:style>
  <w:style w:type="character" w:customStyle="1" w:styleId="Heading1Char">
    <w:name w:val="Heading 1 Char"/>
    <w:basedOn w:val="DefaultParagraphFont"/>
    <w:link w:val="Heading1"/>
    <w:rPr>
      <w:rFonts w:ascii="Times New Roman Bold" w:eastAsiaTheme="majorEastAsia" w:hAnsi="Times New Roman Bold" w:cstheme="majorBidi"/>
      <w:b/>
      <w:caps/>
      <w:sz w:val="24"/>
      <w:szCs w:val="32"/>
      <w:lang w:val="fr-FR"/>
    </w:rPr>
  </w:style>
  <w:style w:type="character" w:customStyle="1" w:styleId="Heading2Char">
    <w:name w:val="Heading 2 Char"/>
    <w:aliases w:val="szd_h2 Char,Headline 2 Char,h2 Char,2 Char,headi Char,heading2 Char,h21 Char,h22 Char,21 Char,H2 Char,l2 Char,kopregel 2 Char"/>
    <w:basedOn w:val="DefaultParagraphFont"/>
    <w:link w:val="Heading2"/>
    <w:uiPriority w:val="34"/>
    <w:rPr>
      <w:rFonts w:ascii="Times New Roman" w:eastAsiaTheme="majorEastAsia" w:hAnsi="Times New Roman" w:cstheme="majorBidi"/>
      <w:b/>
      <w:sz w:val="24"/>
      <w:szCs w:val="26"/>
      <w:lang w:val="fr-FR"/>
    </w:rPr>
  </w:style>
  <w:style w:type="paragraph" w:styleId="Caption">
    <w:name w:val="caption"/>
    <w:basedOn w:val="Normal"/>
    <w:next w:val="Normal"/>
    <w:autoRedefine/>
    <w:uiPriority w:val="35"/>
    <w:unhideWhenUsed/>
    <w:qFormat/>
    <w:pPr>
      <w:keepNext/>
      <w:keepLines/>
      <w:spacing w:afterLines="120" w:after="288"/>
      <w:jc w:val="left"/>
    </w:pPr>
    <w:rPr>
      <w:i/>
      <w:iCs/>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eastAsiaTheme="majorEastAsia" w:hAnsi="Times New Roman" w:cstheme="majorBidi"/>
      <w:b/>
      <w:sz w:val="24"/>
      <w:szCs w:val="24"/>
      <w:lang w:val="fr-FR"/>
    </w:rPr>
  </w:style>
  <w:style w:type="paragraph" w:styleId="TOCHeading">
    <w:name w:val="TOC Heading"/>
    <w:basedOn w:val="Heading1"/>
    <w:next w:val="Normal"/>
    <w:uiPriority w:val="39"/>
    <w:unhideWhenUsed/>
    <w:qFormat/>
    <w:pPr>
      <w:spacing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link w:val="TOC1Char"/>
    <w:autoRedefine/>
    <w:uiPriority w:val="39"/>
    <w:unhideWhenUsed/>
    <w:pPr>
      <w:tabs>
        <w:tab w:val="left" w:pos="440"/>
        <w:tab w:val="right" w:leader="dot" w:pos="9062"/>
      </w:tabs>
      <w:spacing w:after="0"/>
    </w:pPr>
  </w:style>
  <w:style w:type="paragraph" w:styleId="TOC2">
    <w:name w:val="toc 2"/>
    <w:basedOn w:val="Normal"/>
    <w:next w:val="Normal"/>
    <w:autoRedefine/>
    <w:uiPriority w:val="39"/>
    <w:unhideWhenUsed/>
    <w:pPr>
      <w:tabs>
        <w:tab w:val="left" w:pos="880"/>
        <w:tab w:val="right" w:leader="dot" w:pos="9062"/>
      </w:tabs>
      <w:ind w:left="215"/>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lang w:val="fr-FR"/>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rPr>
  </w:style>
  <w:style w:type="paragraph" w:styleId="BalloonText">
    <w:name w:val="Balloon Text"/>
    <w:basedOn w:val="Normal"/>
    <w:link w:val="BalloonTextChar"/>
    <w:uiPriority w:val="99"/>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Times New Roman" w:hAnsi="Segoe UI" w:cs="Segoe UI"/>
      <w:sz w:val="18"/>
      <w:szCs w:val="18"/>
      <w:lang w:val="fr-FR"/>
    </w:rPr>
  </w:style>
  <w:style w:type="paragraph" w:styleId="BodyTextIndent">
    <w:name w:val="Body Text Indent"/>
    <w:basedOn w:val="Normal"/>
    <w:link w:val="BodyTextIndentChar"/>
    <w:uiPriority w:val="99"/>
    <w:unhideWhenUsed/>
    <w:pPr>
      <w:ind w:left="708"/>
    </w:p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lang w:val="fr-FR"/>
    </w:rPr>
  </w:style>
  <w:style w:type="paragraph" w:styleId="BodyText">
    <w:name w:val="Body Text"/>
    <w:basedOn w:val="Normal"/>
    <w:link w:val="BodyTextChar"/>
    <w:uiPriority w:val="99"/>
    <w:unhideWhenUsed/>
    <w:rPr>
      <w:i/>
      <w:color w:val="1F4E79" w:themeColor="accent1" w:themeShade="80"/>
    </w:rPr>
  </w:style>
  <w:style w:type="character" w:customStyle="1" w:styleId="BodyTextChar">
    <w:name w:val="Body Text Char"/>
    <w:basedOn w:val="DefaultParagraphFont"/>
    <w:link w:val="BodyText"/>
    <w:uiPriority w:val="99"/>
    <w:rPr>
      <w:rFonts w:ascii="Times New Roman" w:eastAsia="Times New Roman" w:hAnsi="Times New Roman" w:cs="Times New Roman"/>
      <w:i/>
      <w:color w:val="1F4E79" w:themeColor="accent1" w:themeShade="80"/>
      <w:lang w:val="fr-FR"/>
    </w:rPr>
  </w:style>
  <w:style w:type="paragraph" w:styleId="Revision">
    <w:name w:val="Revision"/>
    <w:hidden/>
    <w:uiPriority w:val="99"/>
    <w:semiHidden/>
    <w:pPr>
      <w:spacing w:after="0" w:line="240" w:lineRule="auto"/>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fr-FR"/>
    </w:rPr>
  </w:style>
  <w:style w:type="character" w:styleId="FootnoteReference">
    <w:name w:val="footnote reference"/>
    <w:basedOn w:val="DefaultParagraphFont"/>
    <w:uiPriority w:val="99"/>
    <w:semiHidden/>
    <w:unhideWhenUsed/>
    <w:rPr>
      <w:vertAlign w:val="superscript"/>
    </w:rPr>
  </w:style>
  <w:style w:type="character" w:customStyle="1" w:styleId="Heading4Char">
    <w:name w:val="Heading 4 Char"/>
    <w:basedOn w:val="DefaultParagraphFont"/>
    <w:link w:val="Heading4"/>
    <w:rPr>
      <w:rFonts w:asciiTheme="majorHAnsi" w:eastAsiaTheme="majorEastAsia" w:hAnsiTheme="majorHAnsi" w:cstheme="majorBidi"/>
      <w:i/>
      <w:iCs/>
      <w:color w:val="2E74B5" w:themeColor="accent1" w:themeShade="BF"/>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ableofFigures">
    <w:name w:val="table of figures"/>
    <w:basedOn w:val="Normal"/>
    <w:next w:val="Normal"/>
    <w:uiPriority w:val="99"/>
    <w:unhideWhenUsed/>
    <w:pPr>
      <w:spacing w:after="0"/>
    </w:pPr>
  </w:style>
  <w:style w:type="character" w:customStyle="1" w:styleId="Heading5Char">
    <w:name w:val="Heading 5 Char"/>
    <w:basedOn w:val="DefaultParagraphFont"/>
    <w:link w:val="Heading5"/>
    <w:uiPriority w:val="9"/>
    <w:rPr>
      <w:rFonts w:ascii="Times New Roman" w:eastAsia="Times New Roman" w:hAnsi="Times New Roman" w:cs="Times New Roman"/>
      <w:i/>
      <w:iCs/>
      <w:sz w:val="18"/>
      <w:szCs w:val="18"/>
      <w:lang w:val="fr-FR"/>
    </w:rPr>
  </w:style>
  <w:style w:type="paragraph" w:styleId="BodyTextIndent2">
    <w:name w:val="Body Text Indent 2"/>
    <w:basedOn w:val="Normal"/>
    <w:link w:val="BodyTextIndent2Char"/>
    <w:uiPriority w:val="99"/>
    <w:unhideWhenUsed/>
    <w:pPr>
      <w:spacing w:afterLines="120" w:after="288"/>
      <w:ind w:left="360"/>
    </w:p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lang w:val="fr-FR"/>
    </w:rPr>
  </w:style>
  <w:style w:type="paragraph" w:styleId="NormalWeb">
    <w:name w:val="Normal (Web)"/>
    <w:basedOn w:val="Normal"/>
    <w:uiPriority w:val="99"/>
    <w:unhideWhenUsed/>
    <w:pPr>
      <w:spacing w:before="100" w:beforeAutospacing="1" w:after="100" w:afterAutospacing="1"/>
      <w:jc w:val="left"/>
    </w:pPr>
    <w:rPr>
      <w:rFonts w:eastAsiaTheme="minorEastAsia"/>
      <w:sz w:val="24"/>
      <w:szCs w:val="24"/>
      <w:lang w:eastAsia="en-GB"/>
    </w:rPr>
  </w:style>
  <w:style w:type="character" w:styleId="Strong">
    <w:name w:val="Strong"/>
    <w:basedOn w:val="DefaultParagraphFont"/>
    <w:uiPriority w:val="22"/>
    <w:qFormat/>
    <w:rPr>
      <w:b/>
      <w:bCs/>
    </w:rPr>
  </w:style>
  <w:style w:type="paragraph" w:styleId="BodyText2">
    <w:name w:val="Body Text 2"/>
    <w:basedOn w:val="Normal"/>
    <w:link w:val="BodyText2Char"/>
    <w:uiPriority w:val="99"/>
    <w:unhideWhenUsed/>
    <w:pPr>
      <w:jc w:val="left"/>
    </w:pPr>
    <w:rPr>
      <w:shd w:val="clear" w:color="auto" w:fill="FFFFFF"/>
    </w:rPr>
  </w:style>
  <w:style w:type="character" w:customStyle="1" w:styleId="BodyText2Char">
    <w:name w:val="Body Text 2 Char"/>
    <w:basedOn w:val="DefaultParagraphFont"/>
    <w:link w:val="BodyText2"/>
    <w:uiPriority w:val="99"/>
    <w:rPr>
      <w:rFonts w:ascii="Times New Roman" w:eastAsia="Times New Roman" w:hAnsi="Times New Roman" w:cs="Times New Roman"/>
      <w:lang w:val="fr-FR"/>
    </w:rPr>
  </w:style>
  <w:style w:type="paragraph" w:styleId="BodyText3">
    <w:name w:val="Body Text 3"/>
    <w:basedOn w:val="Normal"/>
    <w:link w:val="BodyText3Char"/>
    <w:uiPriority w:val="99"/>
    <w:unhideWhenUsed/>
    <w:pPr>
      <w:widowControl w:val="0"/>
      <w:autoSpaceDE w:val="0"/>
      <w:autoSpaceDN w:val="0"/>
      <w:spacing w:before="119" w:after="0"/>
      <w:ind w:right="91"/>
    </w:pPr>
  </w:style>
  <w:style w:type="character" w:customStyle="1" w:styleId="BodyText3Char">
    <w:name w:val="Body Text 3 Char"/>
    <w:basedOn w:val="DefaultParagraphFont"/>
    <w:link w:val="BodyText3"/>
    <w:uiPriority w:val="99"/>
    <w:rPr>
      <w:rFonts w:ascii="Times New Roman" w:eastAsia="Times New Roman" w:hAnsi="Times New Roman" w:cs="Times New Roman"/>
      <w:lang w:val="fr-FR"/>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customStyle="1" w:styleId="Point0number">
    <w:name w:val="Point 0 (number)"/>
    <w:basedOn w:val="Normal"/>
    <w:pPr>
      <w:numPr>
        <w:numId w:val="28"/>
      </w:numPr>
      <w:spacing w:before="120"/>
    </w:pPr>
    <w:rPr>
      <w:rFonts w:eastAsiaTheme="minorHAnsi"/>
      <w:sz w:val="24"/>
    </w:rPr>
  </w:style>
  <w:style w:type="paragraph" w:customStyle="1" w:styleId="Point1number">
    <w:name w:val="Point 1 (number)"/>
    <w:basedOn w:val="Normal"/>
    <w:pPr>
      <w:numPr>
        <w:ilvl w:val="2"/>
        <w:numId w:val="28"/>
      </w:numPr>
      <w:spacing w:before="120"/>
    </w:pPr>
    <w:rPr>
      <w:rFonts w:eastAsiaTheme="minorHAnsi"/>
      <w:sz w:val="24"/>
    </w:rPr>
  </w:style>
  <w:style w:type="paragraph" w:customStyle="1" w:styleId="Point2number">
    <w:name w:val="Point 2 (number)"/>
    <w:basedOn w:val="Normal"/>
    <w:pPr>
      <w:numPr>
        <w:ilvl w:val="4"/>
        <w:numId w:val="28"/>
      </w:numPr>
      <w:spacing w:before="120"/>
    </w:pPr>
    <w:rPr>
      <w:rFonts w:eastAsiaTheme="minorHAnsi"/>
      <w:sz w:val="24"/>
    </w:rPr>
  </w:style>
  <w:style w:type="paragraph" w:customStyle="1" w:styleId="Point3number">
    <w:name w:val="Point 3 (number)"/>
    <w:basedOn w:val="Normal"/>
    <w:pPr>
      <w:numPr>
        <w:ilvl w:val="6"/>
        <w:numId w:val="28"/>
      </w:numPr>
      <w:spacing w:before="120"/>
    </w:pPr>
    <w:rPr>
      <w:rFonts w:eastAsiaTheme="minorHAnsi"/>
      <w:sz w:val="24"/>
    </w:rPr>
  </w:style>
  <w:style w:type="paragraph" w:customStyle="1" w:styleId="Point0letter">
    <w:name w:val="Point 0 (letter)"/>
    <w:basedOn w:val="Normal"/>
    <w:pPr>
      <w:numPr>
        <w:ilvl w:val="1"/>
        <w:numId w:val="28"/>
      </w:numPr>
      <w:spacing w:before="120"/>
    </w:pPr>
    <w:rPr>
      <w:rFonts w:eastAsiaTheme="minorHAnsi"/>
      <w:sz w:val="24"/>
    </w:rPr>
  </w:style>
  <w:style w:type="paragraph" w:customStyle="1" w:styleId="Point1letter">
    <w:name w:val="Point 1 (letter)"/>
    <w:basedOn w:val="Normal"/>
    <w:pPr>
      <w:numPr>
        <w:ilvl w:val="3"/>
        <w:numId w:val="28"/>
      </w:numPr>
      <w:spacing w:before="120"/>
    </w:pPr>
    <w:rPr>
      <w:rFonts w:eastAsiaTheme="minorHAnsi"/>
      <w:sz w:val="24"/>
    </w:rPr>
  </w:style>
  <w:style w:type="paragraph" w:customStyle="1" w:styleId="Point2letter">
    <w:name w:val="Point 2 (letter)"/>
    <w:basedOn w:val="Normal"/>
    <w:pPr>
      <w:numPr>
        <w:ilvl w:val="5"/>
        <w:numId w:val="28"/>
      </w:numPr>
      <w:spacing w:before="120"/>
    </w:pPr>
    <w:rPr>
      <w:rFonts w:eastAsiaTheme="minorHAnsi"/>
      <w:sz w:val="24"/>
    </w:rPr>
  </w:style>
  <w:style w:type="paragraph" w:customStyle="1" w:styleId="Point3letter">
    <w:name w:val="Point 3 (letter)"/>
    <w:basedOn w:val="Normal"/>
    <w:pPr>
      <w:numPr>
        <w:ilvl w:val="7"/>
        <w:numId w:val="28"/>
      </w:numPr>
      <w:spacing w:before="120"/>
    </w:pPr>
    <w:rPr>
      <w:rFonts w:eastAsiaTheme="minorHAnsi"/>
      <w:sz w:val="24"/>
    </w:rPr>
  </w:style>
  <w:style w:type="paragraph" w:customStyle="1" w:styleId="Point4letter">
    <w:name w:val="Point 4 (letter)"/>
    <w:basedOn w:val="Normal"/>
    <w:pPr>
      <w:numPr>
        <w:ilvl w:val="8"/>
        <w:numId w:val="28"/>
      </w:numPr>
      <w:spacing w:before="120"/>
    </w:pPr>
    <w:rPr>
      <w:rFonts w:eastAsiaTheme="minorHAnsi"/>
      <w:sz w:val="24"/>
    </w:rPr>
  </w:style>
  <w:style w:type="paragraph" w:customStyle="1" w:styleId="Bullet0">
    <w:name w:val="Bullet 0"/>
    <w:basedOn w:val="Normal"/>
    <w:pPr>
      <w:numPr>
        <w:numId w:val="30"/>
      </w:numPr>
      <w:spacing w:before="120"/>
    </w:pPr>
    <w:rPr>
      <w:rFonts w:eastAsiaTheme="minorHAnsi"/>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 w:val="24"/>
    </w:rPr>
  </w:style>
  <w:style w:type="character" w:customStyle="1" w:styleId="TOC1Char">
    <w:name w:val="TOC 1 Char"/>
    <w:basedOn w:val="DefaultParagraphFont"/>
    <w:link w:val="TOC1"/>
    <w:uiPriority w:val="39"/>
    <w:rPr>
      <w:rFonts w:ascii="Times New Roman" w:eastAsia="Times New Roman" w:hAnsi="Times New Roman" w:cs="Times New Roman"/>
      <w:lang w:val="fr-FR"/>
    </w:rPr>
  </w:style>
  <w:style w:type="character" w:customStyle="1" w:styleId="FooterCoverPageChar">
    <w:name w:val="Footer Cover Page Char"/>
    <w:basedOn w:val="TOC1Char"/>
    <w:link w:val="FooterCoverPage"/>
    <w:rPr>
      <w:rFonts w:ascii="Times New Roman" w:eastAsia="Times New Roman" w:hAnsi="Times New Roman" w:cs="Times New Roman"/>
      <w:sz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1Char"/>
    <w:link w:val="FooterSensitivity"/>
    <w:rPr>
      <w:rFonts w:ascii="Times New Roman" w:eastAsia="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pPr>
    <w:rPr>
      <w:sz w:val="24"/>
    </w:rPr>
  </w:style>
  <w:style w:type="character" w:customStyle="1" w:styleId="HeaderCoverPageChar">
    <w:name w:val="Header Cover Page Char"/>
    <w:basedOn w:val="TOC1Char"/>
    <w:link w:val="HeaderCoverPage"/>
    <w:rPr>
      <w:rFonts w:ascii="Times New Roman" w:eastAsia="Times New Roman" w:hAnsi="Times New Roman" w:cs="Times New Roman"/>
      <w:sz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TOC1Char"/>
    <w:link w:val="HeaderSensitivity"/>
    <w:rPr>
      <w:rFonts w:ascii="Times New Roman" w:eastAsia="Times New Roman" w:hAnsi="Times New Roman" w:cs="Times New Roman"/>
      <w:b/>
      <w:sz w:val="32"/>
      <w:lang w:val="fr-FR"/>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TOC1Char"/>
    <w:link w:val="HeaderSensitivityRight"/>
    <w:rPr>
      <w:rFonts w:ascii="Times New Roman" w:eastAsia="Times New Roman" w:hAnsi="Times New Roman" w:cs="Times New Roman"/>
      <w:sz w:val="28"/>
      <w:lang w:val="fr-FR"/>
    </w:rPr>
  </w:style>
  <w:style w:type="paragraph" w:customStyle="1" w:styleId="Normal1">
    <w:name w:val="Normal1"/>
    <w:basedOn w:val="Normal"/>
    <w:pPr>
      <w:spacing w:before="100" w:beforeAutospacing="1" w:after="100" w:afterAutospacing="1"/>
      <w:jc w:val="left"/>
    </w:pPr>
    <w:rPr>
      <w:sz w:val="24"/>
      <w:szCs w:val="24"/>
      <w:lang w:eastAsia="en-GB"/>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eastAsia="Times New Roman" w:hAnsi="Times New Roman" w:cs="Times New Roman"/>
    </w:rPr>
  </w:style>
  <w:style w:type="paragraph" w:styleId="Heading1">
    <w:name w:val="heading 1"/>
    <w:basedOn w:val="Normal"/>
    <w:next w:val="Normal"/>
    <w:link w:val="Heading1Char"/>
    <w:qFormat/>
    <w:pPr>
      <w:keepNext/>
      <w:keepLines/>
      <w:spacing w:after="0"/>
      <w:outlineLvl w:val="0"/>
    </w:pPr>
    <w:rPr>
      <w:rFonts w:ascii="Times New Roman Bold" w:eastAsiaTheme="majorEastAsia" w:hAnsi="Times New Roman Bold" w:cstheme="majorBidi"/>
      <w:b/>
      <w:caps/>
      <w:sz w:val="24"/>
      <w:szCs w:val="32"/>
    </w:rPr>
  </w:style>
  <w:style w:type="paragraph" w:styleId="Heading2">
    <w:name w:val="heading 2"/>
    <w:aliases w:val="szd_h2,Headline 2,h2,2,headi,heading2,h21,h22,21,H2,l2,kopregel 2"/>
    <w:basedOn w:val="Normal"/>
    <w:next w:val="Normal"/>
    <w:link w:val="Heading2Char"/>
    <w:unhideWhenUsed/>
    <w:qFormat/>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nhideWhenUsed/>
    <w:qFormat/>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jc w:val="center"/>
      <w:outlineLvl w:val="4"/>
    </w:pPr>
    <w:rPr>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List Paragraph1,Lettre d'introduction,Paragrafo elenco,Medium Grid 1 - Accent 21"/>
    <w:basedOn w:val="Normal"/>
    <w:uiPriority w:val="34"/>
    <w:qFormat/>
    <w:pPr>
      <w:ind w:left="720"/>
      <w:contextualSpacing/>
    </w:pPr>
  </w:style>
  <w:style w:type="paragraph" w:styleId="Date">
    <w:name w:val="Date"/>
    <w:basedOn w:val="Normal"/>
    <w:next w:val="Normal"/>
    <w:link w:val="DateChar"/>
    <w:pPr>
      <w:suppressAutoHyphens/>
      <w:spacing w:after="0"/>
      <w:ind w:left="5103" w:right="-567"/>
    </w:pPr>
    <w:rPr>
      <w:sz w:val="24"/>
      <w:szCs w:val="20"/>
      <w:lang w:eastAsia="ar-SA"/>
    </w:rPr>
  </w:style>
  <w:style w:type="character" w:customStyle="1" w:styleId="DateChar">
    <w:name w:val="Date Char"/>
    <w:basedOn w:val="DefaultParagraphFont"/>
    <w:link w:val="Date"/>
    <w:rPr>
      <w:rFonts w:ascii="Times New Roman" w:eastAsia="Times New Roman" w:hAnsi="Times New Roman" w:cs="Times New Roman"/>
      <w:sz w:val="24"/>
      <w:szCs w:val="20"/>
      <w:lang w:val="fr-FR" w:eastAsia="ar-SA"/>
    </w:rPr>
  </w:style>
  <w:style w:type="paragraph" w:customStyle="1" w:styleId="ZCom">
    <w:name w:val="Z_Com"/>
    <w:basedOn w:val="Normal"/>
    <w:next w:val="ZDGName"/>
    <w:pPr>
      <w:widowControl w:val="0"/>
      <w:suppressAutoHyphens/>
      <w:spacing w:after="0"/>
      <w:ind w:right="85"/>
    </w:pPr>
    <w:rPr>
      <w:rFonts w:ascii="Arial" w:hAnsi="Arial"/>
      <w:sz w:val="24"/>
      <w:szCs w:val="20"/>
      <w:lang w:eastAsia="ar-SA"/>
    </w:rPr>
  </w:style>
  <w:style w:type="paragraph" w:customStyle="1" w:styleId="ZDGName">
    <w:name w:val="Z_DGName"/>
    <w:basedOn w:val="Normal"/>
    <w:uiPriority w:val="99"/>
    <w:pPr>
      <w:widowControl w:val="0"/>
      <w:suppressAutoHyphens/>
      <w:spacing w:after="0"/>
      <w:ind w:right="85"/>
    </w:pPr>
    <w:rPr>
      <w:rFonts w:ascii="Arial" w:hAnsi="Arial"/>
      <w:sz w:val="16"/>
      <w:szCs w:val="20"/>
      <w:lang w:eastAsia="ar-SA"/>
    </w:rPr>
  </w:style>
  <w:style w:type="paragraph" w:styleId="Title">
    <w:name w:val="Title"/>
    <w:basedOn w:val="Normal"/>
    <w:next w:val="Normal"/>
    <w:link w:val="TitleChar"/>
    <w:autoRedefine/>
    <w:uiPriority w:val="10"/>
    <w:qFormat/>
    <w:pPr>
      <w:spacing w:before="240" w:after="60"/>
      <w:jc w:val="center"/>
      <w:outlineLvl w:val="0"/>
    </w:pPr>
    <w:rPr>
      <w:b/>
      <w:bCs/>
      <w:kern w:val="28"/>
      <w:sz w:val="44"/>
      <w:szCs w:val="32"/>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44"/>
      <w:szCs w:val="32"/>
      <w:lang w:val="fr-FR"/>
    </w:rPr>
  </w:style>
  <w:style w:type="character" w:customStyle="1" w:styleId="Heading1Char">
    <w:name w:val="Heading 1 Char"/>
    <w:basedOn w:val="DefaultParagraphFont"/>
    <w:link w:val="Heading1"/>
    <w:rPr>
      <w:rFonts w:ascii="Times New Roman Bold" w:eastAsiaTheme="majorEastAsia" w:hAnsi="Times New Roman Bold" w:cstheme="majorBidi"/>
      <w:b/>
      <w:caps/>
      <w:sz w:val="24"/>
      <w:szCs w:val="32"/>
      <w:lang w:val="fr-FR"/>
    </w:rPr>
  </w:style>
  <w:style w:type="character" w:customStyle="1" w:styleId="Heading2Char">
    <w:name w:val="Heading 2 Char"/>
    <w:aliases w:val="szd_h2 Char,Headline 2 Char,h2 Char,2 Char,headi Char,heading2 Char,h21 Char,h22 Char,21 Char,H2 Char,l2 Char,kopregel 2 Char"/>
    <w:basedOn w:val="DefaultParagraphFont"/>
    <w:link w:val="Heading2"/>
    <w:uiPriority w:val="34"/>
    <w:rPr>
      <w:rFonts w:ascii="Times New Roman" w:eastAsiaTheme="majorEastAsia" w:hAnsi="Times New Roman" w:cstheme="majorBidi"/>
      <w:b/>
      <w:sz w:val="24"/>
      <w:szCs w:val="26"/>
      <w:lang w:val="fr-FR"/>
    </w:rPr>
  </w:style>
  <w:style w:type="paragraph" w:styleId="Caption">
    <w:name w:val="caption"/>
    <w:basedOn w:val="Normal"/>
    <w:next w:val="Normal"/>
    <w:autoRedefine/>
    <w:uiPriority w:val="35"/>
    <w:unhideWhenUsed/>
    <w:qFormat/>
    <w:pPr>
      <w:keepNext/>
      <w:keepLines/>
      <w:spacing w:afterLines="120" w:after="288"/>
      <w:jc w:val="left"/>
    </w:pPr>
    <w:rPr>
      <w:i/>
      <w:iCs/>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eastAsiaTheme="majorEastAsia" w:hAnsi="Times New Roman" w:cstheme="majorBidi"/>
      <w:b/>
      <w:sz w:val="24"/>
      <w:szCs w:val="24"/>
      <w:lang w:val="fr-FR"/>
    </w:rPr>
  </w:style>
  <w:style w:type="paragraph" w:styleId="TOCHeading">
    <w:name w:val="TOC Heading"/>
    <w:basedOn w:val="Heading1"/>
    <w:next w:val="Normal"/>
    <w:uiPriority w:val="39"/>
    <w:unhideWhenUsed/>
    <w:qFormat/>
    <w:pPr>
      <w:spacing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link w:val="TOC1Char"/>
    <w:autoRedefine/>
    <w:uiPriority w:val="39"/>
    <w:unhideWhenUsed/>
    <w:pPr>
      <w:tabs>
        <w:tab w:val="left" w:pos="440"/>
        <w:tab w:val="right" w:leader="dot" w:pos="9062"/>
      </w:tabs>
      <w:spacing w:after="0"/>
    </w:pPr>
  </w:style>
  <w:style w:type="paragraph" w:styleId="TOC2">
    <w:name w:val="toc 2"/>
    <w:basedOn w:val="Normal"/>
    <w:next w:val="Normal"/>
    <w:autoRedefine/>
    <w:uiPriority w:val="39"/>
    <w:unhideWhenUsed/>
    <w:pPr>
      <w:tabs>
        <w:tab w:val="left" w:pos="880"/>
        <w:tab w:val="right" w:leader="dot" w:pos="9062"/>
      </w:tabs>
      <w:ind w:left="215"/>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lang w:val="fr-FR"/>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rPr>
  </w:style>
  <w:style w:type="paragraph" w:styleId="BalloonText">
    <w:name w:val="Balloon Text"/>
    <w:basedOn w:val="Normal"/>
    <w:link w:val="BalloonTextChar"/>
    <w:uiPriority w:val="99"/>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Times New Roman" w:hAnsi="Segoe UI" w:cs="Segoe UI"/>
      <w:sz w:val="18"/>
      <w:szCs w:val="18"/>
      <w:lang w:val="fr-FR"/>
    </w:rPr>
  </w:style>
  <w:style w:type="paragraph" w:styleId="BodyTextIndent">
    <w:name w:val="Body Text Indent"/>
    <w:basedOn w:val="Normal"/>
    <w:link w:val="BodyTextIndentChar"/>
    <w:uiPriority w:val="99"/>
    <w:unhideWhenUsed/>
    <w:pPr>
      <w:ind w:left="708"/>
    </w:p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lang w:val="fr-FR"/>
    </w:rPr>
  </w:style>
  <w:style w:type="paragraph" w:styleId="BodyText">
    <w:name w:val="Body Text"/>
    <w:basedOn w:val="Normal"/>
    <w:link w:val="BodyTextChar"/>
    <w:uiPriority w:val="99"/>
    <w:unhideWhenUsed/>
    <w:rPr>
      <w:i/>
      <w:color w:val="1F4E79" w:themeColor="accent1" w:themeShade="80"/>
    </w:rPr>
  </w:style>
  <w:style w:type="character" w:customStyle="1" w:styleId="BodyTextChar">
    <w:name w:val="Body Text Char"/>
    <w:basedOn w:val="DefaultParagraphFont"/>
    <w:link w:val="BodyText"/>
    <w:uiPriority w:val="99"/>
    <w:rPr>
      <w:rFonts w:ascii="Times New Roman" w:eastAsia="Times New Roman" w:hAnsi="Times New Roman" w:cs="Times New Roman"/>
      <w:i/>
      <w:color w:val="1F4E79" w:themeColor="accent1" w:themeShade="80"/>
      <w:lang w:val="fr-FR"/>
    </w:rPr>
  </w:style>
  <w:style w:type="paragraph" w:styleId="Revision">
    <w:name w:val="Revision"/>
    <w:hidden/>
    <w:uiPriority w:val="99"/>
    <w:semiHidden/>
    <w:pPr>
      <w:spacing w:after="0" w:line="240" w:lineRule="auto"/>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fr-FR"/>
    </w:rPr>
  </w:style>
  <w:style w:type="character" w:styleId="FootnoteReference">
    <w:name w:val="footnote reference"/>
    <w:basedOn w:val="DefaultParagraphFont"/>
    <w:uiPriority w:val="99"/>
    <w:semiHidden/>
    <w:unhideWhenUsed/>
    <w:rPr>
      <w:vertAlign w:val="superscript"/>
    </w:rPr>
  </w:style>
  <w:style w:type="character" w:customStyle="1" w:styleId="Heading4Char">
    <w:name w:val="Heading 4 Char"/>
    <w:basedOn w:val="DefaultParagraphFont"/>
    <w:link w:val="Heading4"/>
    <w:rPr>
      <w:rFonts w:asciiTheme="majorHAnsi" w:eastAsiaTheme="majorEastAsia" w:hAnsiTheme="majorHAnsi" w:cstheme="majorBidi"/>
      <w:i/>
      <w:iCs/>
      <w:color w:val="2E74B5" w:themeColor="accent1" w:themeShade="BF"/>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ableofFigures">
    <w:name w:val="table of figures"/>
    <w:basedOn w:val="Normal"/>
    <w:next w:val="Normal"/>
    <w:uiPriority w:val="99"/>
    <w:unhideWhenUsed/>
    <w:pPr>
      <w:spacing w:after="0"/>
    </w:pPr>
  </w:style>
  <w:style w:type="character" w:customStyle="1" w:styleId="Heading5Char">
    <w:name w:val="Heading 5 Char"/>
    <w:basedOn w:val="DefaultParagraphFont"/>
    <w:link w:val="Heading5"/>
    <w:uiPriority w:val="9"/>
    <w:rPr>
      <w:rFonts w:ascii="Times New Roman" w:eastAsia="Times New Roman" w:hAnsi="Times New Roman" w:cs="Times New Roman"/>
      <w:i/>
      <w:iCs/>
      <w:sz w:val="18"/>
      <w:szCs w:val="18"/>
      <w:lang w:val="fr-FR"/>
    </w:rPr>
  </w:style>
  <w:style w:type="paragraph" w:styleId="BodyTextIndent2">
    <w:name w:val="Body Text Indent 2"/>
    <w:basedOn w:val="Normal"/>
    <w:link w:val="BodyTextIndent2Char"/>
    <w:uiPriority w:val="99"/>
    <w:unhideWhenUsed/>
    <w:pPr>
      <w:spacing w:afterLines="120" w:after="288"/>
      <w:ind w:left="360"/>
    </w:p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lang w:val="fr-FR"/>
    </w:rPr>
  </w:style>
  <w:style w:type="paragraph" w:styleId="NormalWeb">
    <w:name w:val="Normal (Web)"/>
    <w:basedOn w:val="Normal"/>
    <w:uiPriority w:val="99"/>
    <w:unhideWhenUsed/>
    <w:pPr>
      <w:spacing w:before="100" w:beforeAutospacing="1" w:after="100" w:afterAutospacing="1"/>
      <w:jc w:val="left"/>
    </w:pPr>
    <w:rPr>
      <w:rFonts w:eastAsiaTheme="minorEastAsia"/>
      <w:sz w:val="24"/>
      <w:szCs w:val="24"/>
      <w:lang w:eastAsia="en-GB"/>
    </w:rPr>
  </w:style>
  <w:style w:type="character" w:styleId="Strong">
    <w:name w:val="Strong"/>
    <w:basedOn w:val="DefaultParagraphFont"/>
    <w:uiPriority w:val="22"/>
    <w:qFormat/>
    <w:rPr>
      <w:b/>
      <w:bCs/>
    </w:rPr>
  </w:style>
  <w:style w:type="paragraph" w:styleId="BodyText2">
    <w:name w:val="Body Text 2"/>
    <w:basedOn w:val="Normal"/>
    <w:link w:val="BodyText2Char"/>
    <w:uiPriority w:val="99"/>
    <w:unhideWhenUsed/>
    <w:pPr>
      <w:jc w:val="left"/>
    </w:pPr>
    <w:rPr>
      <w:shd w:val="clear" w:color="auto" w:fill="FFFFFF"/>
    </w:rPr>
  </w:style>
  <w:style w:type="character" w:customStyle="1" w:styleId="BodyText2Char">
    <w:name w:val="Body Text 2 Char"/>
    <w:basedOn w:val="DefaultParagraphFont"/>
    <w:link w:val="BodyText2"/>
    <w:uiPriority w:val="99"/>
    <w:rPr>
      <w:rFonts w:ascii="Times New Roman" w:eastAsia="Times New Roman" w:hAnsi="Times New Roman" w:cs="Times New Roman"/>
      <w:lang w:val="fr-FR"/>
    </w:rPr>
  </w:style>
  <w:style w:type="paragraph" w:styleId="BodyText3">
    <w:name w:val="Body Text 3"/>
    <w:basedOn w:val="Normal"/>
    <w:link w:val="BodyText3Char"/>
    <w:uiPriority w:val="99"/>
    <w:unhideWhenUsed/>
    <w:pPr>
      <w:widowControl w:val="0"/>
      <w:autoSpaceDE w:val="0"/>
      <w:autoSpaceDN w:val="0"/>
      <w:spacing w:before="119" w:after="0"/>
      <w:ind w:right="91"/>
    </w:pPr>
  </w:style>
  <w:style w:type="character" w:customStyle="1" w:styleId="BodyText3Char">
    <w:name w:val="Body Text 3 Char"/>
    <w:basedOn w:val="DefaultParagraphFont"/>
    <w:link w:val="BodyText3"/>
    <w:uiPriority w:val="99"/>
    <w:rPr>
      <w:rFonts w:ascii="Times New Roman" w:eastAsia="Times New Roman" w:hAnsi="Times New Roman" w:cs="Times New Roman"/>
      <w:lang w:val="fr-FR"/>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customStyle="1" w:styleId="Point0number">
    <w:name w:val="Point 0 (number)"/>
    <w:basedOn w:val="Normal"/>
    <w:pPr>
      <w:numPr>
        <w:numId w:val="28"/>
      </w:numPr>
      <w:spacing w:before="120"/>
    </w:pPr>
    <w:rPr>
      <w:rFonts w:eastAsiaTheme="minorHAnsi"/>
      <w:sz w:val="24"/>
    </w:rPr>
  </w:style>
  <w:style w:type="paragraph" w:customStyle="1" w:styleId="Point1number">
    <w:name w:val="Point 1 (number)"/>
    <w:basedOn w:val="Normal"/>
    <w:pPr>
      <w:numPr>
        <w:ilvl w:val="2"/>
        <w:numId w:val="28"/>
      </w:numPr>
      <w:spacing w:before="120"/>
    </w:pPr>
    <w:rPr>
      <w:rFonts w:eastAsiaTheme="minorHAnsi"/>
      <w:sz w:val="24"/>
    </w:rPr>
  </w:style>
  <w:style w:type="paragraph" w:customStyle="1" w:styleId="Point2number">
    <w:name w:val="Point 2 (number)"/>
    <w:basedOn w:val="Normal"/>
    <w:pPr>
      <w:numPr>
        <w:ilvl w:val="4"/>
        <w:numId w:val="28"/>
      </w:numPr>
      <w:spacing w:before="120"/>
    </w:pPr>
    <w:rPr>
      <w:rFonts w:eastAsiaTheme="minorHAnsi"/>
      <w:sz w:val="24"/>
    </w:rPr>
  </w:style>
  <w:style w:type="paragraph" w:customStyle="1" w:styleId="Point3number">
    <w:name w:val="Point 3 (number)"/>
    <w:basedOn w:val="Normal"/>
    <w:pPr>
      <w:numPr>
        <w:ilvl w:val="6"/>
        <w:numId w:val="28"/>
      </w:numPr>
      <w:spacing w:before="120"/>
    </w:pPr>
    <w:rPr>
      <w:rFonts w:eastAsiaTheme="minorHAnsi"/>
      <w:sz w:val="24"/>
    </w:rPr>
  </w:style>
  <w:style w:type="paragraph" w:customStyle="1" w:styleId="Point0letter">
    <w:name w:val="Point 0 (letter)"/>
    <w:basedOn w:val="Normal"/>
    <w:pPr>
      <w:numPr>
        <w:ilvl w:val="1"/>
        <w:numId w:val="28"/>
      </w:numPr>
      <w:spacing w:before="120"/>
    </w:pPr>
    <w:rPr>
      <w:rFonts w:eastAsiaTheme="minorHAnsi"/>
      <w:sz w:val="24"/>
    </w:rPr>
  </w:style>
  <w:style w:type="paragraph" w:customStyle="1" w:styleId="Point1letter">
    <w:name w:val="Point 1 (letter)"/>
    <w:basedOn w:val="Normal"/>
    <w:pPr>
      <w:numPr>
        <w:ilvl w:val="3"/>
        <w:numId w:val="28"/>
      </w:numPr>
      <w:spacing w:before="120"/>
    </w:pPr>
    <w:rPr>
      <w:rFonts w:eastAsiaTheme="minorHAnsi"/>
      <w:sz w:val="24"/>
    </w:rPr>
  </w:style>
  <w:style w:type="paragraph" w:customStyle="1" w:styleId="Point2letter">
    <w:name w:val="Point 2 (letter)"/>
    <w:basedOn w:val="Normal"/>
    <w:pPr>
      <w:numPr>
        <w:ilvl w:val="5"/>
        <w:numId w:val="28"/>
      </w:numPr>
      <w:spacing w:before="120"/>
    </w:pPr>
    <w:rPr>
      <w:rFonts w:eastAsiaTheme="minorHAnsi"/>
      <w:sz w:val="24"/>
    </w:rPr>
  </w:style>
  <w:style w:type="paragraph" w:customStyle="1" w:styleId="Point3letter">
    <w:name w:val="Point 3 (letter)"/>
    <w:basedOn w:val="Normal"/>
    <w:pPr>
      <w:numPr>
        <w:ilvl w:val="7"/>
        <w:numId w:val="28"/>
      </w:numPr>
      <w:spacing w:before="120"/>
    </w:pPr>
    <w:rPr>
      <w:rFonts w:eastAsiaTheme="minorHAnsi"/>
      <w:sz w:val="24"/>
    </w:rPr>
  </w:style>
  <w:style w:type="paragraph" w:customStyle="1" w:styleId="Point4letter">
    <w:name w:val="Point 4 (letter)"/>
    <w:basedOn w:val="Normal"/>
    <w:pPr>
      <w:numPr>
        <w:ilvl w:val="8"/>
        <w:numId w:val="28"/>
      </w:numPr>
      <w:spacing w:before="120"/>
    </w:pPr>
    <w:rPr>
      <w:rFonts w:eastAsiaTheme="minorHAnsi"/>
      <w:sz w:val="24"/>
    </w:rPr>
  </w:style>
  <w:style w:type="paragraph" w:customStyle="1" w:styleId="Bullet0">
    <w:name w:val="Bullet 0"/>
    <w:basedOn w:val="Normal"/>
    <w:pPr>
      <w:numPr>
        <w:numId w:val="30"/>
      </w:numPr>
      <w:spacing w:before="120"/>
    </w:pPr>
    <w:rPr>
      <w:rFonts w:eastAsiaTheme="minorHAnsi"/>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 w:val="24"/>
    </w:rPr>
  </w:style>
  <w:style w:type="character" w:customStyle="1" w:styleId="TOC1Char">
    <w:name w:val="TOC 1 Char"/>
    <w:basedOn w:val="DefaultParagraphFont"/>
    <w:link w:val="TOC1"/>
    <w:uiPriority w:val="39"/>
    <w:rPr>
      <w:rFonts w:ascii="Times New Roman" w:eastAsia="Times New Roman" w:hAnsi="Times New Roman" w:cs="Times New Roman"/>
      <w:lang w:val="fr-FR"/>
    </w:rPr>
  </w:style>
  <w:style w:type="character" w:customStyle="1" w:styleId="FooterCoverPageChar">
    <w:name w:val="Footer Cover Page Char"/>
    <w:basedOn w:val="TOC1Char"/>
    <w:link w:val="FooterCoverPage"/>
    <w:rPr>
      <w:rFonts w:ascii="Times New Roman" w:eastAsia="Times New Roman" w:hAnsi="Times New Roman" w:cs="Times New Roman"/>
      <w:sz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1Char"/>
    <w:link w:val="FooterSensitivity"/>
    <w:rPr>
      <w:rFonts w:ascii="Times New Roman" w:eastAsia="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pPr>
    <w:rPr>
      <w:sz w:val="24"/>
    </w:rPr>
  </w:style>
  <w:style w:type="character" w:customStyle="1" w:styleId="HeaderCoverPageChar">
    <w:name w:val="Header Cover Page Char"/>
    <w:basedOn w:val="TOC1Char"/>
    <w:link w:val="HeaderCoverPage"/>
    <w:rPr>
      <w:rFonts w:ascii="Times New Roman" w:eastAsia="Times New Roman" w:hAnsi="Times New Roman" w:cs="Times New Roman"/>
      <w:sz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TOC1Char"/>
    <w:link w:val="HeaderSensitivity"/>
    <w:rPr>
      <w:rFonts w:ascii="Times New Roman" w:eastAsia="Times New Roman" w:hAnsi="Times New Roman" w:cs="Times New Roman"/>
      <w:b/>
      <w:sz w:val="32"/>
      <w:lang w:val="fr-FR"/>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TOC1Char"/>
    <w:link w:val="HeaderSensitivityRight"/>
    <w:rPr>
      <w:rFonts w:ascii="Times New Roman" w:eastAsia="Times New Roman" w:hAnsi="Times New Roman" w:cs="Times New Roman"/>
      <w:sz w:val="28"/>
      <w:lang w:val="fr-FR"/>
    </w:rPr>
  </w:style>
  <w:style w:type="paragraph" w:customStyle="1" w:styleId="Normal1">
    <w:name w:val="Normal1"/>
    <w:basedOn w:val="Normal"/>
    <w:pPr>
      <w:spacing w:before="100" w:beforeAutospacing="1" w:after="100" w:afterAutospacing="1"/>
      <w:jc w:val="left"/>
    </w:pPr>
    <w:rPr>
      <w:sz w:val="24"/>
      <w:szCs w:val="24"/>
      <w:lang w:eastAsia="en-GB"/>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4827">
      <w:bodyDiv w:val="1"/>
      <w:marLeft w:val="0"/>
      <w:marRight w:val="0"/>
      <w:marTop w:val="0"/>
      <w:marBottom w:val="0"/>
      <w:divBdr>
        <w:top w:val="none" w:sz="0" w:space="0" w:color="auto"/>
        <w:left w:val="none" w:sz="0" w:space="0" w:color="auto"/>
        <w:bottom w:val="none" w:sz="0" w:space="0" w:color="auto"/>
        <w:right w:val="none" w:sz="0" w:space="0" w:color="auto"/>
      </w:divBdr>
    </w:div>
    <w:div w:id="39405885">
      <w:bodyDiv w:val="1"/>
      <w:marLeft w:val="0"/>
      <w:marRight w:val="0"/>
      <w:marTop w:val="0"/>
      <w:marBottom w:val="0"/>
      <w:divBdr>
        <w:top w:val="none" w:sz="0" w:space="0" w:color="auto"/>
        <w:left w:val="none" w:sz="0" w:space="0" w:color="auto"/>
        <w:bottom w:val="none" w:sz="0" w:space="0" w:color="auto"/>
        <w:right w:val="none" w:sz="0" w:space="0" w:color="auto"/>
      </w:divBdr>
    </w:div>
    <w:div w:id="41440263">
      <w:bodyDiv w:val="1"/>
      <w:marLeft w:val="0"/>
      <w:marRight w:val="0"/>
      <w:marTop w:val="0"/>
      <w:marBottom w:val="0"/>
      <w:divBdr>
        <w:top w:val="none" w:sz="0" w:space="0" w:color="auto"/>
        <w:left w:val="none" w:sz="0" w:space="0" w:color="auto"/>
        <w:bottom w:val="none" w:sz="0" w:space="0" w:color="auto"/>
        <w:right w:val="none" w:sz="0" w:space="0" w:color="auto"/>
      </w:divBdr>
    </w:div>
    <w:div w:id="46223573">
      <w:bodyDiv w:val="1"/>
      <w:marLeft w:val="0"/>
      <w:marRight w:val="0"/>
      <w:marTop w:val="0"/>
      <w:marBottom w:val="0"/>
      <w:divBdr>
        <w:top w:val="none" w:sz="0" w:space="0" w:color="auto"/>
        <w:left w:val="none" w:sz="0" w:space="0" w:color="auto"/>
        <w:bottom w:val="none" w:sz="0" w:space="0" w:color="auto"/>
        <w:right w:val="none" w:sz="0" w:space="0" w:color="auto"/>
      </w:divBdr>
    </w:div>
    <w:div w:id="69234408">
      <w:bodyDiv w:val="1"/>
      <w:marLeft w:val="0"/>
      <w:marRight w:val="0"/>
      <w:marTop w:val="0"/>
      <w:marBottom w:val="0"/>
      <w:divBdr>
        <w:top w:val="none" w:sz="0" w:space="0" w:color="auto"/>
        <w:left w:val="none" w:sz="0" w:space="0" w:color="auto"/>
        <w:bottom w:val="none" w:sz="0" w:space="0" w:color="auto"/>
        <w:right w:val="none" w:sz="0" w:space="0" w:color="auto"/>
      </w:divBdr>
    </w:div>
    <w:div w:id="81875615">
      <w:bodyDiv w:val="1"/>
      <w:marLeft w:val="0"/>
      <w:marRight w:val="0"/>
      <w:marTop w:val="0"/>
      <w:marBottom w:val="0"/>
      <w:divBdr>
        <w:top w:val="none" w:sz="0" w:space="0" w:color="auto"/>
        <w:left w:val="none" w:sz="0" w:space="0" w:color="auto"/>
        <w:bottom w:val="none" w:sz="0" w:space="0" w:color="auto"/>
        <w:right w:val="none" w:sz="0" w:space="0" w:color="auto"/>
      </w:divBdr>
    </w:div>
    <w:div w:id="125509124">
      <w:bodyDiv w:val="1"/>
      <w:marLeft w:val="0"/>
      <w:marRight w:val="0"/>
      <w:marTop w:val="0"/>
      <w:marBottom w:val="0"/>
      <w:divBdr>
        <w:top w:val="none" w:sz="0" w:space="0" w:color="auto"/>
        <w:left w:val="none" w:sz="0" w:space="0" w:color="auto"/>
        <w:bottom w:val="none" w:sz="0" w:space="0" w:color="auto"/>
        <w:right w:val="none" w:sz="0" w:space="0" w:color="auto"/>
      </w:divBdr>
    </w:div>
    <w:div w:id="128674400">
      <w:bodyDiv w:val="1"/>
      <w:marLeft w:val="0"/>
      <w:marRight w:val="0"/>
      <w:marTop w:val="0"/>
      <w:marBottom w:val="0"/>
      <w:divBdr>
        <w:top w:val="none" w:sz="0" w:space="0" w:color="auto"/>
        <w:left w:val="none" w:sz="0" w:space="0" w:color="auto"/>
        <w:bottom w:val="none" w:sz="0" w:space="0" w:color="auto"/>
        <w:right w:val="none" w:sz="0" w:space="0" w:color="auto"/>
      </w:divBdr>
    </w:div>
    <w:div w:id="173686347">
      <w:bodyDiv w:val="1"/>
      <w:marLeft w:val="0"/>
      <w:marRight w:val="0"/>
      <w:marTop w:val="0"/>
      <w:marBottom w:val="0"/>
      <w:divBdr>
        <w:top w:val="none" w:sz="0" w:space="0" w:color="auto"/>
        <w:left w:val="none" w:sz="0" w:space="0" w:color="auto"/>
        <w:bottom w:val="none" w:sz="0" w:space="0" w:color="auto"/>
        <w:right w:val="none" w:sz="0" w:space="0" w:color="auto"/>
      </w:divBdr>
    </w:div>
    <w:div w:id="179442405">
      <w:bodyDiv w:val="1"/>
      <w:marLeft w:val="0"/>
      <w:marRight w:val="0"/>
      <w:marTop w:val="0"/>
      <w:marBottom w:val="0"/>
      <w:divBdr>
        <w:top w:val="none" w:sz="0" w:space="0" w:color="auto"/>
        <w:left w:val="none" w:sz="0" w:space="0" w:color="auto"/>
        <w:bottom w:val="none" w:sz="0" w:space="0" w:color="auto"/>
        <w:right w:val="none" w:sz="0" w:space="0" w:color="auto"/>
      </w:divBdr>
    </w:div>
    <w:div w:id="215556001">
      <w:bodyDiv w:val="1"/>
      <w:marLeft w:val="0"/>
      <w:marRight w:val="0"/>
      <w:marTop w:val="0"/>
      <w:marBottom w:val="0"/>
      <w:divBdr>
        <w:top w:val="none" w:sz="0" w:space="0" w:color="auto"/>
        <w:left w:val="none" w:sz="0" w:space="0" w:color="auto"/>
        <w:bottom w:val="none" w:sz="0" w:space="0" w:color="auto"/>
        <w:right w:val="none" w:sz="0" w:space="0" w:color="auto"/>
      </w:divBdr>
    </w:div>
    <w:div w:id="216283358">
      <w:bodyDiv w:val="1"/>
      <w:marLeft w:val="0"/>
      <w:marRight w:val="0"/>
      <w:marTop w:val="0"/>
      <w:marBottom w:val="0"/>
      <w:divBdr>
        <w:top w:val="none" w:sz="0" w:space="0" w:color="auto"/>
        <w:left w:val="none" w:sz="0" w:space="0" w:color="auto"/>
        <w:bottom w:val="none" w:sz="0" w:space="0" w:color="auto"/>
        <w:right w:val="none" w:sz="0" w:space="0" w:color="auto"/>
      </w:divBdr>
    </w:div>
    <w:div w:id="246959811">
      <w:bodyDiv w:val="1"/>
      <w:marLeft w:val="0"/>
      <w:marRight w:val="0"/>
      <w:marTop w:val="0"/>
      <w:marBottom w:val="0"/>
      <w:divBdr>
        <w:top w:val="none" w:sz="0" w:space="0" w:color="auto"/>
        <w:left w:val="none" w:sz="0" w:space="0" w:color="auto"/>
        <w:bottom w:val="none" w:sz="0" w:space="0" w:color="auto"/>
        <w:right w:val="none" w:sz="0" w:space="0" w:color="auto"/>
      </w:divBdr>
    </w:div>
    <w:div w:id="273220357">
      <w:bodyDiv w:val="1"/>
      <w:marLeft w:val="0"/>
      <w:marRight w:val="0"/>
      <w:marTop w:val="0"/>
      <w:marBottom w:val="0"/>
      <w:divBdr>
        <w:top w:val="none" w:sz="0" w:space="0" w:color="auto"/>
        <w:left w:val="none" w:sz="0" w:space="0" w:color="auto"/>
        <w:bottom w:val="none" w:sz="0" w:space="0" w:color="auto"/>
        <w:right w:val="none" w:sz="0" w:space="0" w:color="auto"/>
      </w:divBdr>
    </w:div>
    <w:div w:id="273633673">
      <w:bodyDiv w:val="1"/>
      <w:marLeft w:val="0"/>
      <w:marRight w:val="0"/>
      <w:marTop w:val="0"/>
      <w:marBottom w:val="0"/>
      <w:divBdr>
        <w:top w:val="none" w:sz="0" w:space="0" w:color="auto"/>
        <w:left w:val="none" w:sz="0" w:space="0" w:color="auto"/>
        <w:bottom w:val="none" w:sz="0" w:space="0" w:color="auto"/>
        <w:right w:val="none" w:sz="0" w:space="0" w:color="auto"/>
      </w:divBdr>
    </w:div>
    <w:div w:id="300889682">
      <w:bodyDiv w:val="1"/>
      <w:marLeft w:val="0"/>
      <w:marRight w:val="0"/>
      <w:marTop w:val="0"/>
      <w:marBottom w:val="0"/>
      <w:divBdr>
        <w:top w:val="none" w:sz="0" w:space="0" w:color="auto"/>
        <w:left w:val="none" w:sz="0" w:space="0" w:color="auto"/>
        <w:bottom w:val="none" w:sz="0" w:space="0" w:color="auto"/>
        <w:right w:val="none" w:sz="0" w:space="0" w:color="auto"/>
      </w:divBdr>
    </w:div>
    <w:div w:id="338582174">
      <w:bodyDiv w:val="1"/>
      <w:marLeft w:val="0"/>
      <w:marRight w:val="0"/>
      <w:marTop w:val="0"/>
      <w:marBottom w:val="0"/>
      <w:divBdr>
        <w:top w:val="none" w:sz="0" w:space="0" w:color="auto"/>
        <w:left w:val="none" w:sz="0" w:space="0" w:color="auto"/>
        <w:bottom w:val="none" w:sz="0" w:space="0" w:color="auto"/>
        <w:right w:val="none" w:sz="0" w:space="0" w:color="auto"/>
      </w:divBdr>
    </w:div>
    <w:div w:id="353767465">
      <w:bodyDiv w:val="1"/>
      <w:marLeft w:val="0"/>
      <w:marRight w:val="0"/>
      <w:marTop w:val="0"/>
      <w:marBottom w:val="0"/>
      <w:divBdr>
        <w:top w:val="none" w:sz="0" w:space="0" w:color="auto"/>
        <w:left w:val="none" w:sz="0" w:space="0" w:color="auto"/>
        <w:bottom w:val="none" w:sz="0" w:space="0" w:color="auto"/>
        <w:right w:val="none" w:sz="0" w:space="0" w:color="auto"/>
      </w:divBdr>
    </w:div>
    <w:div w:id="360086075">
      <w:bodyDiv w:val="1"/>
      <w:marLeft w:val="0"/>
      <w:marRight w:val="0"/>
      <w:marTop w:val="0"/>
      <w:marBottom w:val="0"/>
      <w:divBdr>
        <w:top w:val="none" w:sz="0" w:space="0" w:color="auto"/>
        <w:left w:val="none" w:sz="0" w:space="0" w:color="auto"/>
        <w:bottom w:val="none" w:sz="0" w:space="0" w:color="auto"/>
        <w:right w:val="none" w:sz="0" w:space="0" w:color="auto"/>
      </w:divBdr>
    </w:div>
    <w:div w:id="375667053">
      <w:bodyDiv w:val="1"/>
      <w:marLeft w:val="0"/>
      <w:marRight w:val="0"/>
      <w:marTop w:val="0"/>
      <w:marBottom w:val="0"/>
      <w:divBdr>
        <w:top w:val="none" w:sz="0" w:space="0" w:color="auto"/>
        <w:left w:val="none" w:sz="0" w:space="0" w:color="auto"/>
        <w:bottom w:val="none" w:sz="0" w:space="0" w:color="auto"/>
        <w:right w:val="none" w:sz="0" w:space="0" w:color="auto"/>
      </w:divBdr>
    </w:div>
    <w:div w:id="381027208">
      <w:bodyDiv w:val="1"/>
      <w:marLeft w:val="0"/>
      <w:marRight w:val="0"/>
      <w:marTop w:val="0"/>
      <w:marBottom w:val="0"/>
      <w:divBdr>
        <w:top w:val="none" w:sz="0" w:space="0" w:color="auto"/>
        <w:left w:val="none" w:sz="0" w:space="0" w:color="auto"/>
        <w:bottom w:val="none" w:sz="0" w:space="0" w:color="auto"/>
        <w:right w:val="none" w:sz="0" w:space="0" w:color="auto"/>
      </w:divBdr>
    </w:div>
    <w:div w:id="381028459">
      <w:bodyDiv w:val="1"/>
      <w:marLeft w:val="0"/>
      <w:marRight w:val="0"/>
      <w:marTop w:val="0"/>
      <w:marBottom w:val="0"/>
      <w:divBdr>
        <w:top w:val="none" w:sz="0" w:space="0" w:color="auto"/>
        <w:left w:val="none" w:sz="0" w:space="0" w:color="auto"/>
        <w:bottom w:val="none" w:sz="0" w:space="0" w:color="auto"/>
        <w:right w:val="none" w:sz="0" w:space="0" w:color="auto"/>
      </w:divBdr>
    </w:div>
    <w:div w:id="391347144">
      <w:bodyDiv w:val="1"/>
      <w:marLeft w:val="0"/>
      <w:marRight w:val="0"/>
      <w:marTop w:val="0"/>
      <w:marBottom w:val="0"/>
      <w:divBdr>
        <w:top w:val="none" w:sz="0" w:space="0" w:color="auto"/>
        <w:left w:val="none" w:sz="0" w:space="0" w:color="auto"/>
        <w:bottom w:val="none" w:sz="0" w:space="0" w:color="auto"/>
        <w:right w:val="none" w:sz="0" w:space="0" w:color="auto"/>
      </w:divBdr>
    </w:div>
    <w:div w:id="391461724">
      <w:bodyDiv w:val="1"/>
      <w:marLeft w:val="0"/>
      <w:marRight w:val="0"/>
      <w:marTop w:val="0"/>
      <w:marBottom w:val="0"/>
      <w:divBdr>
        <w:top w:val="none" w:sz="0" w:space="0" w:color="auto"/>
        <w:left w:val="none" w:sz="0" w:space="0" w:color="auto"/>
        <w:bottom w:val="none" w:sz="0" w:space="0" w:color="auto"/>
        <w:right w:val="none" w:sz="0" w:space="0" w:color="auto"/>
      </w:divBdr>
    </w:div>
    <w:div w:id="391855611">
      <w:bodyDiv w:val="1"/>
      <w:marLeft w:val="0"/>
      <w:marRight w:val="0"/>
      <w:marTop w:val="0"/>
      <w:marBottom w:val="0"/>
      <w:divBdr>
        <w:top w:val="none" w:sz="0" w:space="0" w:color="auto"/>
        <w:left w:val="none" w:sz="0" w:space="0" w:color="auto"/>
        <w:bottom w:val="none" w:sz="0" w:space="0" w:color="auto"/>
        <w:right w:val="none" w:sz="0" w:space="0" w:color="auto"/>
      </w:divBdr>
    </w:div>
    <w:div w:id="402072426">
      <w:bodyDiv w:val="1"/>
      <w:marLeft w:val="0"/>
      <w:marRight w:val="0"/>
      <w:marTop w:val="0"/>
      <w:marBottom w:val="0"/>
      <w:divBdr>
        <w:top w:val="none" w:sz="0" w:space="0" w:color="auto"/>
        <w:left w:val="none" w:sz="0" w:space="0" w:color="auto"/>
        <w:bottom w:val="none" w:sz="0" w:space="0" w:color="auto"/>
        <w:right w:val="none" w:sz="0" w:space="0" w:color="auto"/>
      </w:divBdr>
    </w:div>
    <w:div w:id="424886214">
      <w:bodyDiv w:val="1"/>
      <w:marLeft w:val="0"/>
      <w:marRight w:val="0"/>
      <w:marTop w:val="0"/>
      <w:marBottom w:val="0"/>
      <w:divBdr>
        <w:top w:val="none" w:sz="0" w:space="0" w:color="auto"/>
        <w:left w:val="none" w:sz="0" w:space="0" w:color="auto"/>
        <w:bottom w:val="none" w:sz="0" w:space="0" w:color="auto"/>
        <w:right w:val="none" w:sz="0" w:space="0" w:color="auto"/>
      </w:divBdr>
    </w:div>
    <w:div w:id="438140846">
      <w:bodyDiv w:val="1"/>
      <w:marLeft w:val="0"/>
      <w:marRight w:val="0"/>
      <w:marTop w:val="0"/>
      <w:marBottom w:val="0"/>
      <w:divBdr>
        <w:top w:val="none" w:sz="0" w:space="0" w:color="auto"/>
        <w:left w:val="none" w:sz="0" w:space="0" w:color="auto"/>
        <w:bottom w:val="none" w:sz="0" w:space="0" w:color="auto"/>
        <w:right w:val="none" w:sz="0" w:space="0" w:color="auto"/>
      </w:divBdr>
    </w:div>
    <w:div w:id="467356868">
      <w:bodyDiv w:val="1"/>
      <w:marLeft w:val="0"/>
      <w:marRight w:val="0"/>
      <w:marTop w:val="0"/>
      <w:marBottom w:val="0"/>
      <w:divBdr>
        <w:top w:val="none" w:sz="0" w:space="0" w:color="auto"/>
        <w:left w:val="none" w:sz="0" w:space="0" w:color="auto"/>
        <w:bottom w:val="none" w:sz="0" w:space="0" w:color="auto"/>
        <w:right w:val="none" w:sz="0" w:space="0" w:color="auto"/>
      </w:divBdr>
    </w:div>
    <w:div w:id="474563754">
      <w:bodyDiv w:val="1"/>
      <w:marLeft w:val="0"/>
      <w:marRight w:val="0"/>
      <w:marTop w:val="0"/>
      <w:marBottom w:val="0"/>
      <w:divBdr>
        <w:top w:val="none" w:sz="0" w:space="0" w:color="auto"/>
        <w:left w:val="none" w:sz="0" w:space="0" w:color="auto"/>
        <w:bottom w:val="none" w:sz="0" w:space="0" w:color="auto"/>
        <w:right w:val="none" w:sz="0" w:space="0" w:color="auto"/>
      </w:divBdr>
    </w:div>
    <w:div w:id="500971705">
      <w:bodyDiv w:val="1"/>
      <w:marLeft w:val="0"/>
      <w:marRight w:val="0"/>
      <w:marTop w:val="0"/>
      <w:marBottom w:val="0"/>
      <w:divBdr>
        <w:top w:val="none" w:sz="0" w:space="0" w:color="auto"/>
        <w:left w:val="none" w:sz="0" w:space="0" w:color="auto"/>
        <w:bottom w:val="none" w:sz="0" w:space="0" w:color="auto"/>
        <w:right w:val="none" w:sz="0" w:space="0" w:color="auto"/>
      </w:divBdr>
    </w:div>
    <w:div w:id="507721970">
      <w:bodyDiv w:val="1"/>
      <w:marLeft w:val="0"/>
      <w:marRight w:val="0"/>
      <w:marTop w:val="0"/>
      <w:marBottom w:val="0"/>
      <w:divBdr>
        <w:top w:val="none" w:sz="0" w:space="0" w:color="auto"/>
        <w:left w:val="none" w:sz="0" w:space="0" w:color="auto"/>
        <w:bottom w:val="none" w:sz="0" w:space="0" w:color="auto"/>
        <w:right w:val="none" w:sz="0" w:space="0" w:color="auto"/>
      </w:divBdr>
    </w:div>
    <w:div w:id="508495590">
      <w:bodyDiv w:val="1"/>
      <w:marLeft w:val="0"/>
      <w:marRight w:val="0"/>
      <w:marTop w:val="0"/>
      <w:marBottom w:val="0"/>
      <w:divBdr>
        <w:top w:val="none" w:sz="0" w:space="0" w:color="auto"/>
        <w:left w:val="none" w:sz="0" w:space="0" w:color="auto"/>
        <w:bottom w:val="none" w:sz="0" w:space="0" w:color="auto"/>
        <w:right w:val="none" w:sz="0" w:space="0" w:color="auto"/>
      </w:divBdr>
    </w:div>
    <w:div w:id="517155993">
      <w:bodyDiv w:val="1"/>
      <w:marLeft w:val="0"/>
      <w:marRight w:val="0"/>
      <w:marTop w:val="0"/>
      <w:marBottom w:val="0"/>
      <w:divBdr>
        <w:top w:val="none" w:sz="0" w:space="0" w:color="auto"/>
        <w:left w:val="none" w:sz="0" w:space="0" w:color="auto"/>
        <w:bottom w:val="none" w:sz="0" w:space="0" w:color="auto"/>
        <w:right w:val="none" w:sz="0" w:space="0" w:color="auto"/>
      </w:divBdr>
    </w:div>
    <w:div w:id="520626793">
      <w:bodyDiv w:val="1"/>
      <w:marLeft w:val="0"/>
      <w:marRight w:val="0"/>
      <w:marTop w:val="0"/>
      <w:marBottom w:val="0"/>
      <w:divBdr>
        <w:top w:val="none" w:sz="0" w:space="0" w:color="auto"/>
        <w:left w:val="none" w:sz="0" w:space="0" w:color="auto"/>
        <w:bottom w:val="none" w:sz="0" w:space="0" w:color="auto"/>
        <w:right w:val="none" w:sz="0" w:space="0" w:color="auto"/>
      </w:divBdr>
    </w:div>
    <w:div w:id="538935076">
      <w:bodyDiv w:val="1"/>
      <w:marLeft w:val="0"/>
      <w:marRight w:val="0"/>
      <w:marTop w:val="0"/>
      <w:marBottom w:val="0"/>
      <w:divBdr>
        <w:top w:val="none" w:sz="0" w:space="0" w:color="auto"/>
        <w:left w:val="none" w:sz="0" w:space="0" w:color="auto"/>
        <w:bottom w:val="none" w:sz="0" w:space="0" w:color="auto"/>
        <w:right w:val="none" w:sz="0" w:space="0" w:color="auto"/>
      </w:divBdr>
    </w:div>
    <w:div w:id="583222993">
      <w:bodyDiv w:val="1"/>
      <w:marLeft w:val="0"/>
      <w:marRight w:val="0"/>
      <w:marTop w:val="0"/>
      <w:marBottom w:val="0"/>
      <w:divBdr>
        <w:top w:val="none" w:sz="0" w:space="0" w:color="auto"/>
        <w:left w:val="none" w:sz="0" w:space="0" w:color="auto"/>
        <w:bottom w:val="none" w:sz="0" w:space="0" w:color="auto"/>
        <w:right w:val="none" w:sz="0" w:space="0" w:color="auto"/>
      </w:divBdr>
    </w:div>
    <w:div w:id="616525560">
      <w:bodyDiv w:val="1"/>
      <w:marLeft w:val="0"/>
      <w:marRight w:val="0"/>
      <w:marTop w:val="0"/>
      <w:marBottom w:val="0"/>
      <w:divBdr>
        <w:top w:val="none" w:sz="0" w:space="0" w:color="auto"/>
        <w:left w:val="none" w:sz="0" w:space="0" w:color="auto"/>
        <w:bottom w:val="none" w:sz="0" w:space="0" w:color="auto"/>
        <w:right w:val="none" w:sz="0" w:space="0" w:color="auto"/>
      </w:divBdr>
    </w:div>
    <w:div w:id="643780754">
      <w:bodyDiv w:val="1"/>
      <w:marLeft w:val="0"/>
      <w:marRight w:val="0"/>
      <w:marTop w:val="0"/>
      <w:marBottom w:val="0"/>
      <w:divBdr>
        <w:top w:val="none" w:sz="0" w:space="0" w:color="auto"/>
        <w:left w:val="none" w:sz="0" w:space="0" w:color="auto"/>
        <w:bottom w:val="none" w:sz="0" w:space="0" w:color="auto"/>
        <w:right w:val="none" w:sz="0" w:space="0" w:color="auto"/>
      </w:divBdr>
    </w:div>
    <w:div w:id="681854053">
      <w:bodyDiv w:val="1"/>
      <w:marLeft w:val="0"/>
      <w:marRight w:val="0"/>
      <w:marTop w:val="0"/>
      <w:marBottom w:val="0"/>
      <w:divBdr>
        <w:top w:val="none" w:sz="0" w:space="0" w:color="auto"/>
        <w:left w:val="none" w:sz="0" w:space="0" w:color="auto"/>
        <w:bottom w:val="none" w:sz="0" w:space="0" w:color="auto"/>
        <w:right w:val="none" w:sz="0" w:space="0" w:color="auto"/>
      </w:divBdr>
    </w:div>
    <w:div w:id="711072526">
      <w:bodyDiv w:val="1"/>
      <w:marLeft w:val="0"/>
      <w:marRight w:val="0"/>
      <w:marTop w:val="0"/>
      <w:marBottom w:val="0"/>
      <w:divBdr>
        <w:top w:val="none" w:sz="0" w:space="0" w:color="auto"/>
        <w:left w:val="none" w:sz="0" w:space="0" w:color="auto"/>
        <w:bottom w:val="none" w:sz="0" w:space="0" w:color="auto"/>
        <w:right w:val="none" w:sz="0" w:space="0" w:color="auto"/>
      </w:divBdr>
    </w:div>
    <w:div w:id="740256637">
      <w:bodyDiv w:val="1"/>
      <w:marLeft w:val="0"/>
      <w:marRight w:val="0"/>
      <w:marTop w:val="0"/>
      <w:marBottom w:val="0"/>
      <w:divBdr>
        <w:top w:val="none" w:sz="0" w:space="0" w:color="auto"/>
        <w:left w:val="none" w:sz="0" w:space="0" w:color="auto"/>
        <w:bottom w:val="none" w:sz="0" w:space="0" w:color="auto"/>
        <w:right w:val="none" w:sz="0" w:space="0" w:color="auto"/>
      </w:divBdr>
    </w:div>
    <w:div w:id="764544174">
      <w:bodyDiv w:val="1"/>
      <w:marLeft w:val="0"/>
      <w:marRight w:val="0"/>
      <w:marTop w:val="0"/>
      <w:marBottom w:val="0"/>
      <w:divBdr>
        <w:top w:val="none" w:sz="0" w:space="0" w:color="auto"/>
        <w:left w:val="none" w:sz="0" w:space="0" w:color="auto"/>
        <w:bottom w:val="none" w:sz="0" w:space="0" w:color="auto"/>
        <w:right w:val="none" w:sz="0" w:space="0" w:color="auto"/>
      </w:divBdr>
    </w:div>
    <w:div w:id="773521544">
      <w:bodyDiv w:val="1"/>
      <w:marLeft w:val="0"/>
      <w:marRight w:val="0"/>
      <w:marTop w:val="0"/>
      <w:marBottom w:val="0"/>
      <w:divBdr>
        <w:top w:val="none" w:sz="0" w:space="0" w:color="auto"/>
        <w:left w:val="none" w:sz="0" w:space="0" w:color="auto"/>
        <w:bottom w:val="none" w:sz="0" w:space="0" w:color="auto"/>
        <w:right w:val="none" w:sz="0" w:space="0" w:color="auto"/>
      </w:divBdr>
    </w:div>
    <w:div w:id="774134777">
      <w:bodyDiv w:val="1"/>
      <w:marLeft w:val="0"/>
      <w:marRight w:val="0"/>
      <w:marTop w:val="0"/>
      <w:marBottom w:val="0"/>
      <w:divBdr>
        <w:top w:val="none" w:sz="0" w:space="0" w:color="auto"/>
        <w:left w:val="none" w:sz="0" w:space="0" w:color="auto"/>
        <w:bottom w:val="none" w:sz="0" w:space="0" w:color="auto"/>
        <w:right w:val="none" w:sz="0" w:space="0" w:color="auto"/>
      </w:divBdr>
    </w:div>
    <w:div w:id="782069169">
      <w:bodyDiv w:val="1"/>
      <w:marLeft w:val="0"/>
      <w:marRight w:val="0"/>
      <w:marTop w:val="0"/>
      <w:marBottom w:val="0"/>
      <w:divBdr>
        <w:top w:val="none" w:sz="0" w:space="0" w:color="auto"/>
        <w:left w:val="none" w:sz="0" w:space="0" w:color="auto"/>
        <w:bottom w:val="none" w:sz="0" w:space="0" w:color="auto"/>
        <w:right w:val="none" w:sz="0" w:space="0" w:color="auto"/>
      </w:divBdr>
    </w:div>
    <w:div w:id="794106337">
      <w:bodyDiv w:val="1"/>
      <w:marLeft w:val="0"/>
      <w:marRight w:val="0"/>
      <w:marTop w:val="0"/>
      <w:marBottom w:val="0"/>
      <w:divBdr>
        <w:top w:val="none" w:sz="0" w:space="0" w:color="auto"/>
        <w:left w:val="none" w:sz="0" w:space="0" w:color="auto"/>
        <w:bottom w:val="none" w:sz="0" w:space="0" w:color="auto"/>
        <w:right w:val="none" w:sz="0" w:space="0" w:color="auto"/>
      </w:divBdr>
    </w:div>
    <w:div w:id="795221902">
      <w:bodyDiv w:val="1"/>
      <w:marLeft w:val="0"/>
      <w:marRight w:val="0"/>
      <w:marTop w:val="0"/>
      <w:marBottom w:val="0"/>
      <w:divBdr>
        <w:top w:val="none" w:sz="0" w:space="0" w:color="auto"/>
        <w:left w:val="none" w:sz="0" w:space="0" w:color="auto"/>
        <w:bottom w:val="none" w:sz="0" w:space="0" w:color="auto"/>
        <w:right w:val="none" w:sz="0" w:space="0" w:color="auto"/>
      </w:divBdr>
    </w:div>
    <w:div w:id="808402325">
      <w:bodyDiv w:val="1"/>
      <w:marLeft w:val="0"/>
      <w:marRight w:val="0"/>
      <w:marTop w:val="0"/>
      <w:marBottom w:val="0"/>
      <w:divBdr>
        <w:top w:val="none" w:sz="0" w:space="0" w:color="auto"/>
        <w:left w:val="none" w:sz="0" w:space="0" w:color="auto"/>
        <w:bottom w:val="none" w:sz="0" w:space="0" w:color="auto"/>
        <w:right w:val="none" w:sz="0" w:space="0" w:color="auto"/>
      </w:divBdr>
    </w:div>
    <w:div w:id="860554764">
      <w:bodyDiv w:val="1"/>
      <w:marLeft w:val="0"/>
      <w:marRight w:val="0"/>
      <w:marTop w:val="0"/>
      <w:marBottom w:val="0"/>
      <w:divBdr>
        <w:top w:val="none" w:sz="0" w:space="0" w:color="auto"/>
        <w:left w:val="none" w:sz="0" w:space="0" w:color="auto"/>
        <w:bottom w:val="none" w:sz="0" w:space="0" w:color="auto"/>
        <w:right w:val="none" w:sz="0" w:space="0" w:color="auto"/>
      </w:divBdr>
    </w:div>
    <w:div w:id="866216474">
      <w:bodyDiv w:val="1"/>
      <w:marLeft w:val="0"/>
      <w:marRight w:val="0"/>
      <w:marTop w:val="0"/>
      <w:marBottom w:val="0"/>
      <w:divBdr>
        <w:top w:val="none" w:sz="0" w:space="0" w:color="auto"/>
        <w:left w:val="none" w:sz="0" w:space="0" w:color="auto"/>
        <w:bottom w:val="none" w:sz="0" w:space="0" w:color="auto"/>
        <w:right w:val="none" w:sz="0" w:space="0" w:color="auto"/>
      </w:divBdr>
    </w:div>
    <w:div w:id="872032502">
      <w:bodyDiv w:val="1"/>
      <w:marLeft w:val="0"/>
      <w:marRight w:val="0"/>
      <w:marTop w:val="0"/>
      <w:marBottom w:val="0"/>
      <w:divBdr>
        <w:top w:val="none" w:sz="0" w:space="0" w:color="auto"/>
        <w:left w:val="none" w:sz="0" w:space="0" w:color="auto"/>
        <w:bottom w:val="none" w:sz="0" w:space="0" w:color="auto"/>
        <w:right w:val="none" w:sz="0" w:space="0" w:color="auto"/>
      </w:divBdr>
    </w:div>
    <w:div w:id="878594307">
      <w:bodyDiv w:val="1"/>
      <w:marLeft w:val="0"/>
      <w:marRight w:val="0"/>
      <w:marTop w:val="0"/>
      <w:marBottom w:val="0"/>
      <w:divBdr>
        <w:top w:val="none" w:sz="0" w:space="0" w:color="auto"/>
        <w:left w:val="none" w:sz="0" w:space="0" w:color="auto"/>
        <w:bottom w:val="none" w:sz="0" w:space="0" w:color="auto"/>
        <w:right w:val="none" w:sz="0" w:space="0" w:color="auto"/>
      </w:divBdr>
    </w:div>
    <w:div w:id="920800271">
      <w:bodyDiv w:val="1"/>
      <w:marLeft w:val="0"/>
      <w:marRight w:val="0"/>
      <w:marTop w:val="0"/>
      <w:marBottom w:val="0"/>
      <w:divBdr>
        <w:top w:val="none" w:sz="0" w:space="0" w:color="auto"/>
        <w:left w:val="none" w:sz="0" w:space="0" w:color="auto"/>
        <w:bottom w:val="none" w:sz="0" w:space="0" w:color="auto"/>
        <w:right w:val="none" w:sz="0" w:space="0" w:color="auto"/>
      </w:divBdr>
    </w:div>
    <w:div w:id="934286155">
      <w:bodyDiv w:val="1"/>
      <w:marLeft w:val="0"/>
      <w:marRight w:val="0"/>
      <w:marTop w:val="0"/>
      <w:marBottom w:val="0"/>
      <w:divBdr>
        <w:top w:val="none" w:sz="0" w:space="0" w:color="auto"/>
        <w:left w:val="none" w:sz="0" w:space="0" w:color="auto"/>
        <w:bottom w:val="none" w:sz="0" w:space="0" w:color="auto"/>
        <w:right w:val="none" w:sz="0" w:space="0" w:color="auto"/>
      </w:divBdr>
    </w:div>
    <w:div w:id="940721734">
      <w:bodyDiv w:val="1"/>
      <w:marLeft w:val="0"/>
      <w:marRight w:val="0"/>
      <w:marTop w:val="0"/>
      <w:marBottom w:val="0"/>
      <w:divBdr>
        <w:top w:val="none" w:sz="0" w:space="0" w:color="auto"/>
        <w:left w:val="none" w:sz="0" w:space="0" w:color="auto"/>
        <w:bottom w:val="none" w:sz="0" w:space="0" w:color="auto"/>
        <w:right w:val="none" w:sz="0" w:space="0" w:color="auto"/>
      </w:divBdr>
    </w:div>
    <w:div w:id="942763171">
      <w:bodyDiv w:val="1"/>
      <w:marLeft w:val="0"/>
      <w:marRight w:val="0"/>
      <w:marTop w:val="0"/>
      <w:marBottom w:val="0"/>
      <w:divBdr>
        <w:top w:val="none" w:sz="0" w:space="0" w:color="auto"/>
        <w:left w:val="none" w:sz="0" w:space="0" w:color="auto"/>
        <w:bottom w:val="none" w:sz="0" w:space="0" w:color="auto"/>
        <w:right w:val="none" w:sz="0" w:space="0" w:color="auto"/>
      </w:divBdr>
    </w:div>
    <w:div w:id="989213099">
      <w:bodyDiv w:val="1"/>
      <w:marLeft w:val="0"/>
      <w:marRight w:val="0"/>
      <w:marTop w:val="0"/>
      <w:marBottom w:val="0"/>
      <w:divBdr>
        <w:top w:val="none" w:sz="0" w:space="0" w:color="auto"/>
        <w:left w:val="none" w:sz="0" w:space="0" w:color="auto"/>
        <w:bottom w:val="none" w:sz="0" w:space="0" w:color="auto"/>
        <w:right w:val="none" w:sz="0" w:space="0" w:color="auto"/>
      </w:divBdr>
    </w:div>
    <w:div w:id="994335906">
      <w:bodyDiv w:val="1"/>
      <w:marLeft w:val="0"/>
      <w:marRight w:val="0"/>
      <w:marTop w:val="0"/>
      <w:marBottom w:val="0"/>
      <w:divBdr>
        <w:top w:val="none" w:sz="0" w:space="0" w:color="auto"/>
        <w:left w:val="none" w:sz="0" w:space="0" w:color="auto"/>
        <w:bottom w:val="none" w:sz="0" w:space="0" w:color="auto"/>
        <w:right w:val="none" w:sz="0" w:space="0" w:color="auto"/>
      </w:divBdr>
    </w:div>
    <w:div w:id="1001087235">
      <w:bodyDiv w:val="1"/>
      <w:marLeft w:val="0"/>
      <w:marRight w:val="0"/>
      <w:marTop w:val="0"/>
      <w:marBottom w:val="0"/>
      <w:divBdr>
        <w:top w:val="none" w:sz="0" w:space="0" w:color="auto"/>
        <w:left w:val="none" w:sz="0" w:space="0" w:color="auto"/>
        <w:bottom w:val="none" w:sz="0" w:space="0" w:color="auto"/>
        <w:right w:val="none" w:sz="0" w:space="0" w:color="auto"/>
      </w:divBdr>
    </w:div>
    <w:div w:id="1014964886">
      <w:bodyDiv w:val="1"/>
      <w:marLeft w:val="0"/>
      <w:marRight w:val="0"/>
      <w:marTop w:val="0"/>
      <w:marBottom w:val="0"/>
      <w:divBdr>
        <w:top w:val="none" w:sz="0" w:space="0" w:color="auto"/>
        <w:left w:val="none" w:sz="0" w:space="0" w:color="auto"/>
        <w:bottom w:val="none" w:sz="0" w:space="0" w:color="auto"/>
        <w:right w:val="none" w:sz="0" w:space="0" w:color="auto"/>
      </w:divBdr>
    </w:div>
    <w:div w:id="1086879811">
      <w:bodyDiv w:val="1"/>
      <w:marLeft w:val="0"/>
      <w:marRight w:val="0"/>
      <w:marTop w:val="0"/>
      <w:marBottom w:val="0"/>
      <w:divBdr>
        <w:top w:val="none" w:sz="0" w:space="0" w:color="auto"/>
        <w:left w:val="none" w:sz="0" w:space="0" w:color="auto"/>
        <w:bottom w:val="none" w:sz="0" w:space="0" w:color="auto"/>
        <w:right w:val="none" w:sz="0" w:space="0" w:color="auto"/>
      </w:divBdr>
    </w:div>
    <w:div w:id="1093668664">
      <w:bodyDiv w:val="1"/>
      <w:marLeft w:val="0"/>
      <w:marRight w:val="0"/>
      <w:marTop w:val="0"/>
      <w:marBottom w:val="0"/>
      <w:divBdr>
        <w:top w:val="none" w:sz="0" w:space="0" w:color="auto"/>
        <w:left w:val="none" w:sz="0" w:space="0" w:color="auto"/>
        <w:bottom w:val="none" w:sz="0" w:space="0" w:color="auto"/>
        <w:right w:val="none" w:sz="0" w:space="0" w:color="auto"/>
      </w:divBdr>
      <w:divsChild>
        <w:div w:id="938679733">
          <w:marLeft w:val="547"/>
          <w:marRight w:val="0"/>
          <w:marTop w:val="106"/>
          <w:marBottom w:val="0"/>
          <w:divBdr>
            <w:top w:val="none" w:sz="0" w:space="0" w:color="auto"/>
            <w:left w:val="none" w:sz="0" w:space="0" w:color="auto"/>
            <w:bottom w:val="none" w:sz="0" w:space="0" w:color="auto"/>
            <w:right w:val="none" w:sz="0" w:space="0" w:color="auto"/>
          </w:divBdr>
        </w:div>
        <w:div w:id="520509835">
          <w:marLeft w:val="547"/>
          <w:marRight w:val="0"/>
          <w:marTop w:val="106"/>
          <w:marBottom w:val="0"/>
          <w:divBdr>
            <w:top w:val="none" w:sz="0" w:space="0" w:color="auto"/>
            <w:left w:val="none" w:sz="0" w:space="0" w:color="auto"/>
            <w:bottom w:val="none" w:sz="0" w:space="0" w:color="auto"/>
            <w:right w:val="none" w:sz="0" w:space="0" w:color="auto"/>
          </w:divBdr>
        </w:div>
      </w:divsChild>
    </w:div>
    <w:div w:id="1102919688">
      <w:bodyDiv w:val="1"/>
      <w:marLeft w:val="0"/>
      <w:marRight w:val="0"/>
      <w:marTop w:val="0"/>
      <w:marBottom w:val="0"/>
      <w:divBdr>
        <w:top w:val="none" w:sz="0" w:space="0" w:color="auto"/>
        <w:left w:val="none" w:sz="0" w:space="0" w:color="auto"/>
        <w:bottom w:val="none" w:sz="0" w:space="0" w:color="auto"/>
        <w:right w:val="none" w:sz="0" w:space="0" w:color="auto"/>
      </w:divBdr>
    </w:div>
    <w:div w:id="1115907127">
      <w:bodyDiv w:val="1"/>
      <w:marLeft w:val="0"/>
      <w:marRight w:val="0"/>
      <w:marTop w:val="0"/>
      <w:marBottom w:val="0"/>
      <w:divBdr>
        <w:top w:val="none" w:sz="0" w:space="0" w:color="auto"/>
        <w:left w:val="none" w:sz="0" w:space="0" w:color="auto"/>
        <w:bottom w:val="none" w:sz="0" w:space="0" w:color="auto"/>
        <w:right w:val="none" w:sz="0" w:space="0" w:color="auto"/>
      </w:divBdr>
    </w:div>
    <w:div w:id="1123767620">
      <w:bodyDiv w:val="1"/>
      <w:marLeft w:val="0"/>
      <w:marRight w:val="0"/>
      <w:marTop w:val="0"/>
      <w:marBottom w:val="0"/>
      <w:divBdr>
        <w:top w:val="none" w:sz="0" w:space="0" w:color="auto"/>
        <w:left w:val="none" w:sz="0" w:space="0" w:color="auto"/>
        <w:bottom w:val="none" w:sz="0" w:space="0" w:color="auto"/>
        <w:right w:val="none" w:sz="0" w:space="0" w:color="auto"/>
      </w:divBdr>
    </w:div>
    <w:div w:id="1169324151">
      <w:bodyDiv w:val="1"/>
      <w:marLeft w:val="0"/>
      <w:marRight w:val="0"/>
      <w:marTop w:val="0"/>
      <w:marBottom w:val="0"/>
      <w:divBdr>
        <w:top w:val="none" w:sz="0" w:space="0" w:color="auto"/>
        <w:left w:val="none" w:sz="0" w:space="0" w:color="auto"/>
        <w:bottom w:val="none" w:sz="0" w:space="0" w:color="auto"/>
        <w:right w:val="none" w:sz="0" w:space="0" w:color="auto"/>
      </w:divBdr>
    </w:div>
    <w:div w:id="1179925462">
      <w:bodyDiv w:val="1"/>
      <w:marLeft w:val="0"/>
      <w:marRight w:val="0"/>
      <w:marTop w:val="0"/>
      <w:marBottom w:val="0"/>
      <w:divBdr>
        <w:top w:val="none" w:sz="0" w:space="0" w:color="auto"/>
        <w:left w:val="none" w:sz="0" w:space="0" w:color="auto"/>
        <w:bottom w:val="none" w:sz="0" w:space="0" w:color="auto"/>
        <w:right w:val="none" w:sz="0" w:space="0" w:color="auto"/>
      </w:divBdr>
    </w:div>
    <w:div w:id="1194466450">
      <w:bodyDiv w:val="1"/>
      <w:marLeft w:val="0"/>
      <w:marRight w:val="0"/>
      <w:marTop w:val="0"/>
      <w:marBottom w:val="0"/>
      <w:divBdr>
        <w:top w:val="none" w:sz="0" w:space="0" w:color="auto"/>
        <w:left w:val="none" w:sz="0" w:space="0" w:color="auto"/>
        <w:bottom w:val="none" w:sz="0" w:space="0" w:color="auto"/>
        <w:right w:val="none" w:sz="0" w:space="0" w:color="auto"/>
      </w:divBdr>
    </w:div>
    <w:div w:id="1246721698">
      <w:bodyDiv w:val="1"/>
      <w:marLeft w:val="0"/>
      <w:marRight w:val="0"/>
      <w:marTop w:val="0"/>
      <w:marBottom w:val="0"/>
      <w:divBdr>
        <w:top w:val="none" w:sz="0" w:space="0" w:color="auto"/>
        <w:left w:val="none" w:sz="0" w:space="0" w:color="auto"/>
        <w:bottom w:val="none" w:sz="0" w:space="0" w:color="auto"/>
        <w:right w:val="none" w:sz="0" w:space="0" w:color="auto"/>
      </w:divBdr>
      <w:divsChild>
        <w:div w:id="1126120381">
          <w:marLeft w:val="0"/>
          <w:marRight w:val="0"/>
          <w:marTop w:val="0"/>
          <w:marBottom w:val="0"/>
          <w:divBdr>
            <w:top w:val="none" w:sz="0" w:space="0" w:color="auto"/>
            <w:left w:val="none" w:sz="0" w:space="0" w:color="auto"/>
            <w:bottom w:val="none" w:sz="0" w:space="0" w:color="auto"/>
            <w:right w:val="none" w:sz="0" w:space="0" w:color="auto"/>
          </w:divBdr>
          <w:divsChild>
            <w:div w:id="1352292837">
              <w:marLeft w:val="0"/>
              <w:marRight w:val="0"/>
              <w:marTop w:val="150"/>
              <w:marBottom w:val="0"/>
              <w:divBdr>
                <w:top w:val="none" w:sz="0" w:space="0" w:color="auto"/>
                <w:left w:val="none" w:sz="0" w:space="0" w:color="auto"/>
                <w:bottom w:val="none" w:sz="0" w:space="0" w:color="auto"/>
                <w:right w:val="none" w:sz="0" w:space="0" w:color="auto"/>
              </w:divBdr>
              <w:divsChild>
                <w:div w:id="1030107645">
                  <w:marLeft w:val="-225"/>
                  <w:marRight w:val="-225"/>
                  <w:marTop w:val="0"/>
                  <w:marBottom w:val="0"/>
                  <w:divBdr>
                    <w:top w:val="none" w:sz="0" w:space="0" w:color="auto"/>
                    <w:left w:val="none" w:sz="0" w:space="0" w:color="auto"/>
                    <w:bottom w:val="none" w:sz="0" w:space="0" w:color="auto"/>
                    <w:right w:val="none" w:sz="0" w:space="0" w:color="auto"/>
                  </w:divBdr>
                  <w:divsChild>
                    <w:div w:id="957299281">
                      <w:marLeft w:val="0"/>
                      <w:marRight w:val="0"/>
                      <w:marTop w:val="0"/>
                      <w:marBottom w:val="0"/>
                      <w:divBdr>
                        <w:top w:val="none" w:sz="0" w:space="0" w:color="auto"/>
                        <w:left w:val="none" w:sz="0" w:space="0" w:color="auto"/>
                        <w:bottom w:val="none" w:sz="0" w:space="0" w:color="auto"/>
                        <w:right w:val="none" w:sz="0" w:space="0" w:color="auto"/>
                      </w:divBdr>
                      <w:divsChild>
                        <w:div w:id="2077897880">
                          <w:marLeft w:val="-225"/>
                          <w:marRight w:val="-225"/>
                          <w:marTop w:val="0"/>
                          <w:marBottom w:val="0"/>
                          <w:divBdr>
                            <w:top w:val="none" w:sz="0" w:space="0" w:color="auto"/>
                            <w:left w:val="none" w:sz="0" w:space="0" w:color="auto"/>
                            <w:bottom w:val="none" w:sz="0" w:space="0" w:color="auto"/>
                            <w:right w:val="none" w:sz="0" w:space="0" w:color="auto"/>
                          </w:divBdr>
                          <w:divsChild>
                            <w:div w:id="1741172806">
                              <w:marLeft w:val="0"/>
                              <w:marRight w:val="0"/>
                              <w:marTop w:val="0"/>
                              <w:marBottom w:val="0"/>
                              <w:divBdr>
                                <w:top w:val="none" w:sz="0" w:space="0" w:color="auto"/>
                                <w:left w:val="none" w:sz="0" w:space="0" w:color="auto"/>
                                <w:bottom w:val="none" w:sz="0" w:space="0" w:color="auto"/>
                                <w:right w:val="none" w:sz="0" w:space="0" w:color="auto"/>
                              </w:divBdr>
                              <w:divsChild>
                                <w:div w:id="1806578611">
                                  <w:marLeft w:val="0"/>
                                  <w:marRight w:val="0"/>
                                  <w:marTop w:val="0"/>
                                  <w:marBottom w:val="0"/>
                                  <w:divBdr>
                                    <w:top w:val="none" w:sz="0" w:space="0" w:color="auto"/>
                                    <w:left w:val="none" w:sz="0" w:space="0" w:color="auto"/>
                                    <w:bottom w:val="none" w:sz="0" w:space="0" w:color="auto"/>
                                    <w:right w:val="none" w:sz="0" w:space="0" w:color="auto"/>
                                  </w:divBdr>
                                  <w:divsChild>
                                    <w:div w:id="969212874">
                                      <w:marLeft w:val="0"/>
                                      <w:marRight w:val="0"/>
                                      <w:marTop w:val="0"/>
                                      <w:marBottom w:val="0"/>
                                      <w:divBdr>
                                        <w:top w:val="none" w:sz="0" w:space="0" w:color="auto"/>
                                        <w:left w:val="none" w:sz="0" w:space="0" w:color="auto"/>
                                        <w:bottom w:val="none" w:sz="0" w:space="0" w:color="auto"/>
                                        <w:right w:val="none" w:sz="0" w:space="0" w:color="auto"/>
                                      </w:divBdr>
                                      <w:divsChild>
                                        <w:div w:id="198323545">
                                          <w:marLeft w:val="0"/>
                                          <w:marRight w:val="0"/>
                                          <w:marTop w:val="0"/>
                                          <w:marBottom w:val="0"/>
                                          <w:divBdr>
                                            <w:top w:val="none" w:sz="0" w:space="0" w:color="auto"/>
                                            <w:left w:val="none" w:sz="0" w:space="0" w:color="auto"/>
                                            <w:bottom w:val="none" w:sz="0" w:space="0" w:color="auto"/>
                                            <w:right w:val="none" w:sz="0" w:space="0" w:color="auto"/>
                                          </w:divBdr>
                                          <w:divsChild>
                                            <w:div w:id="1549101003">
                                              <w:marLeft w:val="0"/>
                                              <w:marRight w:val="0"/>
                                              <w:marTop w:val="0"/>
                                              <w:marBottom w:val="0"/>
                                              <w:divBdr>
                                                <w:top w:val="none" w:sz="0" w:space="0" w:color="auto"/>
                                                <w:left w:val="none" w:sz="0" w:space="0" w:color="auto"/>
                                                <w:bottom w:val="none" w:sz="0" w:space="0" w:color="auto"/>
                                                <w:right w:val="none" w:sz="0" w:space="0" w:color="auto"/>
                                              </w:divBdr>
                                              <w:divsChild>
                                                <w:div w:id="2043240113">
                                                  <w:marLeft w:val="0"/>
                                                  <w:marRight w:val="0"/>
                                                  <w:marTop w:val="0"/>
                                                  <w:marBottom w:val="0"/>
                                                  <w:divBdr>
                                                    <w:top w:val="none" w:sz="0" w:space="0" w:color="auto"/>
                                                    <w:left w:val="none" w:sz="0" w:space="0" w:color="auto"/>
                                                    <w:bottom w:val="none" w:sz="0" w:space="0" w:color="auto"/>
                                                    <w:right w:val="none" w:sz="0" w:space="0" w:color="auto"/>
                                                  </w:divBdr>
                                                  <w:divsChild>
                                                    <w:div w:id="1479611453">
                                                      <w:marLeft w:val="0"/>
                                                      <w:marRight w:val="0"/>
                                                      <w:marTop w:val="0"/>
                                                      <w:marBottom w:val="0"/>
                                                      <w:divBdr>
                                                        <w:top w:val="none" w:sz="0" w:space="0" w:color="auto"/>
                                                        <w:left w:val="none" w:sz="0" w:space="0" w:color="auto"/>
                                                        <w:bottom w:val="none" w:sz="0" w:space="0" w:color="auto"/>
                                                        <w:right w:val="none" w:sz="0" w:space="0" w:color="auto"/>
                                                      </w:divBdr>
                                                      <w:divsChild>
                                                        <w:div w:id="1336226378">
                                                          <w:marLeft w:val="0"/>
                                                          <w:marRight w:val="0"/>
                                                          <w:marTop w:val="0"/>
                                                          <w:marBottom w:val="0"/>
                                                          <w:divBdr>
                                                            <w:top w:val="none" w:sz="0" w:space="0" w:color="auto"/>
                                                            <w:left w:val="none" w:sz="0" w:space="0" w:color="auto"/>
                                                            <w:bottom w:val="none" w:sz="0" w:space="0" w:color="auto"/>
                                                            <w:right w:val="none" w:sz="0" w:space="0" w:color="auto"/>
                                                          </w:divBdr>
                                                          <w:divsChild>
                                                            <w:div w:id="251857689">
                                                              <w:marLeft w:val="0"/>
                                                              <w:marRight w:val="0"/>
                                                              <w:marTop w:val="0"/>
                                                              <w:marBottom w:val="0"/>
                                                              <w:divBdr>
                                                                <w:top w:val="none" w:sz="0" w:space="0" w:color="auto"/>
                                                                <w:left w:val="none" w:sz="0" w:space="0" w:color="auto"/>
                                                                <w:bottom w:val="none" w:sz="0" w:space="0" w:color="auto"/>
                                                                <w:right w:val="none" w:sz="0" w:space="0" w:color="auto"/>
                                                              </w:divBdr>
                                                              <w:divsChild>
                                                                <w:div w:id="1059982741">
                                                                  <w:marLeft w:val="0"/>
                                                                  <w:marRight w:val="0"/>
                                                                  <w:marTop w:val="0"/>
                                                                  <w:marBottom w:val="0"/>
                                                                  <w:divBdr>
                                                                    <w:top w:val="none" w:sz="0" w:space="0" w:color="auto"/>
                                                                    <w:left w:val="none" w:sz="0" w:space="0" w:color="auto"/>
                                                                    <w:bottom w:val="none" w:sz="0" w:space="0" w:color="auto"/>
                                                                    <w:right w:val="none" w:sz="0" w:space="0" w:color="auto"/>
                                                                  </w:divBdr>
                                                                  <w:divsChild>
                                                                    <w:div w:id="1109661726">
                                                                      <w:marLeft w:val="0"/>
                                                                      <w:marRight w:val="0"/>
                                                                      <w:marTop w:val="0"/>
                                                                      <w:marBottom w:val="0"/>
                                                                      <w:divBdr>
                                                                        <w:top w:val="none" w:sz="0" w:space="0" w:color="auto"/>
                                                                        <w:left w:val="none" w:sz="0" w:space="0" w:color="auto"/>
                                                                        <w:bottom w:val="none" w:sz="0" w:space="0" w:color="auto"/>
                                                                        <w:right w:val="none" w:sz="0" w:space="0" w:color="auto"/>
                                                                      </w:divBdr>
                                                                      <w:divsChild>
                                                                        <w:div w:id="2103842422">
                                                                          <w:marLeft w:val="0"/>
                                                                          <w:marRight w:val="0"/>
                                                                          <w:marTop w:val="0"/>
                                                                          <w:marBottom w:val="0"/>
                                                                          <w:divBdr>
                                                                            <w:top w:val="none" w:sz="0" w:space="0" w:color="auto"/>
                                                                            <w:left w:val="none" w:sz="0" w:space="0" w:color="auto"/>
                                                                            <w:bottom w:val="none" w:sz="0" w:space="0" w:color="auto"/>
                                                                            <w:right w:val="none" w:sz="0" w:space="0" w:color="auto"/>
                                                                          </w:divBdr>
                                                                          <w:divsChild>
                                                                            <w:div w:id="932981903">
                                                                              <w:marLeft w:val="0"/>
                                                                              <w:marRight w:val="0"/>
                                                                              <w:marTop w:val="0"/>
                                                                              <w:marBottom w:val="0"/>
                                                                              <w:divBdr>
                                                                                <w:top w:val="none" w:sz="0" w:space="0" w:color="auto"/>
                                                                                <w:left w:val="none" w:sz="0" w:space="0" w:color="auto"/>
                                                                                <w:bottom w:val="none" w:sz="0" w:space="0" w:color="auto"/>
                                                                                <w:right w:val="none" w:sz="0" w:space="0" w:color="auto"/>
                                                                              </w:divBdr>
                                                                              <w:divsChild>
                                                                                <w:div w:id="782917193">
                                                                                  <w:marLeft w:val="0"/>
                                                                                  <w:marRight w:val="0"/>
                                                                                  <w:marTop w:val="0"/>
                                                                                  <w:marBottom w:val="0"/>
                                                                                  <w:divBdr>
                                                                                    <w:top w:val="none" w:sz="0" w:space="0" w:color="auto"/>
                                                                                    <w:left w:val="none" w:sz="0" w:space="0" w:color="auto"/>
                                                                                    <w:bottom w:val="none" w:sz="0" w:space="0" w:color="auto"/>
                                                                                    <w:right w:val="none" w:sz="0" w:space="0" w:color="auto"/>
                                                                                  </w:divBdr>
                                                                                  <w:divsChild>
                                                                                    <w:div w:id="14492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232890">
      <w:bodyDiv w:val="1"/>
      <w:marLeft w:val="0"/>
      <w:marRight w:val="0"/>
      <w:marTop w:val="0"/>
      <w:marBottom w:val="0"/>
      <w:divBdr>
        <w:top w:val="none" w:sz="0" w:space="0" w:color="auto"/>
        <w:left w:val="none" w:sz="0" w:space="0" w:color="auto"/>
        <w:bottom w:val="none" w:sz="0" w:space="0" w:color="auto"/>
        <w:right w:val="none" w:sz="0" w:space="0" w:color="auto"/>
      </w:divBdr>
    </w:div>
    <w:div w:id="1259406917">
      <w:bodyDiv w:val="1"/>
      <w:marLeft w:val="0"/>
      <w:marRight w:val="0"/>
      <w:marTop w:val="0"/>
      <w:marBottom w:val="0"/>
      <w:divBdr>
        <w:top w:val="none" w:sz="0" w:space="0" w:color="auto"/>
        <w:left w:val="none" w:sz="0" w:space="0" w:color="auto"/>
        <w:bottom w:val="none" w:sz="0" w:space="0" w:color="auto"/>
        <w:right w:val="none" w:sz="0" w:space="0" w:color="auto"/>
      </w:divBdr>
    </w:div>
    <w:div w:id="1259483845">
      <w:bodyDiv w:val="1"/>
      <w:marLeft w:val="0"/>
      <w:marRight w:val="0"/>
      <w:marTop w:val="0"/>
      <w:marBottom w:val="0"/>
      <w:divBdr>
        <w:top w:val="none" w:sz="0" w:space="0" w:color="auto"/>
        <w:left w:val="none" w:sz="0" w:space="0" w:color="auto"/>
        <w:bottom w:val="none" w:sz="0" w:space="0" w:color="auto"/>
        <w:right w:val="none" w:sz="0" w:space="0" w:color="auto"/>
      </w:divBdr>
    </w:div>
    <w:div w:id="1261452746">
      <w:bodyDiv w:val="1"/>
      <w:marLeft w:val="0"/>
      <w:marRight w:val="0"/>
      <w:marTop w:val="0"/>
      <w:marBottom w:val="0"/>
      <w:divBdr>
        <w:top w:val="none" w:sz="0" w:space="0" w:color="auto"/>
        <w:left w:val="none" w:sz="0" w:space="0" w:color="auto"/>
        <w:bottom w:val="none" w:sz="0" w:space="0" w:color="auto"/>
        <w:right w:val="none" w:sz="0" w:space="0" w:color="auto"/>
      </w:divBdr>
    </w:div>
    <w:div w:id="1269240913">
      <w:bodyDiv w:val="1"/>
      <w:marLeft w:val="0"/>
      <w:marRight w:val="0"/>
      <w:marTop w:val="0"/>
      <w:marBottom w:val="0"/>
      <w:divBdr>
        <w:top w:val="none" w:sz="0" w:space="0" w:color="auto"/>
        <w:left w:val="none" w:sz="0" w:space="0" w:color="auto"/>
        <w:bottom w:val="none" w:sz="0" w:space="0" w:color="auto"/>
        <w:right w:val="none" w:sz="0" w:space="0" w:color="auto"/>
      </w:divBdr>
    </w:div>
    <w:div w:id="1271742466">
      <w:bodyDiv w:val="1"/>
      <w:marLeft w:val="0"/>
      <w:marRight w:val="0"/>
      <w:marTop w:val="0"/>
      <w:marBottom w:val="0"/>
      <w:divBdr>
        <w:top w:val="none" w:sz="0" w:space="0" w:color="auto"/>
        <w:left w:val="none" w:sz="0" w:space="0" w:color="auto"/>
        <w:bottom w:val="none" w:sz="0" w:space="0" w:color="auto"/>
        <w:right w:val="none" w:sz="0" w:space="0" w:color="auto"/>
      </w:divBdr>
    </w:div>
    <w:div w:id="1287660576">
      <w:bodyDiv w:val="1"/>
      <w:marLeft w:val="0"/>
      <w:marRight w:val="0"/>
      <w:marTop w:val="0"/>
      <w:marBottom w:val="0"/>
      <w:divBdr>
        <w:top w:val="none" w:sz="0" w:space="0" w:color="auto"/>
        <w:left w:val="none" w:sz="0" w:space="0" w:color="auto"/>
        <w:bottom w:val="none" w:sz="0" w:space="0" w:color="auto"/>
        <w:right w:val="none" w:sz="0" w:space="0" w:color="auto"/>
      </w:divBdr>
    </w:div>
    <w:div w:id="1288664444">
      <w:bodyDiv w:val="1"/>
      <w:marLeft w:val="0"/>
      <w:marRight w:val="0"/>
      <w:marTop w:val="0"/>
      <w:marBottom w:val="0"/>
      <w:divBdr>
        <w:top w:val="none" w:sz="0" w:space="0" w:color="auto"/>
        <w:left w:val="none" w:sz="0" w:space="0" w:color="auto"/>
        <w:bottom w:val="none" w:sz="0" w:space="0" w:color="auto"/>
        <w:right w:val="none" w:sz="0" w:space="0" w:color="auto"/>
      </w:divBdr>
    </w:div>
    <w:div w:id="1307510025">
      <w:bodyDiv w:val="1"/>
      <w:marLeft w:val="0"/>
      <w:marRight w:val="0"/>
      <w:marTop w:val="0"/>
      <w:marBottom w:val="0"/>
      <w:divBdr>
        <w:top w:val="none" w:sz="0" w:space="0" w:color="auto"/>
        <w:left w:val="none" w:sz="0" w:space="0" w:color="auto"/>
        <w:bottom w:val="none" w:sz="0" w:space="0" w:color="auto"/>
        <w:right w:val="none" w:sz="0" w:space="0" w:color="auto"/>
      </w:divBdr>
    </w:div>
    <w:div w:id="1316059750">
      <w:bodyDiv w:val="1"/>
      <w:marLeft w:val="0"/>
      <w:marRight w:val="0"/>
      <w:marTop w:val="0"/>
      <w:marBottom w:val="0"/>
      <w:divBdr>
        <w:top w:val="none" w:sz="0" w:space="0" w:color="auto"/>
        <w:left w:val="none" w:sz="0" w:space="0" w:color="auto"/>
        <w:bottom w:val="none" w:sz="0" w:space="0" w:color="auto"/>
        <w:right w:val="none" w:sz="0" w:space="0" w:color="auto"/>
      </w:divBdr>
    </w:div>
    <w:div w:id="1331517735">
      <w:bodyDiv w:val="1"/>
      <w:marLeft w:val="0"/>
      <w:marRight w:val="0"/>
      <w:marTop w:val="0"/>
      <w:marBottom w:val="0"/>
      <w:divBdr>
        <w:top w:val="none" w:sz="0" w:space="0" w:color="auto"/>
        <w:left w:val="none" w:sz="0" w:space="0" w:color="auto"/>
        <w:bottom w:val="none" w:sz="0" w:space="0" w:color="auto"/>
        <w:right w:val="none" w:sz="0" w:space="0" w:color="auto"/>
      </w:divBdr>
    </w:div>
    <w:div w:id="1331760159">
      <w:bodyDiv w:val="1"/>
      <w:marLeft w:val="0"/>
      <w:marRight w:val="0"/>
      <w:marTop w:val="0"/>
      <w:marBottom w:val="0"/>
      <w:divBdr>
        <w:top w:val="none" w:sz="0" w:space="0" w:color="auto"/>
        <w:left w:val="none" w:sz="0" w:space="0" w:color="auto"/>
        <w:bottom w:val="none" w:sz="0" w:space="0" w:color="auto"/>
        <w:right w:val="none" w:sz="0" w:space="0" w:color="auto"/>
      </w:divBdr>
    </w:div>
    <w:div w:id="1339847313">
      <w:bodyDiv w:val="1"/>
      <w:marLeft w:val="0"/>
      <w:marRight w:val="0"/>
      <w:marTop w:val="0"/>
      <w:marBottom w:val="0"/>
      <w:divBdr>
        <w:top w:val="none" w:sz="0" w:space="0" w:color="auto"/>
        <w:left w:val="none" w:sz="0" w:space="0" w:color="auto"/>
        <w:bottom w:val="none" w:sz="0" w:space="0" w:color="auto"/>
        <w:right w:val="none" w:sz="0" w:space="0" w:color="auto"/>
      </w:divBdr>
    </w:div>
    <w:div w:id="1353385050">
      <w:bodyDiv w:val="1"/>
      <w:marLeft w:val="0"/>
      <w:marRight w:val="0"/>
      <w:marTop w:val="0"/>
      <w:marBottom w:val="0"/>
      <w:divBdr>
        <w:top w:val="none" w:sz="0" w:space="0" w:color="auto"/>
        <w:left w:val="none" w:sz="0" w:space="0" w:color="auto"/>
        <w:bottom w:val="none" w:sz="0" w:space="0" w:color="auto"/>
        <w:right w:val="none" w:sz="0" w:space="0" w:color="auto"/>
      </w:divBdr>
    </w:div>
    <w:div w:id="1357466432">
      <w:bodyDiv w:val="1"/>
      <w:marLeft w:val="0"/>
      <w:marRight w:val="0"/>
      <w:marTop w:val="0"/>
      <w:marBottom w:val="0"/>
      <w:divBdr>
        <w:top w:val="none" w:sz="0" w:space="0" w:color="auto"/>
        <w:left w:val="none" w:sz="0" w:space="0" w:color="auto"/>
        <w:bottom w:val="none" w:sz="0" w:space="0" w:color="auto"/>
        <w:right w:val="none" w:sz="0" w:space="0" w:color="auto"/>
      </w:divBdr>
    </w:div>
    <w:div w:id="1357845743">
      <w:bodyDiv w:val="1"/>
      <w:marLeft w:val="0"/>
      <w:marRight w:val="0"/>
      <w:marTop w:val="0"/>
      <w:marBottom w:val="0"/>
      <w:divBdr>
        <w:top w:val="none" w:sz="0" w:space="0" w:color="auto"/>
        <w:left w:val="none" w:sz="0" w:space="0" w:color="auto"/>
        <w:bottom w:val="none" w:sz="0" w:space="0" w:color="auto"/>
        <w:right w:val="none" w:sz="0" w:space="0" w:color="auto"/>
      </w:divBdr>
    </w:div>
    <w:div w:id="1367607827">
      <w:bodyDiv w:val="1"/>
      <w:marLeft w:val="0"/>
      <w:marRight w:val="0"/>
      <w:marTop w:val="0"/>
      <w:marBottom w:val="0"/>
      <w:divBdr>
        <w:top w:val="none" w:sz="0" w:space="0" w:color="auto"/>
        <w:left w:val="none" w:sz="0" w:space="0" w:color="auto"/>
        <w:bottom w:val="none" w:sz="0" w:space="0" w:color="auto"/>
        <w:right w:val="none" w:sz="0" w:space="0" w:color="auto"/>
      </w:divBdr>
    </w:div>
    <w:div w:id="1368288418">
      <w:bodyDiv w:val="1"/>
      <w:marLeft w:val="0"/>
      <w:marRight w:val="0"/>
      <w:marTop w:val="0"/>
      <w:marBottom w:val="0"/>
      <w:divBdr>
        <w:top w:val="none" w:sz="0" w:space="0" w:color="auto"/>
        <w:left w:val="none" w:sz="0" w:space="0" w:color="auto"/>
        <w:bottom w:val="none" w:sz="0" w:space="0" w:color="auto"/>
        <w:right w:val="none" w:sz="0" w:space="0" w:color="auto"/>
      </w:divBdr>
    </w:div>
    <w:div w:id="1376274795">
      <w:bodyDiv w:val="1"/>
      <w:marLeft w:val="0"/>
      <w:marRight w:val="0"/>
      <w:marTop w:val="0"/>
      <w:marBottom w:val="0"/>
      <w:divBdr>
        <w:top w:val="none" w:sz="0" w:space="0" w:color="auto"/>
        <w:left w:val="none" w:sz="0" w:space="0" w:color="auto"/>
        <w:bottom w:val="none" w:sz="0" w:space="0" w:color="auto"/>
        <w:right w:val="none" w:sz="0" w:space="0" w:color="auto"/>
      </w:divBdr>
    </w:div>
    <w:div w:id="1394961087">
      <w:bodyDiv w:val="1"/>
      <w:marLeft w:val="0"/>
      <w:marRight w:val="0"/>
      <w:marTop w:val="0"/>
      <w:marBottom w:val="0"/>
      <w:divBdr>
        <w:top w:val="none" w:sz="0" w:space="0" w:color="auto"/>
        <w:left w:val="none" w:sz="0" w:space="0" w:color="auto"/>
        <w:bottom w:val="none" w:sz="0" w:space="0" w:color="auto"/>
        <w:right w:val="none" w:sz="0" w:space="0" w:color="auto"/>
      </w:divBdr>
    </w:div>
    <w:div w:id="1433624444">
      <w:bodyDiv w:val="1"/>
      <w:marLeft w:val="0"/>
      <w:marRight w:val="0"/>
      <w:marTop w:val="0"/>
      <w:marBottom w:val="0"/>
      <w:divBdr>
        <w:top w:val="none" w:sz="0" w:space="0" w:color="auto"/>
        <w:left w:val="none" w:sz="0" w:space="0" w:color="auto"/>
        <w:bottom w:val="none" w:sz="0" w:space="0" w:color="auto"/>
        <w:right w:val="none" w:sz="0" w:space="0" w:color="auto"/>
      </w:divBdr>
    </w:div>
    <w:div w:id="1454054350">
      <w:bodyDiv w:val="1"/>
      <w:marLeft w:val="0"/>
      <w:marRight w:val="0"/>
      <w:marTop w:val="0"/>
      <w:marBottom w:val="0"/>
      <w:divBdr>
        <w:top w:val="none" w:sz="0" w:space="0" w:color="auto"/>
        <w:left w:val="none" w:sz="0" w:space="0" w:color="auto"/>
        <w:bottom w:val="none" w:sz="0" w:space="0" w:color="auto"/>
        <w:right w:val="none" w:sz="0" w:space="0" w:color="auto"/>
      </w:divBdr>
    </w:div>
    <w:div w:id="1461387732">
      <w:bodyDiv w:val="1"/>
      <w:marLeft w:val="0"/>
      <w:marRight w:val="0"/>
      <w:marTop w:val="0"/>
      <w:marBottom w:val="0"/>
      <w:divBdr>
        <w:top w:val="none" w:sz="0" w:space="0" w:color="auto"/>
        <w:left w:val="none" w:sz="0" w:space="0" w:color="auto"/>
        <w:bottom w:val="none" w:sz="0" w:space="0" w:color="auto"/>
        <w:right w:val="none" w:sz="0" w:space="0" w:color="auto"/>
      </w:divBdr>
      <w:divsChild>
        <w:div w:id="2016683633">
          <w:marLeft w:val="547"/>
          <w:marRight w:val="0"/>
          <w:marTop w:val="106"/>
          <w:marBottom w:val="0"/>
          <w:divBdr>
            <w:top w:val="none" w:sz="0" w:space="0" w:color="auto"/>
            <w:left w:val="none" w:sz="0" w:space="0" w:color="auto"/>
            <w:bottom w:val="none" w:sz="0" w:space="0" w:color="auto"/>
            <w:right w:val="none" w:sz="0" w:space="0" w:color="auto"/>
          </w:divBdr>
        </w:div>
        <w:div w:id="535851522">
          <w:marLeft w:val="547"/>
          <w:marRight w:val="0"/>
          <w:marTop w:val="106"/>
          <w:marBottom w:val="0"/>
          <w:divBdr>
            <w:top w:val="none" w:sz="0" w:space="0" w:color="auto"/>
            <w:left w:val="none" w:sz="0" w:space="0" w:color="auto"/>
            <w:bottom w:val="none" w:sz="0" w:space="0" w:color="auto"/>
            <w:right w:val="none" w:sz="0" w:space="0" w:color="auto"/>
          </w:divBdr>
        </w:div>
      </w:divsChild>
    </w:div>
    <w:div w:id="1469588636">
      <w:bodyDiv w:val="1"/>
      <w:marLeft w:val="0"/>
      <w:marRight w:val="0"/>
      <w:marTop w:val="0"/>
      <w:marBottom w:val="0"/>
      <w:divBdr>
        <w:top w:val="none" w:sz="0" w:space="0" w:color="auto"/>
        <w:left w:val="none" w:sz="0" w:space="0" w:color="auto"/>
        <w:bottom w:val="none" w:sz="0" w:space="0" w:color="auto"/>
        <w:right w:val="none" w:sz="0" w:space="0" w:color="auto"/>
      </w:divBdr>
    </w:div>
    <w:div w:id="1498351389">
      <w:bodyDiv w:val="1"/>
      <w:marLeft w:val="0"/>
      <w:marRight w:val="0"/>
      <w:marTop w:val="0"/>
      <w:marBottom w:val="0"/>
      <w:divBdr>
        <w:top w:val="none" w:sz="0" w:space="0" w:color="auto"/>
        <w:left w:val="none" w:sz="0" w:space="0" w:color="auto"/>
        <w:bottom w:val="none" w:sz="0" w:space="0" w:color="auto"/>
        <w:right w:val="none" w:sz="0" w:space="0" w:color="auto"/>
      </w:divBdr>
    </w:div>
    <w:div w:id="1512136359">
      <w:bodyDiv w:val="1"/>
      <w:marLeft w:val="0"/>
      <w:marRight w:val="0"/>
      <w:marTop w:val="0"/>
      <w:marBottom w:val="0"/>
      <w:divBdr>
        <w:top w:val="none" w:sz="0" w:space="0" w:color="auto"/>
        <w:left w:val="none" w:sz="0" w:space="0" w:color="auto"/>
        <w:bottom w:val="none" w:sz="0" w:space="0" w:color="auto"/>
        <w:right w:val="none" w:sz="0" w:space="0" w:color="auto"/>
      </w:divBdr>
    </w:div>
    <w:div w:id="1520267814">
      <w:bodyDiv w:val="1"/>
      <w:marLeft w:val="0"/>
      <w:marRight w:val="0"/>
      <w:marTop w:val="0"/>
      <w:marBottom w:val="0"/>
      <w:divBdr>
        <w:top w:val="none" w:sz="0" w:space="0" w:color="auto"/>
        <w:left w:val="none" w:sz="0" w:space="0" w:color="auto"/>
        <w:bottom w:val="none" w:sz="0" w:space="0" w:color="auto"/>
        <w:right w:val="none" w:sz="0" w:space="0" w:color="auto"/>
      </w:divBdr>
    </w:div>
    <w:div w:id="1524248579">
      <w:bodyDiv w:val="1"/>
      <w:marLeft w:val="0"/>
      <w:marRight w:val="0"/>
      <w:marTop w:val="0"/>
      <w:marBottom w:val="0"/>
      <w:divBdr>
        <w:top w:val="none" w:sz="0" w:space="0" w:color="auto"/>
        <w:left w:val="none" w:sz="0" w:space="0" w:color="auto"/>
        <w:bottom w:val="none" w:sz="0" w:space="0" w:color="auto"/>
        <w:right w:val="none" w:sz="0" w:space="0" w:color="auto"/>
      </w:divBdr>
      <w:divsChild>
        <w:div w:id="1860852001">
          <w:marLeft w:val="547"/>
          <w:marRight w:val="0"/>
          <w:marTop w:val="106"/>
          <w:marBottom w:val="0"/>
          <w:divBdr>
            <w:top w:val="none" w:sz="0" w:space="0" w:color="auto"/>
            <w:left w:val="none" w:sz="0" w:space="0" w:color="auto"/>
            <w:bottom w:val="none" w:sz="0" w:space="0" w:color="auto"/>
            <w:right w:val="none" w:sz="0" w:space="0" w:color="auto"/>
          </w:divBdr>
        </w:div>
        <w:div w:id="1412854427">
          <w:marLeft w:val="547"/>
          <w:marRight w:val="0"/>
          <w:marTop w:val="106"/>
          <w:marBottom w:val="0"/>
          <w:divBdr>
            <w:top w:val="none" w:sz="0" w:space="0" w:color="auto"/>
            <w:left w:val="none" w:sz="0" w:space="0" w:color="auto"/>
            <w:bottom w:val="none" w:sz="0" w:space="0" w:color="auto"/>
            <w:right w:val="none" w:sz="0" w:space="0" w:color="auto"/>
          </w:divBdr>
        </w:div>
      </w:divsChild>
    </w:div>
    <w:div w:id="1530530401">
      <w:bodyDiv w:val="1"/>
      <w:marLeft w:val="0"/>
      <w:marRight w:val="0"/>
      <w:marTop w:val="0"/>
      <w:marBottom w:val="0"/>
      <w:divBdr>
        <w:top w:val="none" w:sz="0" w:space="0" w:color="auto"/>
        <w:left w:val="none" w:sz="0" w:space="0" w:color="auto"/>
        <w:bottom w:val="none" w:sz="0" w:space="0" w:color="auto"/>
        <w:right w:val="none" w:sz="0" w:space="0" w:color="auto"/>
      </w:divBdr>
    </w:div>
    <w:div w:id="1535926676">
      <w:bodyDiv w:val="1"/>
      <w:marLeft w:val="0"/>
      <w:marRight w:val="0"/>
      <w:marTop w:val="0"/>
      <w:marBottom w:val="0"/>
      <w:divBdr>
        <w:top w:val="none" w:sz="0" w:space="0" w:color="auto"/>
        <w:left w:val="none" w:sz="0" w:space="0" w:color="auto"/>
        <w:bottom w:val="none" w:sz="0" w:space="0" w:color="auto"/>
        <w:right w:val="none" w:sz="0" w:space="0" w:color="auto"/>
      </w:divBdr>
    </w:div>
    <w:div w:id="1548178286">
      <w:bodyDiv w:val="1"/>
      <w:marLeft w:val="0"/>
      <w:marRight w:val="0"/>
      <w:marTop w:val="0"/>
      <w:marBottom w:val="0"/>
      <w:divBdr>
        <w:top w:val="none" w:sz="0" w:space="0" w:color="auto"/>
        <w:left w:val="none" w:sz="0" w:space="0" w:color="auto"/>
        <w:bottom w:val="none" w:sz="0" w:space="0" w:color="auto"/>
        <w:right w:val="none" w:sz="0" w:space="0" w:color="auto"/>
      </w:divBdr>
      <w:divsChild>
        <w:div w:id="626858195">
          <w:marLeft w:val="0"/>
          <w:marRight w:val="0"/>
          <w:marTop w:val="0"/>
          <w:marBottom w:val="0"/>
          <w:divBdr>
            <w:top w:val="none" w:sz="0" w:space="0" w:color="auto"/>
            <w:left w:val="none" w:sz="0" w:space="0" w:color="auto"/>
            <w:bottom w:val="none" w:sz="0" w:space="0" w:color="auto"/>
            <w:right w:val="none" w:sz="0" w:space="0" w:color="auto"/>
          </w:divBdr>
        </w:div>
        <w:div w:id="114519907">
          <w:marLeft w:val="0"/>
          <w:marRight w:val="0"/>
          <w:marTop w:val="0"/>
          <w:marBottom w:val="0"/>
          <w:divBdr>
            <w:top w:val="none" w:sz="0" w:space="0" w:color="auto"/>
            <w:left w:val="none" w:sz="0" w:space="0" w:color="auto"/>
            <w:bottom w:val="none" w:sz="0" w:space="0" w:color="auto"/>
            <w:right w:val="none" w:sz="0" w:space="0" w:color="auto"/>
          </w:divBdr>
        </w:div>
        <w:div w:id="1102459356">
          <w:marLeft w:val="0"/>
          <w:marRight w:val="0"/>
          <w:marTop w:val="0"/>
          <w:marBottom w:val="0"/>
          <w:divBdr>
            <w:top w:val="none" w:sz="0" w:space="0" w:color="auto"/>
            <w:left w:val="none" w:sz="0" w:space="0" w:color="auto"/>
            <w:bottom w:val="none" w:sz="0" w:space="0" w:color="auto"/>
            <w:right w:val="none" w:sz="0" w:space="0" w:color="auto"/>
          </w:divBdr>
        </w:div>
      </w:divsChild>
    </w:div>
    <w:div w:id="1557399060">
      <w:bodyDiv w:val="1"/>
      <w:marLeft w:val="0"/>
      <w:marRight w:val="0"/>
      <w:marTop w:val="0"/>
      <w:marBottom w:val="0"/>
      <w:divBdr>
        <w:top w:val="none" w:sz="0" w:space="0" w:color="auto"/>
        <w:left w:val="none" w:sz="0" w:space="0" w:color="auto"/>
        <w:bottom w:val="none" w:sz="0" w:space="0" w:color="auto"/>
        <w:right w:val="none" w:sz="0" w:space="0" w:color="auto"/>
      </w:divBdr>
    </w:div>
    <w:div w:id="1560285420">
      <w:bodyDiv w:val="1"/>
      <w:marLeft w:val="0"/>
      <w:marRight w:val="0"/>
      <w:marTop w:val="0"/>
      <w:marBottom w:val="0"/>
      <w:divBdr>
        <w:top w:val="none" w:sz="0" w:space="0" w:color="auto"/>
        <w:left w:val="none" w:sz="0" w:space="0" w:color="auto"/>
        <w:bottom w:val="none" w:sz="0" w:space="0" w:color="auto"/>
        <w:right w:val="none" w:sz="0" w:space="0" w:color="auto"/>
      </w:divBdr>
    </w:div>
    <w:div w:id="1575820163">
      <w:bodyDiv w:val="1"/>
      <w:marLeft w:val="0"/>
      <w:marRight w:val="0"/>
      <w:marTop w:val="0"/>
      <w:marBottom w:val="0"/>
      <w:divBdr>
        <w:top w:val="none" w:sz="0" w:space="0" w:color="auto"/>
        <w:left w:val="none" w:sz="0" w:space="0" w:color="auto"/>
        <w:bottom w:val="none" w:sz="0" w:space="0" w:color="auto"/>
        <w:right w:val="none" w:sz="0" w:space="0" w:color="auto"/>
      </w:divBdr>
    </w:div>
    <w:div w:id="1579361862">
      <w:bodyDiv w:val="1"/>
      <w:marLeft w:val="0"/>
      <w:marRight w:val="0"/>
      <w:marTop w:val="0"/>
      <w:marBottom w:val="0"/>
      <w:divBdr>
        <w:top w:val="none" w:sz="0" w:space="0" w:color="auto"/>
        <w:left w:val="none" w:sz="0" w:space="0" w:color="auto"/>
        <w:bottom w:val="none" w:sz="0" w:space="0" w:color="auto"/>
        <w:right w:val="none" w:sz="0" w:space="0" w:color="auto"/>
      </w:divBdr>
    </w:div>
    <w:div w:id="1590918609">
      <w:bodyDiv w:val="1"/>
      <w:marLeft w:val="0"/>
      <w:marRight w:val="0"/>
      <w:marTop w:val="0"/>
      <w:marBottom w:val="0"/>
      <w:divBdr>
        <w:top w:val="none" w:sz="0" w:space="0" w:color="auto"/>
        <w:left w:val="none" w:sz="0" w:space="0" w:color="auto"/>
        <w:bottom w:val="none" w:sz="0" w:space="0" w:color="auto"/>
        <w:right w:val="none" w:sz="0" w:space="0" w:color="auto"/>
      </w:divBdr>
    </w:div>
    <w:div w:id="1591622068">
      <w:bodyDiv w:val="1"/>
      <w:marLeft w:val="0"/>
      <w:marRight w:val="0"/>
      <w:marTop w:val="0"/>
      <w:marBottom w:val="0"/>
      <w:divBdr>
        <w:top w:val="none" w:sz="0" w:space="0" w:color="auto"/>
        <w:left w:val="none" w:sz="0" w:space="0" w:color="auto"/>
        <w:bottom w:val="none" w:sz="0" w:space="0" w:color="auto"/>
        <w:right w:val="none" w:sz="0" w:space="0" w:color="auto"/>
      </w:divBdr>
    </w:div>
    <w:div w:id="1612711689">
      <w:bodyDiv w:val="1"/>
      <w:marLeft w:val="0"/>
      <w:marRight w:val="0"/>
      <w:marTop w:val="0"/>
      <w:marBottom w:val="0"/>
      <w:divBdr>
        <w:top w:val="none" w:sz="0" w:space="0" w:color="auto"/>
        <w:left w:val="none" w:sz="0" w:space="0" w:color="auto"/>
        <w:bottom w:val="none" w:sz="0" w:space="0" w:color="auto"/>
        <w:right w:val="none" w:sz="0" w:space="0" w:color="auto"/>
      </w:divBdr>
    </w:div>
    <w:div w:id="1642535064">
      <w:bodyDiv w:val="1"/>
      <w:marLeft w:val="0"/>
      <w:marRight w:val="0"/>
      <w:marTop w:val="0"/>
      <w:marBottom w:val="0"/>
      <w:divBdr>
        <w:top w:val="none" w:sz="0" w:space="0" w:color="auto"/>
        <w:left w:val="none" w:sz="0" w:space="0" w:color="auto"/>
        <w:bottom w:val="none" w:sz="0" w:space="0" w:color="auto"/>
        <w:right w:val="none" w:sz="0" w:space="0" w:color="auto"/>
      </w:divBdr>
    </w:div>
    <w:div w:id="1655601921">
      <w:bodyDiv w:val="1"/>
      <w:marLeft w:val="0"/>
      <w:marRight w:val="0"/>
      <w:marTop w:val="0"/>
      <w:marBottom w:val="0"/>
      <w:divBdr>
        <w:top w:val="none" w:sz="0" w:space="0" w:color="auto"/>
        <w:left w:val="none" w:sz="0" w:space="0" w:color="auto"/>
        <w:bottom w:val="none" w:sz="0" w:space="0" w:color="auto"/>
        <w:right w:val="none" w:sz="0" w:space="0" w:color="auto"/>
      </w:divBdr>
    </w:div>
    <w:div w:id="1740206544">
      <w:bodyDiv w:val="1"/>
      <w:marLeft w:val="0"/>
      <w:marRight w:val="0"/>
      <w:marTop w:val="0"/>
      <w:marBottom w:val="0"/>
      <w:divBdr>
        <w:top w:val="none" w:sz="0" w:space="0" w:color="auto"/>
        <w:left w:val="none" w:sz="0" w:space="0" w:color="auto"/>
        <w:bottom w:val="none" w:sz="0" w:space="0" w:color="auto"/>
        <w:right w:val="none" w:sz="0" w:space="0" w:color="auto"/>
      </w:divBdr>
    </w:div>
    <w:div w:id="1753088075">
      <w:bodyDiv w:val="1"/>
      <w:marLeft w:val="0"/>
      <w:marRight w:val="0"/>
      <w:marTop w:val="0"/>
      <w:marBottom w:val="0"/>
      <w:divBdr>
        <w:top w:val="none" w:sz="0" w:space="0" w:color="auto"/>
        <w:left w:val="none" w:sz="0" w:space="0" w:color="auto"/>
        <w:bottom w:val="none" w:sz="0" w:space="0" w:color="auto"/>
        <w:right w:val="none" w:sz="0" w:space="0" w:color="auto"/>
      </w:divBdr>
    </w:div>
    <w:div w:id="1768190773">
      <w:bodyDiv w:val="1"/>
      <w:marLeft w:val="0"/>
      <w:marRight w:val="0"/>
      <w:marTop w:val="0"/>
      <w:marBottom w:val="0"/>
      <w:divBdr>
        <w:top w:val="none" w:sz="0" w:space="0" w:color="auto"/>
        <w:left w:val="none" w:sz="0" w:space="0" w:color="auto"/>
        <w:bottom w:val="none" w:sz="0" w:space="0" w:color="auto"/>
        <w:right w:val="none" w:sz="0" w:space="0" w:color="auto"/>
      </w:divBdr>
    </w:div>
    <w:div w:id="1768427568">
      <w:bodyDiv w:val="1"/>
      <w:marLeft w:val="0"/>
      <w:marRight w:val="0"/>
      <w:marTop w:val="0"/>
      <w:marBottom w:val="0"/>
      <w:divBdr>
        <w:top w:val="none" w:sz="0" w:space="0" w:color="auto"/>
        <w:left w:val="none" w:sz="0" w:space="0" w:color="auto"/>
        <w:bottom w:val="none" w:sz="0" w:space="0" w:color="auto"/>
        <w:right w:val="none" w:sz="0" w:space="0" w:color="auto"/>
      </w:divBdr>
    </w:div>
    <w:div w:id="1770465118">
      <w:bodyDiv w:val="1"/>
      <w:marLeft w:val="0"/>
      <w:marRight w:val="0"/>
      <w:marTop w:val="0"/>
      <w:marBottom w:val="0"/>
      <w:divBdr>
        <w:top w:val="none" w:sz="0" w:space="0" w:color="auto"/>
        <w:left w:val="none" w:sz="0" w:space="0" w:color="auto"/>
        <w:bottom w:val="none" w:sz="0" w:space="0" w:color="auto"/>
        <w:right w:val="none" w:sz="0" w:space="0" w:color="auto"/>
      </w:divBdr>
    </w:div>
    <w:div w:id="1804496828">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19492551">
      <w:bodyDiv w:val="1"/>
      <w:marLeft w:val="0"/>
      <w:marRight w:val="0"/>
      <w:marTop w:val="0"/>
      <w:marBottom w:val="0"/>
      <w:divBdr>
        <w:top w:val="none" w:sz="0" w:space="0" w:color="auto"/>
        <w:left w:val="none" w:sz="0" w:space="0" w:color="auto"/>
        <w:bottom w:val="none" w:sz="0" w:space="0" w:color="auto"/>
        <w:right w:val="none" w:sz="0" w:space="0" w:color="auto"/>
      </w:divBdr>
    </w:div>
    <w:div w:id="1828278397">
      <w:bodyDiv w:val="1"/>
      <w:marLeft w:val="0"/>
      <w:marRight w:val="0"/>
      <w:marTop w:val="0"/>
      <w:marBottom w:val="0"/>
      <w:divBdr>
        <w:top w:val="none" w:sz="0" w:space="0" w:color="auto"/>
        <w:left w:val="none" w:sz="0" w:space="0" w:color="auto"/>
        <w:bottom w:val="none" w:sz="0" w:space="0" w:color="auto"/>
        <w:right w:val="none" w:sz="0" w:space="0" w:color="auto"/>
      </w:divBdr>
    </w:div>
    <w:div w:id="1865626959">
      <w:bodyDiv w:val="1"/>
      <w:marLeft w:val="0"/>
      <w:marRight w:val="0"/>
      <w:marTop w:val="0"/>
      <w:marBottom w:val="0"/>
      <w:divBdr>
        <w:top w:val="none" w:sz="0" w:space="0" w:color="auto"/>
        <w:left w:val="none" w:sz="0" w:space="0" w:color="auto"/>
        <w:bottom w:val="none" w:sz="0" w:space="0" w:color="auto"/>
        <w:right w:val="none" w:sz="0" w:space="0" w:color="auto"/>
      </w:divBdr>
    </w:div>
    <w:div w:id="1877430017">
      <w:bodyDiv w:val="1"/>
      <w:marLeft w:val="0"/>
      <w:marRight w:val="0"/>
      <w:marTop w:val="0"/>
      <w:marBottom w:val="0"/>
      <w:divBdr>
        <w:top w:val="none" w:sz="0" w:space="0" w:color="auto"/>
        <w:left w:val="none" w:sz="0" w:space="0" w:color="auto"/>
        <w:bottom w:val="none" w:sz="0" w:space="0" w:color="auto"/>
        <w:right w:val="none" w:sz="0" w:space="0" w:color="auto"/>
      </w:divBdr>
    </w:div>
    <w:div w:id="1881165698">
      <w:bodyDiv w:val="1"/>
      <w:marLeft w:val="0"/>
      <w:marRight w:val="0"/>
      <w:marTop w:val="0"/>
      <w:marBottom w:val="0"/>
      <w:divBdr>
        <w:top w:val="none" w:sz="0" w:space="0" w:color="auto"/>
        <w:left w:val="none" w:sz="0" w:space="0" w:color="auto"/>
        <w:bottom w:val="none" w:sz="0" w:space="0" w:color="auto"/>
        <w:right w:val="none" w:sz="0" w:space="0" w:color="auto"/>
      </w:divBdr>
    </w:div>
    <w:div w:id="1894415873">
      <w:bodyDiv w:val="1"/>
      <w:marLeft w:val="0"/>
      <w:marRight w:val="0"/>
      <w:marTop w:val="0"/>
      <w:marBottom w:val="0"/>
      <w:divBdr>
        <w:top w:val="none" w:sz="0" w:space="0" w:color="auto"/>
        <w:left w:val="none" w:sz="0" w:space="0" w:color="auto"/>
        <w:bottom w:val="none" w:sz="0" w:space="0" w:color="auto"/>
        <w:right w:val="none" w:sz="0" w:space="0" w:color="auto"/>
      </w:divBdr>
    </w:div>
    <w:div w:id="1899777906">
      <w:bodyDiv w:val="1"/>
      <w:marLeft w:val="0"/>
      <w:marRight w:val="0"/>
      <w:marTop w:val="0"/>
      <w:marBottom w:val="0"/>
      <w:divBdr>
        <w:top w:val="none" w:sz="0" w:space="0" w:color="auto"/>
        <w:left w:val="none" w:sz="0" w:space="0" w:color="auto"/>
        <w:bottom w:val="none" w:sz="0" w:space="0" w:color="auto"/>
        <w:right w:val="none" w:sz="0" w:space="0" w:color="auto"/>
      </w:divBdr>
    </w:div>
    <w:div w:id="1907832670">
      <w:bodyDiv w:val="1"/>
      <w:marLeft w:val="0"/>
      <w:marRight w:val="0"/>
      <w:marTop w:val="0"/>
      <w:marBottom w:val="0"/>
      <w:divBdr>
        <w:top w:val="none" w:sz="0" w:space="0" w:color="auto"/>
        <w:left w:val="none" w:sz="0" w:space="0" w:color="auto"/>
        <w:bottom w:val="none" w:sz="0" w:space="0" w:color="auto"/>
        <w:right w:val="none" w:sz="0" w:space="0" w:color="auto"/>
      </w:divBdr>
    </w:div>
    <w:div w:id="1935749120">
      <w:bodyDiv w:val="1"/>
      <w:marLeft w:val="0"/>
      <w:marRight w:val="0"/>
      <w:marTop w:val="0"/>
      <w:marBottom w:val="0"/>
      <w:divBdr>
        <w:top w:val="none" w:sz="0" w:space="0" w:color="auto"/>
        <w:left w:val="none" w:sz="0" w:space="0" w:color="auto"/>
        <w:bottom w:val="none" w:sz="0" w:space="0" w:color="auto"/>
        <w:right w:val="none" w:sz="0" w:space="0" w:color="auto"/>
      </w:divBdr>
    </w:div>
    <w:div w:id="1967275778">
      <w:bodyDiv w:val="1"/>
      <w:marLeft w:val="0"/>
      <w:marRight w:val="0"/>
      <w:marTop w:val="0"/>
      <w:marBottom w:val="0"/>
      <w:divBdr>
        <w:top w:val="none" w:sz="0" w:space="0" w:color="auto"/>
        <w:left w:val="none" w:sz="0" w:space="0" w:color="auto"/>
        <w:bottom w:val="none" w:sz="0" w:space="0" w:color="auto"/>
        <w:right w:val="none" w:sz="0" w:space="0" w:color="auto"/>
      </w:divBdr>
    </w:div>
    <w:div w:id="1977711707">
      <w:bodyDiv w:val="1"/>
      <w:marLeft w:val="0"/>
      <w:marRight w:val="0"/>
      <w:marTop w:val="0"/>
      <w:marBottom w:val="0"/>
      <w:divBdr>
        <w:top w:val="none" w:sz="0" w:space="0" w:color="auto"/>
        <w:left w:val="none" w:sz="0" w:space="0" w:color="auto"/>
        <w:bottom w:val="none" w:sz="0" w:space="0" w:color="auto"/>
        <w:right w:val="none" w:sz="0" w:space="0" w:color="auto"/>
      </w:divBdr>
    </w:div>
    <w:div w:id="1984845510">
      <w:bodyDiv w:val="1"/>
      <w:marLeft w:val="0"/>
      <w:marRight w:val="0"/>
      <w:marTop w:val="0"/>
      <w:marBottom w:val="0"/>
      <w:divBdr>
        <w:top w:val="none" w:sz="0" w:space="0" w:color="auto"/>
        <w:left w:val="none" w:sz="0" w:space="0" w:color="auto"/>
        <w:bottom w:val="none" w:sz="0" w:space="0" w:color="auto"/>
        <w:right w:val="none" w:sz="0" w:space="0" w:color="auto"/>
      </w:divBdr>
    </w:div>
    <w:div w:id="1997345448">
      <w:bodyDiv w:val="1"/>
      <w:marLeft w:val="0"/>
      <w:marRight w:val="0"/>
      <w:marTop w:val="0"/>
      <w:marBottom w:val="0"/>
      <w:divBdr>
        <w:top w:val="none" w:sz="0" w:space="0" w:color="auto"/>
        <w:left w:val="none" w:sz="0" w:space="0" w:color="auto"/>
        <w:bottom w:val="none" w:sz="0" w:space="0" w:color="auto"/>
        <w:right w:val="none" w:sz="0" w:space="0" w:color="auto"/>
      </w:divBdr>
    </w:div>
    <w:div w:id="2003073205">
      <w:bodyDiv w:val="1"/>
      <w:marLeft w:val="0"/>
      <w:marRight w:val="0"/>
      <w:marTop w:val="0"/>
      <w:marBottom w:val="0"/>
      <w:divBdr>
        <w:top w:val="none" w:sz="0" w:space="0" w:color="auto"/>
        <w:left w:val="none" w:sz="0" w:space="0" w:color="auto"/>
        <w:bottom w:val="none" w:sz="0" w:space="0" w:color="auto"/>
        <w:right w:val="none" w:sz="0" w:space="0" w:color="auto"/>
      </w:divBdr>
    </w:div>
    <w:div w:id="2027906852">
      <w:bodyDiv w:val="1"/>
      <w:marLeft w:val="0"/>
      <w:marRight w:val="0"/>
      <w:marTop w:val="0"/>
      <w:marBottom w:val="0"/>
      <w:divBdr>
        <w:top w:val="none" w:sz="0" w:space="0" w:color="auto"/>
        <w:left w:val="none" w:sz="0" w:space="0" w:color="auto"/>
        <w:bottom w:val="none" w:sz="0" w:space="0" w:color="auto"/>
        <w:right w:val="none" w:sz="0" w:space="0" w:color="auto"/>
      </w:divBdr>
    </w:div>
    <w:div w:id="2029410748">
      <w:bodyDiv w:val="1"/>
      <w:marLeft w:val="0"/>
      <w:marRight w:val="0"/>
      <w:marTop w:val="0"/>
      <w:marBottom w:val="0"/>
      <w:divBdr>
        <w:top w:val="none" w:sz="0" w:space="0" w:color="auto"/>
        <w:left w:val="none" w:sz="0" w:space="0" w:color="auto"/>
        <w:bottom w:val="none" w:sz="0" w:space="0" w:color="auto"/>
        <w:right w:val="none" w:sz="0" w:space="0" w:color="auto"/>
      </w:divBdr>
    </w:div>
    <w:div w:id="2041128785">
      <w:bodyDiv w:val="1"/>
      <w:marLeft w:val="0"/>
      <w:marRight w:val="0"/>
      <w:marTop w:val="0"/>
      <w:marBottom w:val="0"/>
      <w:divBdr>
        <w:top w:val="none" w:sz="0" w:space="0" w:color="auto"/>
        <w:left w:val="none" w:sz="0" w:space="0" w:color="auto"/>
        <w:bottom w:val="none" w:sz="0" w:space="0" w:color="auto"/>
        <w:right w:val="none" w:sz="0" w:space="0" w:color="auto"/>
      </w:divBdr>
    </w:div>
    <w:div w:id="2057387678">
      <w:bodyDiv w:val="1"/>
      <w:marLeft w:val="0"/>
      <w:marRight w:val="0"/>
      <w:marTop w:val="0"/>
      <w:marBottom w:val="0"/>
      <w:divBdr>
        <w:top w:val="none" w:sz="0" w:space="0" w:color="auto"/>
        <w:left w:val="none" w:sz="0" w:space="0" w:color="auto"/>
        <w:bottom w:val="none" w:sz="0" w:space="0" w:color="auto"/>
        <w:right w:val="none" w:sz="0" w:space="0" w:color="auto"/>
      </w:divBdr>
    </w:div>
    <w:div w:id="2058435391">
      <w:bodyDiv w:val="1"/>
      <w:marLeft w:val="0"/>
      <w:marRight w:val="0"/>
      <w:marTop w:val="0"/>
      <w:marBottom w:val="0"/>
      <w:divBdr>
        <w:top w:val="none" w:sz="0" w:space="0" w:color="auto"/>
        <w:left w:val="none" w:sz="0" w:space="0" w:color="auto"/>
        <w:bottom w:val="none" w:sz="0" w:space="0" w:color="auto"/>
        <w:right w:val="none" w:sz="0" w:space="0" w:color="auto"/>
      </w:divBdr>
    </w:div>
    <w:div w:id="2059282736">
      <w:bodyDiv w:val="1"/>
      <w:marLeft w:val="0"/>
      <w:marRight w:val="0"/>
      <w:marTop w:val="0"/>
      <w:marBottom w:val="0"/>
      <w:divBdr>
        <w:top w:val="none" w:sz="0" w:space="0" w:color="auto"/>
        <w:left w:val="none" w:sz="0" w:space="0" w:color="auto"/>
        <w:bottom w:val="none" w:sz="0" w:space="0" w:color="auto"/>
        <w:right w:val="none" w:sz="0" w:space="0" w:color="auto"/>
      </w:divBdr>
    </w:div>
    <w:div w:id="2074961612">
      <w:bodyDiv w:val="1"/>
      <w:marLeft w:val="0"/>
      <w:marRight w:val="0"/>
      <w:marTop w:val="0"/>
      <w:marBottom w:val="0"/>
      <w:divBdr>
        <w:top w:val="none" w:sz="0" w:space="0" w:color="auto"/>
        <w:left w:val="none" w:sz="0" w:space="0" w:color="auto"/>
        <w:bottom w:val="none" w:sz="0" w:space="0" w:color="auto"/>
        <w:right w:val="none" w:sz="0" w:space="0" w:color="auto"/>
      </w:divBdr>
    </w:div>
    <w:div w:id="213517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2.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taxation_customs/sites/taxation/files/2019_masp_annex3_en.pdf" TargetMode="External"/><Relationship Id="rId2" Type="http://schemas.openxmlformats.org/officeDocument/2006/relationships/hyperlink" Target="https://ec.europa.eu/taxation_customs/general-information-customs/electronic-customs_fr" TargetMode="External"/><Relationship Id="rId1" Type="http://schemas.openxmlformats.org/officeDocument/2006/relationships/hyperlink" Target="https://ec.europa.eu/taxation_customs/general-information-customs/electronic-customs/eu-single-window-environment-for-customs_fr" TargetMode="External"/><Relationship Id="rId5" Type="http://schemas.openxmlformats.org/officeDocument/2006/relationships/hyperlink" Target="https://ec.europa.eu/taxation_customs/sites/taxation/files/2019_masp_annex5_en.pdf" TargetMode="External"/><Relationship Id="rId4" Type="http://schemas.openxmlformats.org/officeDocument/2006/relationships/hyperlink" Target="https://ec.europa.eu/taxation_customs/sites/taxation/files/2019_masp_annex4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ee61229a-0255-4ac7-abd5-704bb744f295">Draft</EC_Collab_Status>
    <EC_Collab_Reference xmlns="ee61229a-0255-4ac7-abd5-704bb744f295" xsi:nil="true"/>
    <EC_Collab_DocumentLanguage xmlns="ee61229a-0255-4ac7-abd5-704bb744f295">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ADDC396B85D904E92F5615562E9313A" ma:contentTypeVersion="1" ma:contentTypeDescription="Create a new document in this library." ma:contentTypeScope="" ma:versionID="41610979dae67ca59bc7b3201bdf4b2f">
  <xsd:schema xmlns:xsd="http://www.w3.org/2001/XMLSchema" xmlns:xs="http://www.w3.org/2001/XMLSchema" xmlns:p="http://schemas.microsoft.com/office/2006/metadata/properties" xmlns:ns3="ee61229a-0255-4ac7-abd5-704bb744f295" targetNamespace="http://schemas.microsoft.com/office/2006/metadata/properties" ma:root="true" ma:fieldsID="feb4c37c898c22219bb8e4773d7682d8" ns3:_="">
    <xsd:import namespace="ee61229a-0255-4ac7-abd5-704bb744f295"/>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1229a-0255-4ac7-abd5-704bb744f29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12EC0-A174-4988-8D5D-D2DDED938424}">
  <ds:schemaRefs>
    <ds:schemaRef ds:uri="http://schemas.microsoft.com/office/infopath/2007/PartnerControls"/>
    <ds:schemaRef ds:uri="http://purl.org/dc/elements/1.1/"/>
    <ds:schemaRef ds:uri="http://schemas.microsoft.com/office/2006/metadata/properties"/>
    <ds:schemaRef ds:uri="ee61229a-0255-4ac7-abd5-704bb744f295"/>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CE583596-A31E-4AD8-8B22-E48CB2EE9970}">
  <ds:schemaRefs>
    <ds:schemaRef ds:uri="http://schemas.microsoft.com/sharepoint/v3/contenttype/forms"/>
  </ds:schemaRefs>
</ds:datastoreItem>
</file>

<file path=customXml/itemProps3.xml><?xml version="1.0" encoding="utf-8"?>
<ds:datastoreItem xmlns:ds="http://schemas.openxmlformats.org/officeDocument/2006/customXml" ds:itemID="{791DE046-9DBF-450B-8C59-1BE6D1810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1229a-0255-4ac7-abd5-704bb744f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FF1282-53A6-4DA3-9998-D32F3D25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4660</Words>
  <Characters>26193</Characters>
  <Application>Microsoft Office Word</Application>
  <DocSecurity>0</DocSecurity>
  <Lines>557</Lines>
  <Paragraphs>250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14</cp:revision>
  <cp:lastPrinted>2019-10-30T13:41:00Z</cp:lastPrinted>
  <dcterms:created xsi:type="dcterms:W3CDTF">2020-07-16T07:57:00Z</dcterms:created>
  <dcterms:modified xsi:type="dcterms:W3CDTF">2020-07-23T09:49:00Z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RFilename">
    <vt:lpwstr>QA4-SfR-DLV-9.9.1.30-04-UCC WP Annual Progress Report 2019 v0.10.docx</vt:lpwstr>
  </property>
  <property fmtid="{D5CDD505-2E9C-101B-9397-08002B2CF9AE}" pid="3" name="QCNumber">
    <vt:lpwstr>QA4-QA4 SC03 RfA30-DLV-9.9.1.30-04_0002</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CP-006</vt:lpwstr>
  </property>
  <property fmtid="{D5CDD505-2E9C-101B-9397-08002B2CF9AE}" pid="9" name="Last edited using">
    <vt:lpwstr>LW 7.0, Build 20190717</vt:lpwstr>
  </property>
  <property fmtid="{D5CDD505-2E9C-101B-9397-08002B2CF9AE}" pid="10" name="Created using">
    <vt:lpwstr>LW 7.0, Build 20190717</vt:lpwstr>
  </property>
  <property fmtid="{D5CDD505-2E9C-101B-9397-08002B2CF9AE}" pid="11" name="_DocHome">
    <vt:i4>1059251394</vt:i4>
  </property>
  <property fmtid="{D5CDD505-2E9C-101B-9397-08002B2CF9AE}" pid="12" name="_LW_INVALIDATED__LW_INVALIDATED__LW_INVALIDATED__LW_INVALIDATED__LW_INVALIDATED__LW_INVALIDATED__LW_INVALIDATED__LW_INVALIDATED__LW_INVALIDATED_ContentTypeId">
    <vt:lpwstr>0x010100258AA79CEB83498886A3A08681123250001ADDC396B85D904E92F5615562E9313A</vt:lpwstr>
  </property>
</Properties>
</file>