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4608AF36-AD13-4AAF-B891-36E67696EDB4" style="width:450.75pt;height:3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imes New Roman" w:hAnsi="Times New Roman" w:cs="Times New Roman"/>
          <w:noProof/>
          <w:color w:val="auto"/>
          <w:sz w:val="24"/>
          <w:szCs w:val="24"/>
        </w:rPr>
        <w:id w:val="-46372658"/>
        <w:docPartObj>
          <w:docPartGallery w:val="Table of Contents"/>
          <w:docPartUnique/>
        </w:docPartObj>
      </w:sdtPr>
      <w:sdtEndPr>
        <w:rPr>
          <w:b/>
          <w:bCs/>
        </w:rPr>
      </w:sdtEndPr>
      <w:sdtContent>
        <w:p>
          <w:pPr>
            <w:pStyle w:val="TOCHeading"/>
            <w:spacing w:after="120" w:line="240" w:lineRule="auto"/>
            <w:rPr>
              <w:rFonts w:ascii="Times New Roman" w:hAnsi="Times New Roman" w:cs="Times New Roman"/>
              <w:b/>
              <w:noProof/>
              <w:color w:val="auto"/>
              <w:sz w:val="24"/>
              <w:szCs w:val="24"/>
            </w:rPr>
          </w:pPr>
          <w:r>
            <w:rPr>
              <w:rFonts w:ascii="Times New Roman" w:hAnsi="Times New Roman"/>
              <w:b/>
              <w:noProof/>
              <w:color w:val="auto"/>
              <w:sz w:val="24"/>
              <w:szCs w:val="24"/>
            </w:rPr>
            <w:t>Съдържание</w:t>
          </w:r>
        </w:p>
        <w:p>
          <w:pPr>
            <w:rPr>
              <w:noProof/>
              <w:sz w:val="24"/>
              <w:szCs w:val="24"/>
            </w:rPr>
          </w:pPr>
        </w:p>
        <w:p>
          <w:pPr>
            <w:pStyle w:val="TOC1"/>
            <w:rPr>
              <w:rFonts w:asciiTheme="minorHAnsi" w:eastAsiaTheme="minorEastAsia" w:hAnsiTheme="minorHAnsi" w:cstheme="minorBidi"/>
              <w:noProof/>
            </w:rPr>
          </w:pPr>
          <w:r>
            <w:rPr>
              <w:noProof/>
            </w:rPr>
            <w:fldChar w:fldCharType="begin"/>
          </w:r>
          <w:r>
            <w:rPr>
              <w:noProof/>
            </w:rPr>
            <w:instrText xml:space="preserve"> TOC \o "1-3" \h \z \u </w:instrText>
          </w:r>
          <w:r>
            <w:rPr>
              <w:noProof/>
            </w:rPr>
            <w:fldChar w:fldCharType="separate"/>
          </w:r>
          <w:hyperlink w:anchor="_Toc46150284" w:history="1">
            <w:r>
              <w:rPr>
                <w:rStyle w:val="Hyperlink"/>
                <w:smallCaps/>
                <w:noProof/>
              </w:rPr>
              <w:t>1.</w:t>
            </w:r>
            <w:r>
              <w:rPr>
                <w:rFonts w:asciiTheme="minorHAnsi" w:eastAsiaTheme="minorEastAsia" w:hAnsiTheme="minorHAnsi" w:cstheme="minorBidi"/>
                <w:noProof/>
              </w:rPr>
              <w:tab/>
            </w:r>
            <w:r>
              <w:rPr>
                <w:rStyle w:val="Hyperlink"/>
                <w:smallCaps/>
                <w:noProof/>
              </w:rPr>
              <w:t>ВЪВЕДЕНИЕ</w:t>
            </w:r>
            <w:r>
              <w:rPr>
                <w:noProof/>
                <w:webHidden/>
              </w:rPr>
              <w:tab/>
            </w:r>
            <w:r>
              <w:rPr>
                <w:noProof/>
                <w:webHidden/>
              </w:rPr>
              <w:fldChar w:fldCharType="begin"/>
            </w:r>
            <w:r>
              <w:rPr>
                <w:noProof/>
                <w:webHidden/>
              </w:rPr>
              <w:instrText xml:space="preserve"> PAGEREF _Toc46150284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rPr>
          </w:pPr>
          <w:hyperlink w:anchor="_Toc46150285" w:history="1">
            <w:r>
              <w:rPr>
                <w:rStyle w:val="Hyperlink"/>
                <w:smallCaps/>
                <w:noProof/>
              </w:rPr>
              <w:t>2.</w:t>
            </w:r>
            <w:r>
              <w:rPr>
                <w:rFonts w:asciiTheme="minorHAnsi" w:eastAsiaTheme="minorEastAsia" w:hAnsiTheme="minorHAnsi" w:cstheme="minorBidi"/>
                <w:noProof/>
              </w:rPr>
              <w:tab/>
            </w:r>
            <w:r>
              <w:rPr>
                <w:rStyle w:val="Hyperlink"/>
                <w:smallCaps/>
                <w:noProof/>
              </w:rPr>
              <w:t>ЦЕЛИ</w:t>
            </w:r>
            <w:r>
              <w:rPr>
                <w:noProof/>
                <w:webHidden/>
              </w:rPr>
              <w:tab/>
            </w:r>
            <w:r>
              <w:rPr>
                <w:noProof/>
                <w:webHidden/>
              </w:rPr>
              <w:fldChar w:fldCharType="begin"/>
            </w:r>
            <w:r>
              <w:rPr>
                <w:noProof/>
                <w:webHidden/>
              </w:rPr>
              <w:instrText xml:space="preserve"> PAGEREF _Toc46150285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rPr>
          </w:pPr>
          <w:hyperlink w:anchor="_Toc46150286" w:history="1">
            <w:r>
              <w:rPr>
                <w:rStyle w:val="Hyperlink"/>
                <w:smallCaps/>
                <w:noProof/>
              </w:rPr>
              <w:t>3.</w:t>
            </w:r>
            <w:r>
              <w:rPr>
                <w:rFonts w:asciiTheme="minorHAnsi" w:eastAsiaTheme="minorEastAsia" w:hAnsiTheme="minorHAnsi" w:cstheme="minorBidi"/>
                <w:noProof/>
              </w:rPr>
              <w:tab/>
            </w:r>
            <w:r>
              <w:rPr>
                <w:rStyle w:val="Hyperlink"/>
                <w:smallCaps/>
                <w:noProof/>
              </w:rPr>
              <w:t>СТРУКТУРА НА ПРОЕКТА И ПОДХОД ЗА ПЛАНИРАНЕ</w:t>
            </w:r>
            <w:r>
              <w:rPr>
                <w:noProof/>
                <w:webHidden/>
              </w:rPr>
              <w:tab/>
            </w:r>
            <w:r>
              <w:rPr>
                <w:noProof/>
                <w:webHidden/>
              </w:rPr>
              <w:fldChar w:fldCharType="begin"/>
            </w:r>
            <w:r>
              <w:rPr>
                <w:noProof/>
                <w:webHidden/>
              </w:rPr>
              <w:instrText xml:space="preserve"> PAGEREF _Toc46150286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rPr>
          </w:pPr>
          <w:hyperlink w:anchor="_Toc46150287" w:history="1">
            <w:r>
              <w:rPr>
                <w:rStyle w:val="Hyperlink"/>
                <w:smallCaps/>
                <w:noProof/>
              </w:rPr>
              <w:t>4.</w:t>
            </w:r>
            <w:r>
              <w:rPr>
                <w:rFonts w:asciiTheme="minorHAnsi" w:eastAsiaTheme="minorEastAsia" w:hAnsiTheme="minorHAnsi" w:cstheme="minorBidi"/>
                <w:noProof/>
              </w:rPr>
              <w:tab/>
            </w:r>
            <w:r>
              <w:rPr>
                <w:rStyle w:val="Hyperlink"/>
                <w:smallCaps/>
                <w:noProof/>
              </w:rPr>
              <w:t>ПРЕГЛЕД На НАПРЕДЪКА</w:t>
            </w:r>
            <w:r>
              <w:rPr>
                <w:noProof/>
                <w:webHidden/>
              </w:rPr>
              <w:tab/>
            </w:r>
            <w:r>
              <w:rPr>
                <w:noProof/>
                <w:webHidden/>
              </w:rPr>
              <w:fldChar w:fldCharType="begin"/>
            </w:r>
            <w:r>
              <w:rPr>
                <w:noProof/>
                <w:webHidden/>
              </w:rPr>
              <w:instrText xml:space="preserve"> PAGEREF _Toc46150287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rPr>
          </w:pPr>
          <w:hyperlink w:anchor="_Toc46150288" w:history="1">
            <w:r>
              <w:rPr>
                <w:rStyle w:val="Hyperlink"/>
                <w:smallCaps/>
                <w:noProof/>
              </w:rPr>
              <w:t>5.</w:t>
            </w:r>
            <w:r>
              <w:rPr>
                <w:rFonts w:asciiTheme="minorHAnsi" w:eastAsiaTheme="minorEastAsia" w:hAnsiTheme="minorHAnsi" w:cstheme="minorBidi"/>
                <w:noProof/>
              </w:rPr>
              <w:tab/>
            </w:r>
            <w:r>
              <w:rPr>
                <w:rStyle w:val="Hyperlink"/>
                <w:smallCaps/>
                <w:noProof/>
              </w:rPr>
              <w:t>РИСКОВЕ ОТ ЗАКЪСНЕНИЯ</w:t>
            </w:r>
            <w:r>
              <w:rPr>
                <w:noProof/>
                <w:webHidden/>
              </w:rPr>
              <w:tab/>
            </w:r>
            <w:r>
              <w:rPr>
                <w:noProof/>
                <w:webHidden/>
              </w:rPr>
              <w:fldChar w:fldCharType="begin"/>
            </w:r>
            <w:r>
              <w:rPr>
                <w:noProof/>
                <w:webHidden/>
              </w:rPr>
              <w:instrText xml:space="preserve"> PAGEREF _Toc46150288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rPr>
          </w:pPr>
          <w:hyperlink w:anchor="_Toc46150289" w:history="1">
            <w:r>
              <w:rPr>
                <w:rStyle w:val="Hyperlink"/>
                <w:smallCaps/>
                <w:noProof/>
              </w:rPr>
              <w:t>6.</w:t>
            </w:r>
            <w:r>
              <w:rPr>
                <w:rFonts w:asciiTheme="minorHAnsi" w:eastAsiaTheme="minorEastAsia" w:hAnsiTheme="minorHAnsi" w:cstheme="minorBidi"/>
                <w:noProof/>
              </w:rPr>
              <w:tab/>
            </w:r>
            <w:r>
              <w:rPr>
                <w:rStyle w:val="Hyperlink"/>
                <w:smallCaps/>
                <w:noProof/>
              </w:rPr>
              <w:t>ЗАКЛЮЧЕНИЯ</w:t>
            </w:r>
            <w:r>
              <w:rPr>
                <w:noProof/>
                <w:webHidden/>
              </w:rPr>
              <w:tab/>
            </w:r>
            <w:r>
              <w:rPr>
                <w:noProof/>
                <w:webHidden/>
              </w:rPr>
              <w:fldChar w:fldCharType="begin"/>
            </w:r>
            <w:r>
              <w:rPr>
                <w:noProof/>
                <w:webHidden/>
              </w:rPr>
              <w:instrText xml:space="preserve"> PAGEREF _Toc46150289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rPr>
          </w:pPr>
          <w:hyperlink w:anchor="_Toc46150290" w:history="1">
            <w:r>
              <w:rPr>
                <w:rStyle w:val="Hyperlink"/>
                <w:noProof/>
              </w:rPr>
              <w:t>Приложение I: Многогодишно стратегическо планиране</w:t>
            </w:r>
            <w:r>
              <w:rPr>
                <w:noProof/>
                <w:webHidden/>
              </w:rPr>
              <w:tab/>
            </w:r>
            <w:r>
              <w:rPr>
                <w:noProof/>
                <w:webHidden/>
              </w:rPr>
              <w:fldChar w:fldCharType="begin"/>
            </w:r>
            <w:r>
              <w:rPr>
                <w:noProof/>
                <w:webHidden/>
              </w:rPr>
              <w:instrText xml:space="preserve"> PAGEREF _Toc46150290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rPr>
          </w:pPr>
          <w:hyperlink w:anchor="_Toc46150291" w:history="1">
            <w:r>
              <w:rPr>
                <w:rStyle w:val="Hyperlink"/>
                <w:noProof/>
              </w:rPr>
              <w:t>Приложение II: Основни етапи на проекта и график на ключовите моменти</w:t>
            </w:r>
            <w:r>
              <w:rPr>
                <w:noProof/>
                <w:webHidden/>
              </w:rPr>
              <w:tab/>
            </w:r>
            <w:r>
              <w:rPr>
                <w:noProof/>
                <w:webHidden/>
              </w:rPr>
              <w:fldChar w:fldCharType="begin"/>
            </w:r>
            <w:r>
              <w:rPr>
                <w:noProof/>
                <w:webHidden/>
              </w:rPr>
              <w:instrText xml:space="preserve"> PAGEREF _Toc46150291 \h </w:instrText>
            </w:r>
            <w:r>
              <w:rPr>
                <w:noProof/>
                <w:webHidden/>
              </w:rPr>
            </w:r>
            <w:r>
              <w:rPr>
                <w:noProof/>
                <w:webHidden/>
              </w:rPr>
              <w:fldChar w:fldCharType="separate"/>
            </w:r>
            <w:r>
              <w:rPr>
                <w:noProof/>
                <w:webHidden/>
              </w:rPr>
              <w:t>12</w:t>
            </w:r>
            <w:r>
              <w:rPr>
                <w:noProof/>
                <w:webHidden/>
              </w:rPr>
              <w:fldChar w:fldCharType="end"/>
            </w:r>
          </w:hyperlink>
        </w:p>
        <w:p>
          <w:pPr>
            <w:rPr>
              <w:noProof/>
              <w:sz w:val="24"/>
              <w:szCs w:val="24"/>
            </w:rPr>
          </w:pPr>
          <w:r>
            <w:rPr>
              <w:b/>
              <w:bCs/>
              <w:noProof/>
            </w:rPr>
            <w:fldChar w:fldCharType="end"/>
          </w:r>
        </w:p>
      </w:sdtContent>
    </w:sdt>
    <w:p>
      <w:pPr>
        <w:jc w:val="left"/>
        <w:rPr>
          <w:rFonts w:eastAsiaTheme="majorEastAsia"/>
          <w:b/>
          <w:noProof/>
          <w:sz w:val="24"/>
          <w:szCs w:val="24"/>
        </w:rPr>
      </w:pPr>
      <w:r>
        <w:rPr>
          <w:noProof/>
        </w:rPr>
        <w:br w:type="page"/>
      </w:r>
    </w:p>
    <w:p>
      <w:pPr>
        <w:pStyle w:val="Heading1"/>
        <w:keepLines w:val="0"/>
        <w:numPr>
          <w:ilvl w:val="0"/>
          <w:numId w:val="1"/>
        </w:numPr>
        <w:spacing w:after="120"/>
        <w:ind w:left="432" w:hanging="432"/>
        <w:rPr>
          <w:rFonts w:ascii="Times New Roman" w:eastAsia="Times New Roman" w:hAnsi="Times New Roman" w:cs="Times New Roman"/>
          <w:smallCaps/>
          <w:noProof/>
          <w:szCs w:val="24"/>
        </w:rPr>
      </w:pPr>
      <w:bookmarkStart w:id="2" w:name="_Toc46150284"/>
      <w:r>
        <w:rPr>
          <w:rFonts w:ascii="Times New Roman" w:hAnsi="Times New Roman"/>
          <w:smallCaps/>
          <w:noProof/>
        </w:rPr>
        <w:t>ВЪВЕДЕНИЕ</w:t>
      </w:r>
      <w:bookmarkEnd w:id="2"/>
    </w:p>
    <w:p>
      <w:pPr>
        <w:pStyle w:val="Default"/>
        <w:spacing w:after="120"/>
        <w:jc w:val="both"/>
        <w:rPr>
          <w:noProof/>
          <w:color w:val="auto"/>
        </w:rPr>
      </w:pPr>
      <w:r>
        <w:rPr>
          <w:noProof/>
        </w:rPr>
        <w:t>С Регламент (ЕС) 2019/880 на Европейския парламент и на Съвета от 17 април 2019 г.</w:t>
      </w:r>
      <w:r>
        <w:rPr>
          <w:rStyle w:val="FootnoteReference"/>
          <w:noProof/>
        </w:rPr>
        <w:footnoteReference w:id="2"/>
      </w:r>
      <w:r>
        <w:rPr>
          <w:noProof/>
        </w:rPr>
        <w:t xml:space="preserve"> за въвеждането и вноса на движими културни ценности („Регламента“) се цели да се предотврати незаконната търговия с движими културни ценности, по-специално когато тя допринася за финансирането на терористични дейности, както и да се забрани вносът на движими културни ценности, изнесени незаконно от трети държави, на митническата територия на Съюза. </w:t>
      </w:r>
    </w:p>
    <w:p>
      <w:pPr>
        <w:pStyle w:val="Default"/>
        <w:spacing w:after="120"/>
        <w:jc w:val="both"/>
        <w:rPr>
          <w:noProof/>
          <w:color w:val="auto"/>
        </w:rPr>
      </w:pPr>
      <w:r>
        <w:rPr>
          <w:noProof/>
        </w:rPr>
        <w:t xml:space="preserve">С Регламента се изисква за вноса на определени движими културни ценности, считани за особено застрашено културно наследство, да се представят разрешения за внос, а за вноса на други движими културни ценности да се представят декларации на вносители и да се гарантира, че те подлежат на еднакъв контрол при вноса им в Съюза. Освен това се забранява всякакво физическо въвеждане в Съюза, например чрез транзит, на движими културни ценности, които са изнесени от територията на третата държава, в която са били създадени или открити, в нарушение на нейните законови и подзаконови актове (т.нар. „правило за обща забрана“). </w:t>
      </w:r>
    </w:p>
    <w:p>
      <w:pPr>
        <w:pStyle w:val="Default"/>
        <w:spacing w:after="120"/>
        <w:jc w:val="both"/>
        <w:rPr>
          <w:noProof/>
          <w:color w:val="auto"/>
        </w:rPr>
      </w:pPr>
      <w:r>
        <w:rPr>
          <w:noProof/>
        </w:rPr>
        <w:t>Материалният обхват на Регламента се основава на Конвенцията на ЮНЕСКО от 1970 г.</w:t>
      </w:r>
      <w:r>
        <w:rPr>
          <w:rStyle w:val="FootnoteReference"/>
          <w:noProof/>
        </w:rPr>
        <w:footnoteReference w:id="3"/>
      </w:r>
      <w:r>
        <w:rPr>
          <w:noProof/>
        </w:rPr>
        <w:t xml:space="preserve"> и е определен в приложението към него чрез изброяване на категориите движими културни ценности, за които се прилага правилото за обща забрана (част А), както и тези, за които се изискват разрешения за внос (част Б) и декларации на вносители (част В).</w:t>
      </w:r>
    </w:p>
    <w:p>
      <w:pPr>
        <w:pStyle w:val="Default"/>
        <w:spacing w:after="120"/>
        <w:jc w:val="both"/>
        <w:rPr>
          <w:noProof/>
          <w:color w:val="auto"/>
        </w:rPr>
      </w:pPr>
      <w:r>
        <w:rPr>
          <w:noProof/>
        </w:rPr>
        <w:t xml:space="preserve">В първоначалното предложение на Комисията се предвиждаше възможност за разработване на електронна система, без да се предписва конкретен срок, за да се улесни административното сътрудничество между органите на държавите членки, отговарящи за изпълнението на Регламента. В резултат на искането, формулирано от Европейския парламент и Съвета по време на преговорите за неговото приемане, в Регламента беше въведено задължение Комисията да създаде централизирана електронна система в конкретен срок. </w:t>
      </w:r>
    </w:p>
    <w:p>
      <w:pPr>
        <w:pStyle w:val="Default"/>
        <w:spacing w:after="120"/>
        <w:jc w:val="both"/>
        <w:rPr>
          <w:noProof/>
          <w:color w:val="auto"/>
        </w:rPr>
      </w:pPr>
      <w:r>
        <w:rPr>
          <w:noProof/>
        </w:rPr>
        <w:t xml:space="preserve">Централизираната електронна система трябва да започне да функционира най-късно в срок от шест години след влизането в сила на Регламента (28.6.2019 г.), т.е. най-късно до 28 юни 2025 г. Освен това системата ще служи не само като средство за съхранение и обмен на информация между администрациите на държавите членки, но и за изпълнение на формалности от страна на операторите, а именно за подаване на заявления за разрешения за внос до компетентните органи на държавите членки и за издаване на такива разрешения, както и за представяне на декларации на вносители пред митниците. </w:t>
      </w:r>
    </w:p>
    <w:p>
      <w:pPr>
        <w:pStyle w:val="Default"/>
        <w:spacing w:after="120"/>
        <w:jc w:val="both"/>
        <w:rPr>
          <w:noProof/>
          <w:color w:val="auto"/>
        </w:rPr>
      </w:pPr>
      <w:r>
        <w:rPr>
          <w:noProof/>
        </w:rPr>
        <w:t>Освен това разработването и функционирането на централизираната електронна система за внос на движими културни ценности (наричана по-долу „системата за ICG“) са тясно свързани с друга важна инициатива на Комисията в областта на митниците: системата за обслужване на едно гише на митниците на ЕС: обмен на сертификати (EU-CSW CERTEX)</w:t>
      </w:r>
      <w:r>
        <w:rPr>
          <w:rStyle w:val="FootnoteReference"/>
          <w:noProof/>
        </w:rPr>
        <w:footnoteReference w:id="4"/>
      </w:r>
      <w:r>
        <w:rPr>
          <w:noProof/>
        </w:rPr>
        <w:t xml:space="preserve">. </w:t>
      </w:r>
    </w:p>
    <w:p>
      <w:pPr>
        <w:pStyle w:val="Default"/>
        <w:spacing w:after="120"/>
        <w:jc w:val="both"/>
        <w:rPr>
          <w:noProof/>
          <w:color w:val="auto"/>
        </w:rPr>
      </w:pPr>
      <w:r>
        <w:rPr>
          <w:noProof/>
        </w:rPr>
        <w:t>С EU-CSW CERTEX се цели свързване на централизираните системи на ЕС за немитническите формалности в Съюза с националните митнически системи, за да се позволи цифров обмен на придружаващите документи, резултатите от проверки и резултатите от митнически и немитнически процедури. Операторите ще се възползват от този механизъм, тъй като няма да е необходимо да носят физически копия на документи, а компетентните органи няма да трябва да извършват проверка на автентичността на декларациите на вносители и разрешенията за внос.</w:t>
      </w:r>
    </w:p>
    <w:p>
      <w:pPr>
        <w:pStyle w:val="Default"/>
        <w:spacing w:after="120"/>
        <w:jc w:val="both"/>
        <w:rPr>
          <w:noProof/>
          <w:color w:val="auto"/>
        </w:rPr>
      </w:pPr>
      <w:r>
        <w:rPr>
          <w:noProof/>
        </w:rPr>
        <w:t>За да се постигнат тези цели, в Регламента се изисква Европейската комисия да установи чрез разпоредби за изпълнение условията за въвеждане, експлоатация и поддръжка на централизираната електронна система за ICG, както и подробните правила за подаването, обработването, съхранението и обмена на информация между органите на държавите членки чрез същата електронна система.</w:t>
      </w:r>
    </w:p>
    <w:p>
      <w:pPr>
        <w:pStyle w:val="Default"/>
        <w:spacing w:after="120"/>
        <w:jc w:val="both"/>
        <w:rPr>
          <w:noProof/>
          <w:color w:val="auto"/>
        </w:rPr>
      </w:pPr>
      <w:r>
        <w:rPr>
          <w:noProof/>
        </w:rPr>
        <w:t>Въпреки напредъка на проекта на няколко равнища по едно и също време, той може да бъде разделен на три етапа:</w:t>
      </w:r>
    </w:p>
    <w:p>
      <w:pPr>
        <w:pStyle w:val="Default"/>
        <w:numPr>
          <w:ilvl w:val="0"/>
          <w:numId w:val="4"/>
        </w:numPr>
        <w:spacing w:after="120"/>
        <w:ind w:left="426"/>
        <w:jc w:val="both"/>
        <w:rPr>
          <w:noProof/>
          <w:color w:val="auto"/>
        </w:rPr>
      </w:pPr>
      <w:r>
        <w:rPr>
          <w:b/>
          <w:noProof/>
        </w:rPr>
        <w:t xml:space="preserve">Етап 1 — Създаване на концепцията: </w:t>
      </w:r>
      <w:r>
        <w:rPr>
          <w:noProof/>
        </w:rPr>
        <w:t>на този етап Комисията трябва да проучи как ще работи системата за ICG и да определи подробните правила за подаването, обработването и съхранението на информацията между органите на държавите членки. В края на този етап Комисията ще изготви акт за изпълнение и паралелен набор технически документи, които са посочени в таблица 1 (вж. приложение I);</w:t>
      </w:r>
    </w:p>
    <w:p>
      <w:pPr>
        <w:pStyle w:val="Default"/>
        <w:numPr>
          <w:ilvl w:val="0"/>
          <w:numId w:val="4"/>
        </w:numPr>
        <w:spacing w:after="120"/>
        <w:ind w:left="426"/>
        <w:jc w:val="both"/>
        <w:rPr>
          <w:noProof/>
          <w:color w:val="auto"/>
        </w:rPr>
      </w:pPr>
      <w:r>
        <w:rPr>
          <w:b/>
          <w:noProof/>
        </w:rPr>
        <w:t>Етап 2 —</w:t>
      </w:r>
      <w:r>
        <w:rPr>
          <w:noProof/>
        </w:rPr>
        <w:t xml:space="preserve"> </w:t>
      </w:r>
      <w:r>
        <w:rPr>
          <w:b/>
          <w:noProof/>
        </w:rPr>
        <w:t>Разработване на системата:</w:t>
      </w:r>
      <w:r>
        <w:rPr>
          <w:noProof/>
        </w:rPr>
        <w:t xml:space="preserve"> като съблюдава разпоредбите на акта за изпълнение и се придържа към техническите документи, в които се описват изискванията към системата, Комисията трябва да изготви подробни технически спецификации на системата и да разработи системата за ICG и нейната връзка със системата за обслужване на едно гише на митниците на ЕС: обмен на сертификати (EU-CSW CERTEX);</w:t>
      </w:r>
    </w:p>
    <w:p>
      <w:pPr>
        <w:pStyle w:val="Default"/>
        <w:numPr>
          <w:ilvl w:val="0"/>
          <w:numId w:val="4"/>
        </w:numPr>
        <w:spacing w:after="120"/>
        <w:ind w:left="426"/>
        <w:jc w:val="both"/>
        <w:rPr>
          <w:noProof/>
          <w:color w:val="auto"/>
        </w:rPr>
      </w:pPr>
      <w:r>
        <w:rPr>
          <w:b/>
          <w:noProof/>
        </w:rPr>
        <w:t>Етап 3 —</w:t>
      </w:r>
      <w:r>
        <w:rPr>
          <w:noProof/>
        </w:rPr>
        <w:t xml:space="preserve"> </w:t>
      </w:r>
      <w:r>
        <w:rPr>
          <w:b/>
          <w:noProof/>
        </w:rPr>
        <w:t xml:space="preserve">Въвеждане и експлоатация: </w:t>
      </w:r>
      <w:r>
        <w:rPr>
          <w:noProof/>
        </w:rPr>
        <w:t>този последен етап се състои от въвеждането и изпитването на системата за ICG, в това число специфични дейности за обучение във всяка държава членка, за да се гарантира, че до 28 юни 2025 г. операторите и компетентните органи ще са способни и добре обучени да използват системата. След този етап ще последва 6-месечен период на наблюдение, в който системата ще бъде прецизирана, така че да съответства на всички оперативни нужди, които могат да се проявят едва след като дадена ИТ система стане задължителна, и за да се гарантира гладкото протичане на операциите.</w:t>
      </w:r>
    </w:p>
    <w:p>
      <w:pPr>
        <w:pStyle w:val="Default"/>
        <w:spacing w:after="120"/>
        <w:jc w:val="both"/>
        <w:rPr>
          <w:noProof/>
          <w:color w:val="auto"/>
        </w:rPr>
      </w:pPr>
      <w:r>
        <w:rPr>
          <w:noProof/>
        </w:rPr>
        <w:t>В Регламента се предвижда, че до 28 юни 2020 г. и на всеки 12 месеца след това докато електронната система започне да функционира, Европейската комисия ще представя на Европейския парламент и на Съвета доклад за напредъка при приемане на съответните разпоредби за изпълнение и за напредъка при създаване на електронната система.</w:t>
      </w:r>
    </w:p>
    <w:p>
      <w:pPr>
        <w:pStyle w:val="Default"/>
        <w:spacing w:after="120"/>
        <w:jc w:val="both"/>
        <w:rPr>
          <w:b/>
          <w:noProof/>
          <w:color w:val="auto"/>
        </w:rPr>
      </w:pPr>
      <w:r>
        <w:rPr>
          <w:noProof/>
        </w:rPr>
        <w:t xml:space="preserve">Този първи годишен доклад за напредъка се съсредоточава основно върху етап 1 и описва развитието през първата година след влизането в сила на Регламента. </w:t>
      </w:r>
      <w:r>
        <w:rPr>
          <w:b/>
          <w:noProof/>
        </w:rPr>
        <w:t xml:space="preserve">В него се анализира напредъкът, като се очертават и целите, които трябва да бъдат постигнати, структурата на проекта и подходът за планиране. Въз основа на това в доклада са посочени рисковете от евентуални закъснения, както и предвидените мерки за смекчаване на последиците. </w:t>
      </w:r>
    </w:p>
    <w:p>
      <w:pPr>
        <w:spacing w:after="240"/>
        <w:rPr>
          <w:b/>
          <w:noProof/>
          <w:sz w:val="24"/>
          <w:szCs w:val="24"/>
        </w:rPr>
      </w:pPr>
      <w:r>
        <w:rPr>
          <w:b/>
          <w:noProof/>
        </w:rPr>
        <w:t xml:space="preserve">Цялостната оценка на напредъка е обобщена в раздела за заключения от настоящия доклад. </w:t>
      </w:r>
    </w:p>
    <w:p>
      <w:pPr>
        <w:pStyle w:val="Heading1"/>
        <w:keepLines w:val="0"/>
        <w:numPr>
          <w:ilvl w:val="0"/>
          <w:numId w:val="1"/>
        </w:numPr>
        <w:spacing w:after="120"/>
        <w:ind w:left="432" w:hanging="432"/>
        <w:rPr>
          <w:rFonts w:ascii="Times New Roman" w:eastAsia="Times New Roman" w:hAnsi="Times New Roman" w:cs="Times New Roman"/>
          <w:smallCaps/>
          <w:noProof/>
          <w:szCs w:val="24"/>
        </w:rPr>
      </w:pPr>
      <w:bookmarkStart w:id="3" w:name="_Toc46150285"/>
      <w:r>
        <w:rPr>
          <w:rFonts w:ascii="Times New Roman" w:hAnsi="Times New Roman"/>
          <w:smallCaps/>
          <w:noProof/>
        </w:rPr>
        <w:t>ЦЕЛИ</w:t>
      </w:r>
      <w:bookmarkEnd w:id="3"/>
    </w:p>
    <w:p>
      <w:pPr>
        <w:pStyle w:val="Default"/>
        <w:spacing w:after="120"/>
        <w:jc w:val="both"/>
        <w:rPr>
          <w:noProof/>
          <w:color w:val="auto"/>
        </w:rPr>
      </w:pPr>
      <w:r>
        <w:rPr>
          <w:noProof/>
        </w:rPr>
        <w:t>Електронната система ще трябва да започне да функционира не по-късно от 28 юни 2025 г., тъй като към тази дата ще стане задължително за всички оператори да получават разрешения за внос или да подават декларации на вносители чрез електронната система, за да могат да внасят</w:t>
      </w:r>
      <w:r>
        <w:rPr>
          <w:rStyle w:val="FootnoteReference"/>
          <w:noProof/>
        </w:rPr>
        <w:footnoteReference w:id="5"/>
      </w:r>
      <w:r>
        <w:rPr>
          <w:noProof/>
        </w:rPr>
        <w:t xml:space="preserve"> законно движими културни ценности в Съюза. </w:t>
      </w:r>
    </w:p>
    <w:p>
      <w:pPr>
        <w:pStyle w:val="Default"/>
        <w:spacing w:after="120"/>
        <w:jc w:val="both"/>
        <w:rPr>
          <w:noProof/>
          <w:color w:val="auto"/>
        </w:rPr>
      </w:pPr>
      <w:r>
        <w:rPr>
          <w:noProof/>
        </w:rPr>
        <w:t xml:space="preserve">Регламентът влезе в сила на 28 юни 2019 г. и определи краен срок до 28 юни 2021 г. за приемане чрез процедурата по разглеждане на разпоредбите за изпълнение, в които се определят подробните правила за електронната система. </w:t>
      </w:r>
    </w:p>
    <w:p>
      <w:pPr>
        <w:pStyle w:val="Default"/>
        <w:spacing w:after="120"/>
        <w:jc w:val="both"/>
        <w:rPr>
          <w:noProof/>
          <w:color w:val="auto"/>
        </w:rPr>
      </w:pPr>
      <w:r>
        <w:rPr>
          <w:noProof/>
        </w:rPr>
        <w:t xml:space="preserve">След приемане на разпоредбите за изпълнение етапът на разработване на електронната система ще продължи около две години, в края на който период ще започне третият етап, когато системата за ICG ще бъде свързана с EU-CSW CERTEX, за да се даде възможност за обмен на документи с митническите системи на държавите членки. Ще бъдат организирани обучения за запознаване на техните администрации с оперативните функционални възможности на системите. </w:t>
      </w:r>
    </w:p>
    <w:p>
      <w:pPr>
        <w:pStyle w:val="Default"/>
        <w:spacing w:after="120"/>
        <w:jc w:val="both"/>
        <w:rPr>
          <w:noProof/>
          <w:color w:val="auto"/>
        </w:rPr>
      </w:pPr>
      <w:r>
        <w:rPr>
          <w:noProof/>
        </w:rPr>
        <w:t>Наред с други дейности на Комисията в областта на митниците, проектът относно вноса на движими културни ценности е планиран подробно и чрез Многогодишния стратегически план за митническите електронни системи, редакция от 2019 г.</w:t>
      </w:r>
      <w:r>
        <w:rPr>
          <w:rStyle w:val="FootnoteReference"/>
          <w:noProof/>
        </w:rPr>
        <w:footnoteReference w:id="6"/>
      </w:r>
      <w:r>
        <w:rPr>
          <w:noProof/>
        </w:rPr>
        <w:t xml:space="preserve"> (МГСП-М, ред. 2019 г.). МГСП-М е инструмент за управление и планиране на основата на съществуващото законодателство или международни споразумения, изготвен от Комисията в партньорство с държавите членки в съответствие с член 8, параграф 2 от Решението за електронните митници</w:t>
      </w:r>
      <w:r>
        <w:rPr>
          <w:rStyle w:val="FootnoteReference"/>
          <w:noProof/>
        </w:rPr>
        <w:footnoteReference w:id="7"/>
      </w:r>
      <w:r>
        <w:rPr>
          <w:noProof/>
        </w:rPr>
        <w:t>. В приложение I към настоящия доклад е представена извадка от МГСП-М, ред. 2019 г., за планирането на проекта за внос на движими културни ценности.</w:t>
      </w:r>
    </w:p>
    <w:p>
      <w:pPr>
        <w:pStyle w:val="Default"/>
        <w:spacing w:after="120"/>
        <w:jc w:val="both"/>
        <w:rPr>
          <w:noProof/>
          <w:color w:val="auto"/>
        </w:rPr>
      </w:pPr>
      <w:r>
        <w:rPr>
          <w:noProof/>
        </w:rPr>
        <w:t>Част от проекта за внос на движими културни ценности е разработена също така в рамките на системата за обслужване на едно гише на митниците на ЕС (МГСП-М, ред. 2019 г., фиш 1.13), чиято ключова информационна система е EU CSW-CERTEX. В приложение I към настоящия доклад е представена извадка от планирането в EU CSW-CERTEX, съдържащо се във фиш 1.13 на МГСП-М.</w:t>
      </w:r>
    </w:p>
    <w:p>
      <w:pPr>
        <w:pStyle w:val="Default"/>
        <w:spacing w:after="240"/>
        <w:jc w:val="both"/>
        <w:rPr>
          <w:noProof/>
          <w:color w:val="auto"/>
        </w:rPr>
      </w:pPr>
      <w:r>
        <w:rPr>
          <w:noProof/>
        </w:rPr>
        <w:t>Всъщност вносът на движими културни ценности предполага тясно сътрудничество между националните компетентни органи, които издават разрешения за внос, и митниците, които се нуждаят от тези разрешения за освобождаване на движимите културни ценности на границата. Като започна през първото тримесечие на 2017 г., Комисията извърши предварителен анализ на възможната взаимосвързаност между системата за ICG и митниците. Този анализ послужи като основа за първоначалната работа по етапа на създаване на концепцията на системата за ICG и се развива паралелно с ключовите моменти, посочени в таблица 1 (вж. приложение I).</w:t>
      </w:r>
    </w:p>
    <w:p>
      <w:pPr>
        <w:pStyle w:val="Heading1"/>
        <w:keepLines w:val="0"/>
        <w:numPr>
          <w:ilvl w:val="0"/>
          <w:numId w:val="1"/>
        </w:numPr>
        <w:spacing w:after="120"/>
        <w:ind w:left="432" w:hanging="432"/>
        <w:rPr>
          <w:rFonts w:ascii="Times New Roman" w:eastAsia="Times New Roman" w:hAnsi="Times New Roman" w:cs="Times New Roman"/>
          <w:smallCaps/>
          <w:noProof/>
          <w:szCs w:val="24"/>
        </w:rPr>
      </w:pPr>
      <w:bookmarkStart w:id="4" w:name="_Toc46150286"/>
      <w:r>
        <w:rPr>
          <w:rFonts w:ascii="Times New Roman" w:hAnsi="Times New Roman"/>
          <w:smallCaps/>
          <w:noProof/>
        </w:rPr>
        <w:t>СТРУКТУРА НА ПРОЕКТА И ПОДХОД ЗА ПЛАНИРАНЕ</w:t>
      </w:r>
      <w:bookmarkEnd w:id="4"/>
    </w:p>
    <w:p>
      <w:pPr>
        <w:pStyle w:val="Default"/>
        <w:spacing w:after="120"/>
        <w:jc w:val="both"/>
        <w:rPr>
          <w:iCs/>
          <w:noProof/>
          <w:color w:val="auto"/>
        </w:rPr>
      </w:pPr>
      <w:r>
        <w:rPr>
          <w:noProof/>
        </w:rPr>
        <w:t>Структурата на проекта се основава на методологията, предвидена в МГСП-М, ред. 2019 г., и в приложенията към него, в това число схемата за управление</w:t>
      </w:r>
      <w:r>
        <w:rPr>
          <w:rStyle w:val="FootnoteReference"/>
          <w:iCs/>
          <w:noProof/>
        </w:rPr>
        <w:footnoteReference w:id="8"/>
      </w:r>
      <w:r>
        <w:rPr>
          <w:noProof/>
        </w:rPr>
        <w:t>, политиката на ЕС за моделиране на митническите бизнес процеси</w:t>
      </w:r>
      <w:r>
        <w:rPr>
          <w:rStyle w:val="FootnoteReference"/>
          <w:iCs/>
          <w:noProof/>
        </w:rPr>
        <w:footnoteReference w:id="9"/>
      </w:r>
      <w:r>
        <w:rPr>
          <w:noProof/>
        </w:rPr>
        <w:t xml:space="preserve"> и стратегията за информационните технологии</w:t>
      </w:r>
      <w:r>
        <w:rPr>
          <w:rStyle w:val="FootnoteReference"/>
          <w:iCs/>
          <w:noProof/>
        </w:rPr>
        <w:footnoteReference w:id="10"/>
      </w:r>
      <w:r>
        <w:rPr>
          <w:noProof/>
        </w:rPr>
        <w:t>. Подробна пътна карта с основните етапи на проекта и ключовите моменти е описана подробно в приложение II.</w:t>
      </w:r>
    </w:p>
    <w:p>
      <w:pPr>
        <w:pStyle w:val="Default"/>
        <w:spacing w:after="120"/>
        <w:jc w:val="both"/>
        <w:rPr>
          <w:b/>
          <w:iCs/>
          <w:noProof/>
          <w:color w:val="auto"/>
        </w:rPr>
      </w:pPr>
      <w:r>
        <w:rPr>
          <w:b/>
          <w:iCs/>
          <w:noProof/>
        </w:rPr>
        <w:t>Етап 1 — Създаване на концепцията:</w:t>
      </w:r>
    </w:p>
    <w:p>
      <w:pPr>
        <w:pStyle w:val="Default"/>
        <w:spacing w:after="120"/>
        <w:jc w:val="both"/>
        <w:rPr>
          <w:noProof/>
          <w:color w:val="auto"/>
        </w:rPr>
      </w:pPr>
      <w:r>
        <w:rPr>
          <w:noProof/>
        </w:rPr>
        <w:t xml:space="preserve">Работата по разработването на информационни системи обхваща няколко етапа. Най-напред се изготвя икономически анализ, в който се представя обосновката на проекта и се определят бюджетните изисквания. В общия случай икономическият анализ включва описание на стопанската среда, описание на проблема, описание и обхват на проекта, възможни алтернативни решения, разходи и график. </w:t>
      </w:r>
    </w:p>
    <w:p>
      <w:pPr>
        <w:pStyle w:val="Default"/>
        <w:spacing w:after="120"/>
        <w:jc w:val="both"/>
        <w:rPr>
          <w:noProof/>
          <w:color w:val="auto"/>
        </w:rPr>
      </w:pPr>
      <w:r>
        <w:rPr>
          <w:noProof/>
        </w:rPr>
        <w:t>След това се изготвя стратегически документ, в който се предоставя по-подробна информация за проекта: структура, разходи, продължителност и рискове, както и информация за неговите ключови моменти, очаквани резултати и организация. Впоследствие, за да се даде възможност за общо разбиране и анализ, се използва моделиране на бизнес процесите (МБП) — практика, с помощта на която бизнес процесите от законодателството се представят графично в потоци или модели на процеси, за да се подпомогне разработването на функционалните спецификации на системата.</w:t>
      </w:r>
    </w:p>
    <w:p>
      <w:pPr>
        <w:pStyle w:val="Default"/>
        <w:spacing w:after="120"/>
        <w:jc w:val="both"/>
        <w:rPr>
          <w:b/>
          <w:noProof/>
          <w:color w:val="auto"/>
        </w:rPr>
      </w:pPr>
      <w:r>
        <w:rPr>
          <w:b/>
          <w:noProof/>
        </w:rPr>
        <w:t>Етап 2 — Разработване на системата:</w:t>
      </w:r>
    </w:p>
    <w:p>
      <w:pPr>
        <w:pStyle w:val="Default"/>
        <w:spacing w:after="120"/>
        <w:jc w:val="both"/>
        <w:rPr>
          <w:noProof/>
          <w:color w:val="auto"/>
        </w:rPr>
      </w:pPr>
      <w:r>
        <w:rPr>
          <w:noProof/>
        </w:rPr>
        <w:t>След това се разработват техническите спецификации, в които се определя по-подробно как ще бъде изградена системата, архитектурата, която ще се използва, съобщенията, които ще се подават от икономическите оператори, интерфейсите с други системи, плановете за изпитване и др.</w:t>
      </w:r>
    </w:p>
    <w:p>
      <w:pPr>
        <w:pStyle w:val="Default"/>
        <w:spacing w:after="120"/>
        <w:jc w:val="both"/>
        <w:rPr>
          <w:noProof/>
          <w:color w:val="auto"/>
        </w:rPr>
      </w:pPr>
      <w:r>
        <w:rPr>
          <w:noProof/>
        </w:rPr>
        <w:t>След като проектирането на системата бъде готово от концептуална гледна точка и след като бъдат постигнати резултатите, изброени в таблица 1 — ключови моменти 1 и 3 (вж. приложение I), започва по-задълбочената работа и се вземат предвид по-технически аспекти в спецификациите на приложението и услугите и в документите за техническите спецификации на системата, които представляват естественото развитие на резултатите, получени по време на етапите на бизнес анализа и започването на проекта, .</w:t>
      </w:r>
    </w:p>
    <w:p>
      <w:pPr>
        <w:pStyle w:val="Default"/>
        <w:spacing w:after="120"/>
        <w:jc w:val="both"/>
        <w:rPr>
          <w:b/>
          <w:noProof/>
          <w:color w:val="auto"/>
        </w:rPr>
      </w:pPr>
      <w:r>
        <w:rPr>
          <w:b/>
          <w:noProof/>
        </w:rPr>
        <w:t>Етап 3 —</w:t>
      </w:r>
      <w:r>
        <w:rPr>
          <w:noProof/>
        </w:rPr>
        <w:t xml:space="preserve"> </w:t>
      </w:r>
      <w:r>
        <w:rPr>
          <w:b/>
          <w:noProof/>
        </w:rPr>
        <w:t>Въвеждане и експлоатация:</w:t>
      </w:r>
    </w:p>
    <w:p>
      <w:pPr>
        <w:pStyle w:val="Default"/>
        <w:spacing w:after="120"/>
        <w:jc w:val="both"/>
        <w:rPr>
          <w:noProof/>
          <w:color w:val="auto"/>
        </w:rPr>
      </w:pPr>
      <w:r>
        <w:rPr>
          <w:noProof/>
        </w:rPr>
        <w:t>И накрая започва етапът на разработване на информационните технологии (етап на изграждане), последван от преходната фаза, в която ранните версии на системата се внедряват постепенно за различните групи ползватели и се извършват изпитвания. Паралелно с внедряването и изпитването се извършват дейности по обучение и комуникация относно функционирането на системата.</w:t>
      </w:r>
    </w:p>
    <w:p>
      <w:pPr>
        <w:pStyle w:val="Default"/>
        <w:spacing w:after="120"/>
        <w:jc w:val="both"/>
        <w:rPr>
          <w:noProof/>
          <w:color w:val="auto"/>
        </w:rPr>
      </w:pPr>
      <w:r>
        <w:rPr>
          <w:noProof/>
        </w:rPr>
        <w:t xml:space="preserve">В случая със системата за ICG не се предвижда интегрирането на услугата с националните системи за издаване на разрешения за движими културни ценности, които вече съществуват в някои държави членки, нито национално техническо изпълнение поради факта, че системата за ICG ще бъде управлявана централно от Комисията. Операторите и компетентните органи ще имат достъп до системата и ще я използват чрез графичен потребителски интерфейс (GUI), предоставен от Комисията. </w:t>
      </w:r>
    </w:p>
    <w:p>
      <w:pPr>
        <w:pStyle w:val="Default"/>
        <w:spacing w:after="120"/>
        <w:jc w:val="both"/>
        <w:rPr>
          <w:noProof/>
          <w:color w:val="auto"/>
        </w:rPr>
      </w:pPr>
      <w:r>
        <w:rPr>
          <w:noProof/>
        </w:rPr>
        <w:t>От гледна точка на политиката този избор се счита за най-подходящото решение предвид сложността на движимите културни ценности, предмет на търговия. Всъщност митническите системи сами по себе си не са добре подготвени да дадат пълно и подробно описание на всеки обект на културното наследство, който в повечето случаи е уникален сам по себе си.</w:t>
      </w:r>
    </w:p>
    <w:p>
      <w:pPr>
        <w:pStyle w:val="Default"/>
        <w:spacing w:after="240"/>
        <w:jc w:val="both"/>
        <w:rPr>
          <w:noProof/>
          <w:color w:val="auto"/>
        </w:rPr>
      </w:pPr>
      <w:r>
        <w:rPr>
          <w:noProof/>
        </w:rPr>
        <w:t>От друга страна, системата за ICG ще бъде свързана с митническите администрации на държавите членки чрез EU CSW-CELEX, за да се даде възможност за извършване на автоматизиран митнически контрол върху документите, издавани за вноса на движими културни ценности. За тази дейност ще се изисква изпитване на съответствието.</w:t>
      </w:r>
    </w:p>
    <w:p>
      <w:pPr>
        <w:pStyle w:val="Heading1"/>
        <w:keepLines w:val="0"/>
        <w:numPr>
          <w:ilvl w:val="0"/>
          <w:numId w:val="1"/>
        </w:numPr>
        <w:spacing w:after="120"/>
        <w:ind w:left="432" w:hanging="432"/>
        <w:rPr>
          <w:rFonts w:ascii="Times New Roman" w:eastAsia="Times New Roman" w:hAnsi="Times New Roman" w:cs="Times New Roman"/>
          <w:smallCaps/>
          <w:noProof/>
          <w:szCs w:val="24"/>
        </w:rPr>
      </w:pPr>
      <w:bookmarkStart w:id="5" w:name="_Toc46150287"/>
      <w:r>
        <w:rPr>
          <w:rFonts w:ascii="Times New Roman" w:hAnsi="Times New Roman"/>
          <w:smallCaps/>
          <w:noProof/>
        </w:rPr>
        <w:t>Преглед на НАПРЕДЪКА</w:t>
      </w:r>
      <w:bookmarkEnd w:id="5"/>
      <w:r>
        <w:rPr>
          <w:rFonts w:ascii="Times New Roman" w:hAnsi="Times New Roman"/>
          <w:smallCaps/>
          <w:noProof/>
        </w:rPr>
        <w:t xml:space="preserve"> </w:t>
      </w:r>
    </w:p>
    <w:p>
      <w:pPr>
        <w:widowControl w:val="0"/>
        <w:autoSpaceDE w:val="0"/>
        <w:autoSpaceDN w:val="0"/>
        <w:adjustRightInd w:val="0"/>
        <w:rPr>
          <w:b/>
          <w:iCs/>
          <w:noProof/>
          <w:sz w:val="24"/>
          <w:szCs w:val="24"/>
        </w:rPr>
      </w:pPr>
      <w:r>
        <w:rPr>
          <w:b/>
          <w:iCs/>
          <w:noProof/>
        </w:rPr>
        <w:t>Консултации и дискусии</w:t>
      </w:r>
    </w:p>
    <w:p>
      <w:pPr>
        <w:widowControl w:val="0"/>
        <w:autoSpaceDE w:val="0"/>
        <w:autoSpaceDN w:val="0"/>
        <w:adjustRightInd w:val="0"/>
        <w:rPr>
          <w:iCs/>
          <w:noProof/>
          <w:sz w:val="24"/>
          <w:szCs w:val="24"/>
        </w:rPr>
      </w:pPr>
      <w:r>
        <w:rPr>
          <w:noProof/>
          <w:sz w:val="24"/>
          <w:szCs w:val="24"/>
        </w:rPr>
        <w:t xml:space="preserve">През първия етап Комисията подготвя приемането на разпоредби за изпълнение за създаването на електронната система. За да осигури по-добра перспектива от практическа гледна точка, тя редовно се допитва до делегатите на държавите членки в експертната група по митническите въпроси за варианти на политиката по въпроси, свързани с движимите културни ценности. </w:t>
      </w:r>
    </w:p>
    <w:p>
      <w:pPr>
        <w:widowControl w:val="0"/>
        <w:autoSpaceDE w:val="0"/>
        <w:autoSpaceDN w:val="0"/>
        <w:adjustRightInd w:val="0"/>
        <w:rPr>
          <w:iCs/>
          <w:noProof/>
          <w:sz w:val="24"/>
          <w:szCs w:val="24"/>
        </w:rPr>
      </w:pPr>
      <w:r>
        <w:rPr>
          <w:noProof/>
          <w:sz w:val="24"/>
          <w:szCs w:val="24"/>
        </w:rPr>
        <w:t>Експертната група е форум за обсъждане на въпроси по изпълнението на законодателството на Съюза в областта на движимите културни ценности, свързани с митниците, и по-специално с Регламента относно износа на движими културни ценности</w:t>
      </w:r>
      <w:r>
        <w:rPr>
          <w:rStyle w:val="FootnoteReference"/>
          <w:iCs/>
          <w:noProof/>
          <w:sz w:val="24"/>
          <w:szCs w:val="24"/>
        </w:rPr>
        <w:footnoteReference w:id="11"/>
      </w:r>
      <w:r>
        <w:rPr>
          <w:noProof/>
          <w:sz w:val="24"/>
          <w:szCs w:val="24"/>
        </w:rPr>
        <w:t> — набор от правила, в който се предвиждат и системи за издаване на разрешения при износ и който е в сила от 1993 г.</w:t>
      </w:r>
      <w:r>
        <w:rPr>
          <w:rStyle w:val="FootnoteReference"/>
          <w:iCs/>
          <w:noProof/>
          <w:sz w:val="24"/>
          <w:szCs w:val="24"/>
        </w:rPr>
        <w:footnoteReference w:id="12"/>
      </w:r>
      <w:r>
        <w:rPr>
          <w:noProof/>
          <w:sz w:val="24"/>
          <w:szCs w:val="24"/>
        </w:rPr>
        <w:t xml:space="preserve">. </w:t>
      </w:r>
    </w:p>
    <w:p>
      <w:pPr>
        <w:widowControl w:val="0"/>
        <w:autoSpaceDE w:val="0"/>
        <w:autoSpaceDN w:val="0"/>
        <w:adjustRightInd w:val="0"/>
        <w:rPr>
          <w:iCs/>
          <w:noProof/>
          <w:sz w:val="24"/>
          <w:szCs w:val="24"/>
        </w:rPr>
      </w:pPr>
      <w:r>
        <w:rPr>
          <w:noProof/>
          <w:sz w:val="24"/>
          <w:szCs w:val="24"/>
        </w:rPr>
        <w:t>Комисията информира при всяка възможност сдруженията на пазара на изкуство относно напредъка на работата, изслушва техните опасения и ги взема под внимание, за да се увери, че практическото изпълнение на Регламента е добре адаптирано към реалностите на пазара.</w:t>
      </w:r>
    </w:p>
    <w:p>
      <w:pPr>
        <w:widowControl w:val="0"/>
        <w:autoSpaceDE w:val="0"/>
        <w:autoSpaceDN w:val="0"/>
        <w:adjustRightInd w:val="0"/>
        <w:rPr>
          <w:iCs/>
          <w:noProof/>
          <w:sz w:val="24"/>
          <w:szCs w:val="24"/>
        </w:rPr>
      </w:pPr>
      <w:r>
        <w:rPr>
          <w:noProof/>
          <w:sz w:val="24"/>
          <w:szCs w:val="24"/>
        </w:rPr>
        <w:t>В хода на изготвянето на акта за изпълнение Комисията ще проведе заключителните консултации с Комитета по Регламент 2019/880, тъй като това ще бъде органът, който в крайна сметка ще гласува акта за изпълнение.</w:t>
      </w:r>
    </w:p>
    <w:p>
      <w:pPr>
        <w:spacing w:after="160" w:line="259" w:lineRule="auto"/>
        <w:rPr>
          <w:iCs/>
          <w:noProof/>
          <w:sz w:val="24"/>
          <w:szCs w:val="24"/>
        </w:rPr>
      </w:pPr>
      <w:r>
        <w:rPr>
          <w:noProof/>
          <w:sz w:val="24"/>
          <w:szCs w:val="24"/>
        </w:rPr>
        <w:br w:type="page"/>
      </w:r>
      <w:r>
        <w:rPr>
          <w:noProof/>
        </w:rPr>
        <w:t>Успоредно с това Комисията създаде проектна група „Митници 2020“ по вноса на движими културни ценности („PGICG“), която служи като платформа за дискусии, в рамките на която експерти от националните митнически администрации и компетентните (културни) органи с опит при извършване на формалностите по издаване на разрешенията, свързани с културното наследство, и по-специално по цифров начин, се събират заедно, за да предоставят подкрепа при изготвяне на акта за изпълнение, определяне на параметрите и изработване на критериите за функционалните спецификации на системата.</w:t>
      </w:r>
    </w:p>
    <w:p>
      <w:pPr>
        <w:widowControl w:val="0"/>
        <w:autoSpaceDE w:val="0"/>
        <w:autoSpaceDN w:val="0"/>
        <w:adjustRightInd w:val="0"/>
        <w:rPr>
          <w:iCs/>
          <w:noProof/>
          <w:sz w:val="24"/>
          <w:szCs w:val="24"/>
        </w:rPr>
      </w:pPr>
      <w:r>
        <w:rPr>
          <w:noProof/>
        </w:rPr>
        <w:t>Проектната група се състои от 18 делегати от 11 държави членки (Австрия, Белгия, България, Естония, Латвия, Португалия, Румъния, Германия, Нидерландия, Италия и Франция) и до момента е заседавала шест пъти.</w:t>
      </w:r>
    </w:p>
    <w:p>
      <w:pPr>
        <w:widowControl w:val="0"/>
        <w:autoSpaceDE w:val="0"/>
        <w:autoSpaceDN w:val="0"/>
        <w:adjustRightInd w:val="0"/>
        <w:rPr>
          <w:iCs/>
          <w:noProof/>
          <w:sz w:val="24"/>
          <w:szCs w:val="24"/>
        </w:rPr>
      </w:pPr>
      <w:r>
        <w:rPr>
          <w:noProof/>
        </w:rPr>
        <w:t>По-конкретно проектната група предоставя подкрепа и експертен опит във връзка с:</w:t>
      </w:r>
    </w:p>
    <w:p>
      <w:pPr>
        <w:pStyle w:val="ListParagraph"/>
        <w:widowControl w:val="0"/>
        <w:numPr>
          <w:ilvl w:val="0"/>
          <w:numId w:val="5"/>
        </w:numPr>
        <w:autoSpaceDE w:val="0"/>
        <w:autoSpaceDN w:val="0"/>
        <w:adjustRightInd w:val="0"/>
        <w:spacing w:after="40"/>
        <w:contextualSpacing w:val="0"/>
        <w:rPr>
          <w:iCs/>
          <w:noProof/>
          <w:sz w:val="24"/>
          <w:szCs w:val="24"/>
        </w:rPr>
      </w:pPr>
      <w:r>
        <w:rPr>
          <w:noProof/>
        </w:rPr>
        <w:t>подготовката и постепенното усъвършенстване на акта за изпълнение по отношение на създаването на централизирана електронна система;</w:t>
      </w:r>
    </w:p>
    <w:p>
      <w:pPr>
        <w:pStyle w:val="ListParagraph"/>
        <w:widowControl w:val="0"/>
        <w:numPr>
          <w:ilvl w:val="0"/>
          <w:numId w:val="5"/>
        </w:numPr>
        <w:autoSpaceDE w:val="0"/>
        <w:autoSpaceDN w:val="0"/>
        <w:adjustRightInd w:val="0"/>
        <w:spacing w:after="40"/>
        <w:contextualSpacing w:val="0"/>
        <w:rPr>
          <w:iCs/>
          <w:noProof/>
          <w:sz w:val="24"/>
          <w:szCs w:val="24"/>
        </w:rPr>
      </w:pPr>
      <w:r>
        <w:rPr>
          <w:noProof/>
        </w:rPr>
        <w:t>разработването на системни функционални възможности за оперативно съвместима система за електронно издаване на разрешения на равнището на ЕС с цел да се гарантира еднакъв контрол върху вноса на движими културни ценности при въвеждането им на митническата територия на Съюза;</w:t>
      </w:r>
    </w:p>
    <w:p>
      <w:pPr>
        <w:pStyle w:val="ListParagraph"/>
        <w:widowControl w:val="0"/>
        <w:numPr>
          <w:ilvl w:val="0"/>
          <w:numId w:val="5"/>
        </w:numPr>
        <w:autoSpaceDE w:val="0"/>
        <w:autoSpaceDN w:val="0"/>
        <w:adjustRightInd w:val="0"/>
        <w:spacing w:after="40"/>
        <w:contextualSpacing w:val="0"/>
        <w:rPr>
          <w:iCs/>
          <w:noProof/>
          <w:sz w:val="24"/>
          <w:szCs w:val="24"/>
        </w:rPr>
      </w:pPr>
      <w:r>
        <w:rPr>
          <w:noProof/>
        </w:rPr>
        <w:t>техническите мерки за въвеждане и поддържане на централизираната електронна система и подробните правила за подаването, обработването, съхранението и обмена на информация между националните органи;</w:t>
      </w:r>
    </w:p>
    <w:p>
      <w:pPr>
        <w:pStyle w:val="ListParagraph"/>
        <w:widowControl w:val="0"/>
        <w:numPr>
          <w:ilvl w:val="0"/>
          <w:numId w:val="5"/>
        </w:numPr>
        <w:autoSpaceDE w:val="0"/>
        <w:autoSpaceDN w:val="0"/>
        <w:adjustRightInd w:val="0"/>
        <w:spacing w:after="40"/>
        <w:contextualSpacing w:val="0"/>
        <w:rPr>
          <w:iCs/>
          <w:noProof/>
          <w:sz w:val="24"/>
          <w:szCs w:val="24"/>
        </w:rPr>
      </w:pPr>
      <w:r>
        <w:rPr>
          <w:noProof/>
        </w:rPr>
        <w:t>ролите и отговорностите на участниците в процедурите за разрешаване на вноса на движими културни ценности;</w:t>
      </w:r>
    </w:p>
    <w:p>
      <w:pPr>
        <w:pStyle w:val="ListParagraph"/>
        <w:widowControl w:val="0"/>
        <w:numPr>
          <w:ilvl w:val="0"/>
          <w:numId w:val="5"/>
        </w:numPr>
        <w:autoSpaceDE w:val="0"/>
        <w:autoSpaceDN w:val="0"/>
        <w:adjustRightInd w:val="0"/>
        <w:spacing w:after="40"/>
        <w:contextualSpacing w:val="0"/>
        <w:rPr>
          <w:iCs/>
          <w:noProof/>
          <w:sz w:val="24"/>
          <w:szCs w:val="24"/>
        </w:rPr>
      </w:pPr>
      <w:r>
        <w:rPr>
          <w:noProof/>
        </w:rPr>
        <w:t>създаването на стандартен електронен формуляр за разрешения за внос и разработването на образеца на декларацията на вносителя;</w:t>
      </w:r>
    </w:p>
    <w:p>
      <w:pPr>
        <w:pStyle w:val="ListParagraph"/>
        <w:widowControl w:val="0"/>
        <w:numPr>
          <w:ilvl w:val="0"/>
          <w:numId w:val="5"/>
        </w:numPr>
        <w:autoSpaceDE w:val="0"/>
        <w:autoSpaceDN w:val="0"/>
        <w:adjustRightInd w:val="0"/>
        <w:spacing w:after="40"/>
        <w:contextualSpacing w:val="0"/>
        <w:rPr>
          <w:iCs/>
          <w:noProof/>
          <w:sz w:val="24"/>
          <w:szCs w:val="24"/>
        </w:rPr>
      </w:pPr>
      <w:r>
        <w:rPr>
          <w:noProof/>
        </w:rPr>
        <w:t>процедурните правила за подаване и обработване на заявлението за издаване на разрешение за внос и за регистриране на декларацията на вносителя;</w:t>
      </w:r>
    </w:p>
    <w:p>
      <w:pPr>
        <w:pStyle w:val="ListParagraph"/>
        <w:widowControl w:val="0"/>
        <w:numPr>
          <w:ilvl w:val="0"/>
          <w:numId w:val="5"/>
        </w:numPr>
        <w:autoSpaceDE w:val="0"/>
        <w:autoSpaceDN w:val="0"/>
        <w:adjustRightInd w:val="0"/>
        <w:spacing w:after="240"/>
        <w:rPr>
          <w:iCs/>
          <w:noProof/>
          <w:sz w:val="24"/>
          <w:szCs w:val="24"/>
        </w:rPr>
      </w:pPr>
      <w:r>
        <w:rPr>
          <w:noProof/>
        </w:rPr>
        <w:t>консултация относно икономическия анализ за бъдещото разработване на системата.</w:t>
      </w:r>
    </w:p>
    <w:p>
      <w:pPr>
        <w:widowControl w:val="0"/>
        <w:autoSpaceDE w:val="0"/>
        <w:autoSpaceDN w:val="0"/>
        <w:adjustRightInd w:val="0"/>
        <w:rPr>
          <w:b/>
          <w:iCs/>
          <w:noProof/>
          <w:sz w:val="24"/>
          <w:szCs w:val="24"/>
        </w:rPr>
      </w:pPr>
      <w:r>
        <w:rPr>
          <w:b/>
          <w:iCs/>
          <w:noProof/>
        </w:rPr>
        <w:t>Предизвикателства по отношение на проектирането</w:t>
      </w:r>
    </w:p>
    <w:p>
      <w:pPr>
        <w:widowControl w:val="0"/>
        <w:autoSpaceDE w:val="0"/>
        <w:autoSpaceDN w:val="0"/>
        <w:adjustRightInd w:val="0"/>
        <w:rPr>
          <w:iCs/>
          <w:noProof/>
          <w:sz w:val="24"/>
          <w:szCs w:val="24"/>
        </w:rPr>
      </w:pPr>
      <w:r>
        <w:rPr>
          <w:noProof/>
        </w:rPr>
        <w:t xml:space="preserve">При проектиране на архитектурата на електронната система възникнаха няколко предизвикателства. Едно от тях е най-добрият начин за описване от заявителите (на разрешения за внос) и деклараторите (при декларации на вносители) на дадена движима културна ценност, като се има предвид особеният и уникален характер на продукта, който го разграничава от обичайните стоки, които могат да бъдат изчерпателно описани чрез тарифни кодове по Общата номенклатура. Движимите културни ценности, които попадат в приложното поле на Регламента, не са масово произвеждани продукти и тяхното създаване и исторически произход датира от няколко века, ако не и от хилядолетия. </w:t>
      </w:r>
    </w:p>
    <w:p>
      <w:pPr>
        <w:widowControl w:val="0"/>
        <w:autoSpaceDE w:val="0"/>
        <w:autoSpaceDN w:val="0"/>
        <w:adjustRightInd w:val="0"/>
        <w:rPr>
          <w:iCs/>
          <w:noProof/>
          <w:sz w:val="24"/>
          <w:szCs w:val="24"/>
        </w:rPr>
      </w:pPr>
      <w:r>
        <w:rPr>
          <w:noProof/>
        </w:rPr>
        <w:t>Ето защо стандартният набор от данни, който ще трябва да бъде предоставен от операторите, ще трябва да бъде специално адаптиран, за да се позволи, от една страна, адекватното идентифициране на предметите с цел електронно издаване на разрешения и декларации и от друга страна, да се вземе предвид действителното състояние на пазара и трудността в някои случаи да се получи цялата необходима информация за произхода. В сътрудничество с проектната група Комисията полага усилия да определи тези основни данни.</w:t>
      </w:r>
    </w:p>
    <w:p>
      <w:pPr>
        <w:widowControl w:val="0"/>
        <w:autoSpaceDE w:val="0"/>
        <w:autoSpaceDN w:val="0"/>
        <w:adjustRightInd w:val="0"/>
        <w:rPr>
          <w:iCs/>
          <w:noProof/>
          <w:sz w:val="24"/>
          <w:szCs w:val="24"/>
        </w:rPr>
      </w:pPr>
      <w:r>
        <w:rPr>
          <w:noProof/>
        </w:rPr>
        <w:t>Друго установено предизвикателство е проектирането на етапите на жизнения цикъл на разрешенията за внос в тази цифрова рамка по такъв начин, че да бъдат предвидени всички възможни случаи и потребности на заявителите и на компетентните органи, като в същото време процедурите и свързаните с тях разпоредби за изпълнение да не станат твърде сложни и да продължат да бъдат лесни за прилагане, по-специално в случая на заявители, които внасят движими културни ценности само инцидентно и които не са специалисти на пазара на изкуство.</w:t>
      </w:r>
    </w:p>
    <w:p>
      <w:pPr>
        <w:widowControl w:val="0"/>
        <w:autoSpaceDE w:val="0"/>
        <w:autoSpaceDN w:val="0"/>
        <w:adjustRightInd w:val="0"/>
        <w:rPr>
          <w:iCs/>
          <w:noProof/>
          <w:sz w:val="24"/>
          <w:szCs w:val="24"/>
        </w:rPr>
      </w:pPr>
      <w:r>
        <w:rPr>
          <w:noProof/>
        </w:rPr>
        <w:t>Третият въпрос, който трябва да се разгледа, е съвместимостта със съществуващите национални административни процедури и практики, тъй като от 1993 г. насам всички държави членки прилагат законодателството на Съюза за разрешаване на износа на движими културни ценности на Съюза, което също предвижда схема на издаване на разрешения. Въпреки че тези разрешения за износ все още трябва да бъдат издавани на хартиен носител, значителен брой държави членки са разработили електронни средства за обработка на заявленията. В действителност опитът на някои държави членки със системата за издаване на разрешения за износ и в контрола на търговията с движими културни ценности като цяло беше особено полезен при анализа на изискванията за електронната система за внос.</w:t>
      </w:r>
    </w:p>
    <w:p>
      <w:pPr>
        <w:widowControl w:val="0"/>
        <w:autoSpaceDE w:val="0"/>
        <w:autoSpaceDN w:val="0"/>
        <w:adjustRightInd w:val="0"/>
        <w:rPr>
          <w:iCs/>
          <w:noProof/>
          <w:sz w:val="24"/>
          <w:szCs w:val="24"/>
        </w:rPr>
      </w:pPr>
      <w:r>
        <w:rPr>
          <w:noProof/>
        </w:rPr>
        <w:t>В процеса на проектиране на архитектурата на електронната система за внос на движими културни ценности се взема предвид, че в бъдеще, ако необходимите човешки и финансови ресурси станат достъпни, тази система следва да може да бъде разширена, за да позволи също така цифровизирането и електронното издаване на разрешения за износ.</w:t>
      </w:r>
    </w:p>
    <w:p>
      <w:pPr>
        <w:widowControl w:val="0"/>
        <w:autoSpaceDE w:val="0"/>
        <w:autoSpaceDN w:val="0"/>
        <w:adjustRightInd w:val="0"/>
        <w:rPr>
          <w:b/>
          <w:iCs/>
          <w:noProof/>
          <w:sz w:val="24"/>
          <w:szCs w:val="24"/>
        </w:rPr>
      </w:pPr>
      <w:r>
        <w:rPr>
          <w:b/>
          <w:iCs/>
          <w:noProof/>
        </w:rPr>
        <w:t>Оперативни съображения и функционални възможности</w:t>
      </w:r>
    </w:p>
    <w:p>
      <w:pPr>
        <w:widowControl w:val="0"/>
        <w:autoSpaceDE w:val="0"/>
        <w:autoSpaceDN w:val="0"/>
        <w:adjustRightInd w:val="0"/>
        <w:rPr>
          <w:iCs/>
          <w:noProof/>
          <w:sz w:val="24"/>
          <w:szCs w:val="24"/>
        </w:rPr>
      </w:pPr>
      <w:r>
        <w:rPr>
          <w:noProof/>
        </w:rPr>
        <w:t>Тъй като проектната група се състои от представители на митническите органи и на културните органи с опит в областта на движимите културни ценности, те активно допринасят с анализ и обсъждане на предложенията на Комисията и предоставят статистически данни/информация за начина, по който свързаните с движимите културни ценности процедури са разработени на национално равнище.</w:t>
      </w:r>
    </w:p>
    <w:p>
      <w:pPr>
        <w:widowControl w:val="0"/>
        <w:autoSpaceDE w:val="0"/>
        <w:autoSpaceDN w:val="0"/>
        <w:adjustRightInd w:val="0"/>
        <w:rPr>
          <w:iCs/>
          <w:noProof/>
          <w:sz w:val="24"/>
          <w:szCs w:val="24"/>
        </w:rPr>
      </w:pPr>
      <w:r>
        <w:rPr>
          <w:noProof/>
        </w:rPr>
        <w:t xml:space="preserve">По-специално проектната група предостави полезна информация за оценка на броя на разрешенията за внос, които системата за ICG може да се наложи да управлява всяка година, както и на средната прогнозна стойност на едно разрешение; през 2019 г. броят на прогнозните разрешения изглежда възлиза на 49 610 при средна обща стойност от 29,4 милиарда евро, ограничена до 11-те държави членки, участващи в проектната група. </w:t>
      </w:r>
    </w:p>
    <w:p>
      <w:pPr>
        <w:widowControl w:val="0"/>
        <w:autoSpaceDE w:val="0"/>
        <w:autoSpaceDN w:val="0"/>
        <w:adjustRightInd w:val="0"/>
        <w:rPr>
          <w:iCs/>
          <w:noProof/>
          <w:sz w:val="24"/>
          <w:szCs w:val="24"/>
        </w:rPr>
      </w:pPr>
      <w:r>
        <w:rPr>
          <w:noProof/>
        </w:rPr>
        <w:t>Освен това проектната група работи по документа „Често задавани въпроси“, за да подпомогне процеса на комуникация след това и да предвиди потенциалните пречки и пропуски при разработване на системата за ICG.</w:t>
      </w:r>
    </w:p>
    <w:p>
      <w:pPr>
        <w:widowControl w:val="0"/>
        <w:autoSpaceDE w:val="0"/>
        <w:autoSpaceDN w:val="0"/>
        <w:adjustRightInd w:val="0"/>
        <w:spacing w:after="240"/>
        <w:rPr>
          <w:iCs/>
          <w:noProof/>
          <w:sz w:val="24"/>
          <w:szCs w:val="24"/>
        </w:rPr>
      </w:pPr>
      <w:r>
        <w:rPr>
          <w:noProof/>
        </w:rPr>
        <w:t>На последно място, проектната група извършва постоянен преглед и предоставя обратна информация за набора от данни и създадените за системата МБП, както и за новаторски подходи за описание на движимите културни ценности чрез разпознаване на изображения и изкуствен интелект.</w:t>
      </w:r>
    </w:p>
    <w:p>
      <w:pPr>
        <w:pStyle w:val="Heading1"/>
        <w:keepLines w:val="0"/>
        <w:numPr>
          <w:ilvl w:val="0"/>
          <w:numId w:val="1"/>
        </w:numPr>
        <w:spacing w:after="120"/>
        <w:ind w:left="432" w:hanging="432"/>
        <w:rPr>
          <w:rFonts w:ascii="Times New Roman" w:eastAsia="Times New Roman" w:hAnsi="Times New Roman" w:cs="Times New Roman"/>
          <w:smallCaps/>
          <w:noProof/>
          <w:szCs w:val="24"/>
        </w:rPr>
      </w:pPr>
      <w:bookmarkStart w:id="6" w:name="_Toc46150288"/>
      <w:r>
        <w:rPr>
          <w:rFonts w:ascii="Times New Roman" w:hAnsi="Times New Roman"/>
          <w:smallCaps/>
          <w:noProof/>
        </w:rPr>
        <w:t>РИСКОВЕ ОТ ЗАКЪСНЕНИЯ</w:t>
      </w:r>
      <w:bookmarkEnd w:id="6"/>
    </w:p>
    <w:p>
      <w:pPr>
        <w:rPr>
          <w:b/>
          <w:noProof/>
          <w:sz w:val="24"/>
          <w:szCs w:val="24"/>
          <w:u w:val="single"/>
        </w:rPr>
      </w:pPr>
      <w:r>
        <w:rPr>
          <w:b/>
          <w:noProof/>
          <w:u w:val="single"/>
        </w:rPr>
        <w:t>Кратко описание на проекта</w:t>
      </w:r>
    </w:p>
    <w:p>
      <w:pPr>
        <w:rPr>
          <w:noProof/>
          <w:sz w:val="24"/>
          <w:szCs w:val="24"/>
        </w:rPr>
      </w:pPr>
      <w:r>
        <w:rPr>
          <w:noProof/>
        </w:rPr>
        <w:t xml:space="preserve">Комисията има за задача да разработи централизирана електронна система за издаване на разрешения и да осигури нейния интерфейс с националните митнически органи в срок от 6 години след влизането в сила на Регламента. Двама администратори (AD) в ГД „Данъчно облагане и митнически съюз“ трябва да изпълнят тази инициатива, както е посочено в съответната законодателна финансова обосновка. </w:t>
      </w:r>
    </w:p>
    <w:p>
      <w:pPr>
        <w:rPr>
          <w:b/>
          <w:noProof/>
          <w:sz w:val="24"/>
          <w:szCs w:val="24"/>
          <w:u w:val="single"/>
        </w:rPr>
      </w:pPr>
      <w:r>
        <w:rPr>
          <w:b/>
          <w:noProof/>
          <w:u w:val="single"/>
        </w:rPr>
        <w:t>Наименование и описание на риска</w:t>
      </w:r>
    </w:p>
    <w:p>
      <w:pPr>
        <w:rPr>
          <w:noProof/>
          <w:sz w:val="24"/>
          <w:szCs w:val="24"/>
        </w:rPr>
      </w:pPr>
      <w:r>
        <w:rPr>
          <w:noProof/>
        </w:rPr>
        <w:t>Изпълнението на системата за ICG зависи както от одобрението от държавите членки и от Европейския парламент на съответното финансиране за митническата програма, която ще наследи „Митници 2020“ през следващата многогодишна финансова рамка (МФР), така и от разпределението на ресурсите в ГД „Данъчно облагане и митнически съюз“, като се вземат предвид различните приоритети на тази генерална дирекция.</w:t>
      </w:r>
    </w:p>
    <w:p>
      <w:pPr>
        <w:rPr>
          <w:b/>
          <w:noProof/>
          <w:sz w:val="24"/>
          <w:szCs w:val="24"/>
        </w:rPr>
      </w:pPr>
      <w:r>
        <w:rPr>
          <w:b/>
          <w:noProof/>
        </w:rPr>
        <w:t>Риск 1 — Осигуряване на персонал</w:t>
      </w:r>
    </w:p>
    <w:p>
      <w:pPr>
        <w:rPr>
          <w:noProof/>
          <w:sz w:val="24"/>
          <w:szCs w:val="24"/>
        </w:rPr>
      </w:pPr>
      <w:r>
        <w:rPr>
          <w:noProof/>
        </w:rPr>
        <w:t>Първоначалното предложение на Комисията не предвиждаше създаването на информационна система. Поради това не бяха отделени съответни ресурси. В хода на преговорите и по искане на съзаконодателите обаче създаването на системата за ICG беше включено в Регламента и това наложи осигуряването на непредвидени към онзи момент допълнителни ресурси. Нуждите за този шестгодишен проект под формата на персонал за разработване на информационни технологии в ГД „Данъчно облагане и митнически съюз“ бяха оценени към момента на окончателните политически тристранни срещи през декември 2018 г. на две щатни длъжности за администратор на пълно работно време. Въпреки това, въз основа на финансовите наличности от настоящата многогодишна финансова рамка (МФР) само един договорно нает служител може да бъде назначен от края на септември 2019 г.</w:t>
      </w:r>
    </w:p>
    <w:p>
      <w:pPr>
        <w:rPr>
          <w:noProof/>
          <w:sz w:val="24"/>
          <w:szCs w:val="24"/>
        </w:rPr>
      </w:pPr>
      <w:r>
        <w:rPr>
          <w:noProof/>
        </w:rPr>
        <w:t>Освен това обективната сложност на проекта, необходимите специфични познания в областта на политиката и техническите средства, използвани за разработване на системата за ICG, превърнаха подготовката и обучението на ресурса, който да може да работи по досието, в доста дълъг процес. Напредъкът по отношение на функционалните спецификации и на проектирането на системата обаче е забавен само малко.</w:t>
      </w:r>
    </w:p>
    <w:p>
      <w:pPr>
        <w:rPr>
          <w:b/>
          <w:noProof/>
          <w:sz w:val="24"/>
          <w:szCs w:val="24"/>
        </w:rPr>
      </w:pPr>
      <w:r>
        <w:rPr>
          <w:b/>
          <w:noProof/>
        </w:rPr>
        <w:t>Риск 2 — Наличност на бюджет</w:t>
      </w:r>
    </w:p>
    <w:p>
      <w:pPr>
        <w:rPr>
          <w:noProof/>
          <w:sz w:val="24"/>
          <w:szCs w:val="24"/>
        </w:rPr>
      </w:pPr>
      <w:r>
        <w:rPr>
          <w:noProof/>
        </w:rPr>
        <w:t>Несигурността по отношение на бюджета, дължаща се на преговорите по новата МФР, превръща напредъка в голямо предизвикателство. В зависимост от резултата от преговорите по МФР, в най-лошия случай съществува риск да се спре или да се забави значително етапът на разработване и внедряване и да е невъзможно да се спазят правните срокове за създаване на системата за ICG.</w:t>
      </w:r>
    </w:p>
    <w:p>
      <w:pPr>
        <w:rPr>
          <w:noProof/>
          <w:sz w:val="24"/>
          <w:szCs w:val="24"/>
        </w:rPr>
      </w:pPr>
      <w:r>
        <w:rPr>
          <w:noProof/>
        </w:rPr>
        <w:t>В допълнение към посочените по-горе рискове свързаната с COVID-19 криза в областта на общественото здраве засяга до известна степен способността на екипа да постига резултати и по-специално дейностите по проекта и срещите с експертната група и проектната група с държавите членки. По-специално едно заседание на експертната група беше отменено и това оказа пряко въздействие върху напредъка на работата на проектната група, а следващото ѝ заседание може да се проведе само дистанционно и едва за една трета от първоначално планираното време. Освен това кризата в областта на общественото здраве наложи реорганизация на приоритетите в рамките на държавите членки, като по този начин се ограничи техният капацитет за предоставяне на информация и обратна връзка по досието. Това въздействие ще зависи от продължителността на кризата в областта на общественото здраве.</w:t>
      </w:r>
    </w:p>
    <w:p>
      <w:pPr>
        <w:rPr>
          <w:b/>
          <w:noProof/>
          <w:sz w:val="24"/>
          <w:szCs w:val="24"/>
        </w:rPr>
      </w:pPr>
      <w:r>
        <w:rPr>
          <w:b/>
          <w:noProof/>
        </w:rPr>
        <w:t>Действия за смекчаване на последиците</w:t>
      </w:r>
    </w:p>
    <w:p>
      <w:pPr>
        <w:spacing w:after="240"/>
        <w:rPr>
          <w:noProof/>
          <w:sz w:val="24"/>
          <w:szCs w:val="24"/>
        </w:rPr>
      </w:pPr>
      <w:r>
        <w:rPr>
          <w:noProof/>
        </w:rPr>
        <w:t xml:space="preserve">Рисковете са документирани в рамките на ГД „Данъчно облагане и митнически съюз“. Временно (за 2 години) е отпусната длъжност за администратор (AD). </w:t>
      </w:r>
    </w:p>
    <w:p>
      <w:pPr>
        <w:pStyle w:val="Heading1"/>
        <w:keepLines w:val="0"/>
        <w:numPr>
          <w:ilvl w:val="0"/>
          <w:numId w:val="1"/>
        </w:numPr>
        <w:spacing w:after="120"/>
        <w:ind w:left="432" w:hanging="432"/>
        <w:rPr>
          <w:rFonts w:ascii="Times New Roman" w:eastAsia="Times New Roman" w:hAnsi="Times New Roman" w:cs="Times New Roman"/>
          <w:smallCaps/>
          <w:noProof/>
          <w:szCs w:val="24"/>
        </w:rPr>
      </w:pPr>
      <w:bookmarkStart w:id="7" w:name="_Toc46150289"/>
      <w:r>
        <w:rPr>
          <w:rFonts w:ascii="Times New Roman" w:hAnsi="Times New Roman"/>
          <w:smallCaps/>
          <w:noProof/>
        </w:rPr>
        <w:t>ЗАКЛЮЧЕНИЯ</w:t>
      </w:r>
      <w:bookmarkEnd w:id="7"/>
    </w:p>
    <w:p>
      <w:pPr>
        <w:rPr>
          <w:noProof/>
          <w:sz w:val="24"/>
          <w:szCs w:val="24"/>
        </w:rPr>
      </w:pPr>
      <w:r>
        <w:rPr>
          <w:noProof/>
        </w:rPr>
        <w:t xml:space="preserve">В настоящия първи доклад на Комисията за напредъка по отношение на разработването на централизирана електронна система за вноса на движими културни ценности (ICG) се отчитат предприетите досега действия, а именно: </w:t>
      </w:r>
    </w:p>
    <w:p>
      <w:pPr>
        <w:pStyle w:val="ListParagraph"/>
        <w:numPr>
          <w:ilvl w:val="0"/>
          <w:numId w:val="6"/>
        </w:numPr>
        <w:rPr>
          <w:noProof/>
          <w:sz w:val="24"/>
          <w:szCs w:val="24"/>
        </w:rPr>
      </w:pPr>
      <w:r>
        <w:rPr>
          <w:noProof/>
        </w:rPr>
        <w:t xml:space="preserve">текущата подготовка за приемане на необходимите разпоредби за изпълнение, </w:t>
      </w:r>
    </w:p>
    <w:p>
      <w:pPr>
        <w:pStyle w:val="ListParagraph"/>
        <w:numPr>
          <w:ilvl w:val="0"/>
          <w:numId w:val="6"/>
        </w:numPr>
        <w:rPr>
          <w:noProof/>
          <w:sz w:val="24"/>
          <w:szCs w:val="24"/>
        </w:rPr>
      </w:pPr>
      <w:r>
        <w:rPr>
          <w:noProof/>
        </w:rPr>
        <w:t>консултацията с държавите членки чрез експертната група по митническите въпроси във връзка с движимите културни ценности и специално създадената за тази цел проектна група за вноса на движими културни ценности.</w:t>
      </w:r>
    </w:p>
    <w:p>
      <w:pPr>
        <w:rPr>
          <w:noProof/>
          <w:sz w:val="24"/>
          <w:szCs w:val="24"/>
        </w:rPr>
      </w:pPr>
      <w:r>
        <w:rPr>
          <w:noProof/>
        </w:rPr>
        <w:t>До момента Комисията определи като потенциални рискове за забавяне на реализирането на системата за ICG в рамките на определения краен срок 28 юни 2025 г. несигурността по отношение на персонала, отпуснат за проекта, тъй като това зависи от текущата наличност на бюджет, общите приоритети за развитие на ИТ в областта митниците</w:t>
      </w:r>
      <w:r>
        <w:rPr>
          <w:rStyle w:val="FootnoteReference"/>
          <w:noProof/>
        </w:rPr>
        <w:footnoteReference w:id="13"/>
      </w:r>
      <w:r>
        <w:rPr>
          <w:noProof/>
        </w:rPr>
        <w:t xml:space="preserve"> и отпуснатите средства в следващата МФР. </w:t>
      </w:r>
    </w:p>
    <w:p>
      <w:pPr>
        <w:spacing w:after="160" w:line="259" w:lineRule="auto"/>
        <w:jc w:val="left"/>
        <w:rPr>
          <w:rFonts w:ascii="Times New Roman Bold" w:eastAsiaTheme="majorEastAsia" w:hAnsi="Times New Roman Bold" w:cstheme="majorBidi"/>
          <w:b/>
          <w:caps/>
          <w:noProof/>
          <w:sz w:val="24"/>
          <w:szCs w:val="32"/>
        </w:rPr>
      </w:pPr>
      <w:r>
        <w:rPr>
          <w:noProof/>
        </w:rPr>
        <w:br w:type="page"/>
      </w:r>
    </w:p>
    <w:p>
      <w:pPr>
        <w:pStyle w:val="Heading1"/>
        <w:spacing w:after="240"/>
        <w:jc w:val="center"/>
        <w:rPr>
          <w:noProof/>
        </w:rPr>
      </w:pPr>
      <w:bookmarkStart w:id="8" w:name="_Toc46150290"/>
      <w:r>
        <w:rPr>
          <w:noProof/>
        </w:rPr>
        <w:t>Приложение I: многогодишно стратегическо планиране</w:t>
      </w:r>
      <w:bookmarkEnd w:id="8"/>
    </w:p>
    <w:p>
      <w:pPr>
        <w:pStyle w:val="Default"/>
        <w:spacing w:after="120"/>
        <w:jc w:val="both"/>
        <w:rPr>
          <w:noProof/>
          <w:color w:val="auto"/>
        </w:rPr>
      </w:pPr>
      <w:r>
        <w:rPr>
          <w:noProof/>
        </w:rPr>
        <w:t>МГСП-М гарантира ефективното и съгласувано управление на проектите в областта на информационните технологии чрез определяне както на стратегическа рамка, така и на ключови моменти. В крайна сметка той се одобрява от държавите членки в Групата за митническа политика (ГМП) въз основа на експертни становища, предоставени от Координационната група за електронните митници (КГЕЛ), и на консултациите с бранша в Контактната група по търговията (КГТ).</w:t>
      </w:r>
    </w:p>
    <w:p>
      <w:pPr>
        <w:pStyle w:val="Default"/>
        <w:spacing w:after="120"/>
        <w:jc w:val="both"/>
        <w:rPr>
          <w:noProof/>
          <w:color w:val="auto"/>
        </w:rPr>
      </w:pPr>
      <w:r>
        <w:rPr>
          <w:noProof/>
        </w:rPr>
        <w:t>Планирането на електронната система е обсъдено и одобрено от държавите членки и е описано подробно във фиш 1.18 на МГСП-М, ред. 2019 г.</w:t>
      </w:r>
    </w:p>
    <w:p>
      <w:pPr>
        <w:pStyle w:val="Default"/>
        <w:spacing w:after="240"/>
        <w:jc w:val="both"/>
        <w:rPr>
          <w:noProof/>
          <w:color w:val="auto"/>
        </w:rPr>
      </w:pPr>
      <w:r>
        <w:rPr>
          <w:noProof/>
        </w:rPr>
        <w:t>В таблица 1 по-долу е представена извадка от планирането на проекта за внос на движими културни ценности от МГСП-М, ред. 2019 г., фиш 1.18.</w:t>
      </w:r>
    </w:p>
    <w:tbl>
      <w:tblPr>
        <w:tblStyle w:val="TableGrid"/>
        <w:tblW w:w="0" w:type="auto"/>
        <w:tblInd w:w="108" w:type="dxa"/>
        <w:tblLook w:val="04A0" w:firstRow="1" w:lastRow="0" w:firstColumn="1" w:lastColumn="0" w:noHBand="0" w:noVBand="1"/>
      </w:tblPr>
      <w:tblGrid>
        <w:gridCol w:w="426"/>
        <w:gridCol w:w="5244"/>
        <w:gridCol w:w="3261"/>
      </w:tblGrid>
      <w:tr>
        <w:tc>
          <w:tcPr>
            <w:tcW w:w="8931" w:type="dxa"/>
            <w:gridSpan w:val="3"/>
            <w:tcBorders>
              <w:bottom w:val="single" w:sz="4" w:space="0" w:color="auto"/>
              <w:right w:val="single" w:sz="4" w:space="0" w:color="auto"/>
            </w:tcBorders>
          </w:tcPr>
          <w:p>
            <w:pPr>
              <w:pStyle w:val="Default"/>
              <w:spacing w:before="120" w:after="120"/>
              <w:rPr>
                <w:b/>
                <w:i/>
                <w:noProof/>
                <w:color w:val="auto"/>
              </w:rPr>
            </w:pPr>
            <w:r>
              <w:rPr>
                <w:b/>
                <w:i/>
                <w:noProof/>
                <w:sz w:val="20"/>
              </w:rPr>
              <w:t>Таблица 1 — МГСП-М, ред. 2019 г., фиш 1.18</w:t>
            </w:r>
          </w:p>
        </w:tc>
      </w:tr>
      <w:tr>
        <w:tc>
          <w:tcPr>
            <w:tcW w:w="426" w:type="dxa"/>
            <w:tcBorders>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i/>
                <w:noProof/>
                <w:color w:val="auto"/>
                <w:sz w:val="20"/>
                <w:szCs w:val="20"/>
              </w:rPr>
            </w:pPr>
            <w:r>
              <w:rPr>
                <w:i/>
                <w:noProof/>
                <w:sz w:val="20"/>
                <w:szCs w:val="20"/>
              </w:rPr>
              <w:t>Ключови моменти</w:t>
            </w:r>
          </w:p>
        </w:tc>
        <w:tc>
          <w:tcPr>
            <w:tcW w:w="3261" w:type="dxa"/>
            <w:tcBorders>
              <w:right w:val="single" w:sz="4" w:space="0" w:color="auto"/>
            </w:tcBorders>
          </w:tcPr>
          <w:p>
            <w:pPr>
              <w:pStyle w:val="Default"/>
              <w:spacing w:before="40" w:after="40"/>
              <w:jc w:val="center"/>
              <w:rPr>
                <w:i/>
                <w:noProof/>
                <w:color w:val="auto"/>
                <w:sz w:val="20"/>
                <w:szCs w:val="20"/>
              </w:rPr>
            </w:pPr>
            <w:r>
              <w:rPr>
                <w:i/>
                <w:noProof/>
                <w:sz w:val="20"/>
                <w:szCs w:val="20"/>
              </w:rPr>
              <w:t>Планирана дата на приключване</w:t>
            </w:r>
          </w:p>
        </w:tc>
      </w:tr>
      <w:tr>
        <w:tc>
          <w:tcPr>
            <w:tcW w:w="426" w:type="dxa"/>
            <w:tcBorders>
              <w:bottom w:val="nil"/>
            </w:tcBorders>
          </w:tcPr>
          <w:p>
            <w:pPr>
              <w:pStyle w:val="Default"/>
              <w:spacing w:before="40" w:after="40"/>
              <w:jc w:val="both"/>
              <w:rPr>
                <w:noProof/>
                <w:color w:val="auto"/>
                <w:sz w:val="20"/>
                <w:szCs w:val="20"/>
              </w:rPr>
            </w:pPr>
            <w:r>
              <w:rPr>
                <w:noProof/>
                <w:sz w:val="20"/>
                <w:szCs w:val="20"/>
              </w:rPr>
              <w:t>1</w:t>
            </w:r>
          </w:p>
        </w:tc>
        <w:tc>
          <w:tcPr>
            <w:tcW w:w="5244" w:type="dxa"/>
          </w:tcPr>
          <w:p>
            <w:pPr>
              <w:pStyle w:val="Default"/>
              <w:spacing w:before="40" w:after="40"/>
              <w:rPr>
                <w:b/>
                <w:noProof/>
                <w:color w:val="auto"/>
                <w:sz w:val="20"/>
                <w:szCs w:val="20"/>
              </w:rPr>
            </w:pPr>
            <w:r>
              <w:rPr>
                <w:b/>
                <w:noProof/>
                <w:sz w:val="20"/>
                <w:szCs w:val="20"/>
              </w:rPr>
              <w:t>Бизнес анализ и бизнес моделиране</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b/>
                <w:noProof/>
                <w:sz w:val="20"/>
                <w:szCs w:val="20"/>
              </w:rPr>
              <w:t>- </w:t>
            </w:r>
            <w:r>
              <w:rPr>
                <w:noProof/>
                <w:sz w:val="20"/>
                <w:szCs w:val="20"/>
              </w:rPr>
              <w:t>Документ относно икономическия анализ</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4-то тримесечие на 2020 г.</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Ниво 3 (Изисквания на ползвателите на МБП)</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1-во тримесечие на 2022 г.</w:t>
            </w:r>
          </w:p>
        </w:tc>
      </w:tr>
      <w:tr>
        <w:tc>
          <w:tcPr>
            <w:tcW w:w="426" w:type="dxa"/>
            <w:tcBorders>
              <w:top w:val="nil"/>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Ниво 4 (Функционални изисквания, описани в МБП)</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1-во тримесечие на 2022 г.</w:t>
            </w:r>
          </w:p>
        </w:tc>
      </w:tr>
      <w:tr>
        <w:tc>
          <w:tcPr>
            <w:tcW w:w="426" w:type="dxa"/>
            <w:tcBorders>
              <w:bottom w:val="nil"/>
            </w:tcBorders>
          </w:tcPr>
          <w:p>
            <w:pPr>
              <w:pStyle w:val="Default"/>
              <w:spacing w:before="40" w:after="40"/>
              <w:jc w:val="both"/>
              <w:rPr>
                <w:noProof/>
                <w:color w:val="auto"/>
                <w:sz w:val="20"/>
                <w:szCs w:val="20"/>
              </w:rPr>
            </w:pPr>
            <w:r>
              <w:rPr>
                <w:noProof/>
                <w:sz w:val="20"/>
                <w:szCs w:val="20"/>
              </w:rPr>
              <w:t>2</w:t>
            </w:r>
          </w:p>
        </w:tc>
        <w:tc>
          <w:tcPr>
            <w:tcW w:w="5244" w:type="dxa"/>
          </w:tcPr>
          <w:p>
            <w:pPr>
              <w:pStyle w:val="Default"/>
              <w:spacing w:before="40" w:after="40"/>
              <w:rPr>
                <w:b/>
                <w:noProof/>
                <w:color w:val="auto"/>
                <w:sz w:val="20"/>
                <w:szCs w:val="20"/>
              </w:rPr>
            </w:pPr>
            <w:r>
              <w:rPr>
                <w:b/>
                <w:noProof/>
                <w:sz w:val="20"/>
                <w:szCs w:val="20"/>
              </w:rPr>
              <w:t>Правни разпоредби</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Настоящи приети разпоредби*</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2019 г.</w:t>
            </w:r>
          </w:p>
        </w:tc>
      </w:tr>
      <w:tr>
        <w:tc>
          <w:tcPr>
            <w:tcW w:w="426" w:type="dxa"/>
            <w:tcBorders>
              <w:top w:val="nil"/>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Бъдещи приети разпоредби**</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2021 г.</w:t>
            </w:r>
          </w:p>
        </w:tc>
      </w:tr>
      <w:tr>
        <w:tc>
          <w:tcPr>
            <w:tcW w:w="426" w:type="dxa"/>
            <w:tcBorders>
              <w:bottom w:val="nil"/>
            </w:tcBorders>
          </w:tcPr>
          <w:p>
            <w:pPr>
              <w:pStyle w:val="Default"/>
              <w:spacing w:before="40" w:after="40"/>
              <w:jc w:val="both"/>
              <w:rPr>
                <w:noProof/>
                <w:color w:val="auto"/>
                <w:sz w:val="20"/>
                <w:szCs w:val="20"/>
              </w:rPr>
            </w:pPr>
            <w:r>
              <w:rPr>
                <w:noProof/>
                <w:sz w:val="20"/>
                <w:szCs w:val="20"/>
              </w:rPr>
              <w:t>3</w:t>
            </w:r>
          </w:p>
        </w:tc>
        <w:tc>
          <w:tcPr>
            <w:tcW w:w="5244" w:type="dxa"/>
          </w:tcPr>
          <w:p>
            <w:pPr>
              <w:pStyle w:val="Default"/>
              <w:spacing w:before="40" w:after="40"/>
              <w:rPr>
                <w:b/>
                <w:noProof/>
                <w:color w:val="auto"/>
                <w:sz w:val="20"/>
                <w:szCs w:val="20"/>
              </w:rPr>
            </w:pPr>
            <w:r>
              <w:rPr>
                <w:b/>
                <w:noProof/>
                <w:sz w:val="20"/>
                <w:szCs w:val="20"/>
              </w:rPr>
              <w:t>Етап на започване на проекта</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Стратегически документ</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2021 г.</w:t>
            </w:r>
          </w:p>
        </w:tc>
      </w:tr>
      <w:tr>
        <w:tc>
          <w:tcPr>
            <w:tcW w:w="426" w:type="dxa"/>
            <w:tcBorders>
              <w:top w:val="nil"/>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Решение „ЗА“</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2021 г.</w:t>
            </w:r>
          </w:p>
        </w:tc>
      </w:tr>
      <w:tr>
        <w:tc>
          <w:tcPr>
            <w:tcW w:w="426" w:type="dxa"/>
            <w:tcBorders>
              <w:bottom w:val="nil"/>
            </w:tcBorders>
          </w:tcPr>
          <w:p>
            <w:pPr>
              <w:pStyle w:val="Default"/>
              <w:spacing w:before="40" w:after="40"/>
              <w:jc w:val="both"/>
              <w:rPr>
                <w:noProof/>
                <w:color w:val="auto"/>
                <w:sz w:val="20"/>
                <w:szCs w:val="20"/>
              </w:rPr>
            </w:pPr>
            <w:r>
              <w:rPr>
                <w:noProof/>
                <w:sz w:val="20"/>
                <w:szCs w:val="20"/>
              </w:rPr>
              <w:t>4</w:t>
            </w:r>
          </w:p>
        </w:tc>
        <w:tc>
          <w:tcPr>
            <w:tcW w:w="5244" w:type="dxa"/>
          </w:tcPr>
          <w:p>
            <w:pPr>
              <w:pStyle w:val="Default"/>
              <w:spacing w:before="40" w:after="40"/>
              <w:rPr>
                <w:b/>
                <w:noProof/>
                <w:color w:val="auto"/>
                <w:sz w:val="20"/>
                <w:szCs w:val="20"/>
              </w:rPr>
            </w:pPr>
            <w:r>
              <w:rPr>
                <w:b/>
                <w:noProof/>
                <w:sz w:val="20"/>
                <w:szCs w:val="20"/>
              </w:rPr>
              <w:t>ИТ проект</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Спецификации на приложението и услугите</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2023 г.</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Технически спецификации на системата</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2023 г.</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b/>
                <w:noProof/>
                <w:color w:val="auto"/>
                <w:sz w:val="20"/>
                <w:szCs w:val="20"/>
              </w:rPr>
            </w:pPr>
            <w:r>
              <w:rPr>
                <w:b/>
                <w:noProof/>
                <w:sz w:val="20"/>
                <w:szCs w:val="20"/>
              </w:rPr>
              <w:t>Етап на изграждане</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Внедряване на централните услуги</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3-то тримесечие на 2024 г.</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Интегриране на услугите в националните системи</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Не е приложимо</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Изпълнение на национално равнище</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Не е приложимо</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b/>
                <w:noProof/>
                <w:color w:val="auto"/>
                <w:sz w:val="20"/>
                <w:szCs w:val="20"/>
              </w:rPr>
            </w:pPr>
            <w:r>
              <w:rPr>
                <w:b/>
                <w:noProof/>
                <w:sz w:val="20"/>
                <w:szCs w:val="20"/>
              </w:rPr>
              <w:t>Преходна фаза</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Въвеждане и внедряване</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4-то тримесечие на 2024 г.</w:t>
            </w:r>
          </w:p>
        </w:tc>
      </w:tr>
      <w:tr>
        <w:tc>
          <w:tcPr>
            <w:tcW w:w="426" w:type="dxa"/>
            <w:tcBorders>
              <w:top w:val="nil"/>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Изпитване на съответствието</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2025 г.</w:t>
            </w:r>
          </w:p>
        </w:tc>
      </w:tr>
      <w:tr>
        <w:tc>
          <w:tcPr>
            <w:tcW w:w="426" w:type="dxa"/>
            <w:tcBorders>
              <w:bottom w:val="nil"/>
            </w:tcBorders>
          </w:tcPr>
          <w:p>
            <w:pPr>
              <w:pStyle w:val="Default"/>
              <w:spacing w:before="40" w:after="40"/>
              <w:jc w:val="both"/>
              <w:rPr>
                <w:noProof/>
                <w:color w:val="auto"/>
                <w:sz w:val="20"/>
                <w:szCs w:val="20"/>
              </w:rPr>
            </w:pPr>
            <w:r>
              <w:rPr>
                <w:noProof/>
                <w:sz w:val="20"/>
                <w:szCs w:val="20"/>
              </w:rPr>
              <w:t>5</w:t>
            </w:r>
          </w:p>
        </w:tc>
        <w:tc>
          <w:tcPr>
            <w:tcW w:w="5244" w:type="dxa"/>
          </w:tcPr>
          <w:p>
            <w:pPr>
              <w:pStyle w:val="Default"/>
              <w:spacing w:before="40" w:after="40"/>
              <w:rPr>
                <w:b/>
                <w:noProof/>
                <w:color w:val="auto"/>
                <w:sz w:val="20"/>
                <w:szCs w:val="20"/>
              </w:rPr>
            </w:pPr>
            <w:r>
              <w:rPr>
                <w:b/>
                <w:noProof/>
                <w:sz w:val="20"/>
                <w:szCs w:val="20"/>
              </w:rPr>
              <w:t>Експлоатация</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Комисия, администрации на държавите членки и търговци</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2025 г.</w:t>
            </w:r>
          </w:p>
        </w:tc>
      </w:tr>
      <w:tr>
        <w:tc>
          <w:tcPr>
            <w:tcW w:w="426" w:type="dxa"/>
            <w:tcBorders>
              <w:top w:val="nil"/>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Държави извън ЕС и търговци извън ЕС (в случай на необходимост)</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Не е приложимо</w:t>
            </w:r>
          </w:p>
        </w:tc>
      </w:tr>
      <w:tr>
        <w:tc>
          <w:tcPr>
            <w:tcW w:w="426" w:type="dxa"/>
            <w:tcBorders>
              <w:bottom w:val="nil"/>
            </w:tcBorders>
          </w:tcPr>
          <w:p>
            <w:pPr>
              <w:pStyle w:val="Default"/>
              <w:spacing w:before="40" w:after="40"/>
              <w:jc w:val="both"/>
              <w:rPr>
                <w:noProof/>
                <w:color w:val="auto"/>
                <w:sz w:val="20"/>
                <w:szCs w:val="20"/>
              </w:rPr>
            </w:pPr>
            <w:r>
              <w:rPr>
                <w:noProof/>
                <w:sz w:val="20"/>
                <w:szCs w:val="20"/>
              </w:rPr>
              <w:t>6</w:t>
            </w:r>
          </w:p>
        </w:tc>
        <w:tc>
          <w:tcPr>
            <w:tcW w:w="5244" w:type="dxa"/>
          </w:tcPr>
          <w:p>
            <w:pPr>
              <w:pStyle w:val="Default"/>
              <w:spacing w:before="40" w:after="40"/>
              <w:rPr>
                <w:b/>
                <w:noProof/>
                <w:color w:val="auto"/>
                <w:sz w:val="20"/>
                <w:szCs w:val="20"/>
              </w:rPr>
            </w:pPr>
            <w:r>
              <w:rPr>
                <w:b/>
                <w:noProof/>
                <w:sz w:val="20"/>
                <w:szCs w:val="20"/>
              </w:rPr>
              <w:t>Подкрепа за изпълнението (обучение и комуникация)</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xml:space="preserve">- Обучение и комуникация, разработени на централно ниво </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4-то тримесечие на 2024 г.</w:t>
            </w:r>
          </w:p>
        </w:tc>
      </w:tr>
      <w:tr>
        <w:tc>
          <w:tcPr>
            <w:tcW w:w="426" w:type="dxa"/>
            <w:tcBorders>
              <w:top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Обучение и комуникация на национално ниво</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4-то тримесечие на 2024 г.</w:t>
            </w:r>
          </w:p>
        </w:tc>
      </w:tr>
    </w:tbl>
    <w:p>
      <w:pPr>
        <w:pStyle w:val="Default"/>
        <w:spacing w:before="240"/>
        <w:jc w:val="both"/>
        <w:rPr>
          <w:noProof/>
          <w:color w:val="auto"/>
          <w:sz w:val="20"/>
          <w:szCs w:val="20"/>
        </w:rPr>
      </w:pPr>
      <w:r>
        <w:rPr>
          <w:noProof/>
          <w:sz w:val="20"/>
          <w:szCs w:val="20"/>
        </w:rPr>
        <w:t>* Настоящите разпоредби се отнасят до Регламент (ЕС) 2019/880.</w:t>
      </w:r>
    </w:p>
    <w:p>
      <w:pPr>
        <w:pStyle w:val="Default"/>
        <w:spacing w:after="360"/>
        <w:jc w:val="both"/>
        <w:rPr>
          <w:noProof/>
          <w:color w:val="auto"/>
          <w:sz w:val="20"/>
          <w:szCs w:val="20"/>
        </w:rPr>
      </w:pPr>
      <w:r>
        <w:rPr>
          <w:noProof/>
          <w:sz w:val="20"/>
          <w:szCs w:val="20"/>
        </w:rPr>
        <w:t>** Бъдещите разпоредби се отнасят до разпоредбите за изпълнение, които трябва да бъдат приети съгласно Регламент (ЕС) 2019/880.</w:t>
      </w:r>
    </w:p>
    <w:p>
      <w:pPr>
        <w:pStyle w:val="Default"/>
        <w:spacing w:after="360"/>
        <w:jc w:val="both"/>
        <w:rPr>
          <w:noProof/>
          <w:color w:val="auto"/>
        </w:rPr>
      </w:pPr>
      <w:r>
        <w:rPr>
          <w:noProof/>
        </w:rPr>
        <w:t>В таблица 2 е представена извадка от проекта EU CSW-CERTEX с акцент върху компонент 2 от него, осъществяващ връзката със системата за ICG.</w:t>
      </w:r>
    </w:p>
    <w:tbl>
      <w:tblPr>
        <w:tblStyle w:val="TableGrid"/>
        <w:tblW w:w="0" w:type="auto"/>
        <w:tblInd w:w="108" w:type="dxa"/>
        <w:tblLook w:val="04A0" w:firstRow="1" w:lastRow="0" w:firstColumn="1" w:lastColumn="0" w:noHBand="0" w:noVBand="1"/>
      </w:tblPr>
      <w:tblGrid>
        <w:gridCol w:w="426"/>
        <w:gridCol w:w="5244"/>
        <w:gridCol w:w="3261"/>
      </w:tblGrid>
      <w:tr>
        <w:tc>
          <w:tcPr>
            <w:tcW w:w="8931" w:type="dxa"/>
            <w:gridSpan w:val="3"/>
            <w:tcBorders>
              <w:bottom w:val="single" w:sz="4" w:space="0" w:color="auto"/>
              <w:right w:val="single" w:sz="4" w:space="0" w:color="auto"/>
            </w:tcBorders>
          </w:tcPr>
          <w:p>
            <w:pPr>
              <w:pStyle w:val="Default"/>
              <w:spacing w:before="120" w:after="120"/>
              <w:rPr>
                <w:b/>
                <w:i/>
                <w:noProof/>
                <w:color w:val="auto"/>
              </w:rPr>
            </w:pPr>
            <w:r>
              <w:rPr>
                <w:b/>
                <w:i/>
                <w:noProof/>
                <w:sz w:val="20"/>
              </w:rPr>
              <w:t>Таблица 2 — Извадка от МГСП-М, ред. 2019 г., фиш 1.13 — Компонент 2 „EU CSW- CERTEX“</w:t>
            </w:r>
          </w:p>
        </w:tc>
      </w:tr>
      <w:tr>
        <w:tc>
          <w:tcPr>
            <w:tcW w:w="426" w:type="dxa"/>
            <w:tcBorders>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i/>
                <w:noProof/>
                <w:color w:val="auto"/>
                <w:sz w:val="20"/>
                <w:szCs w:val="20"/>
              </w:rPr>
            </w:pPr>
            <w:r>
              <w:rPr>
                <w:i/>
                <w:noProof/>
                <w:sz w:val="20"/>
                <w:szCs w:val="20"/>
              </w:rPr>
              <w:t>Ключови моменти</w:t>
            </w:r>
          </w:p>
        </w:tc>
        <w:tc>
          <w:tcPr>
            <w:tcW w:w="3261" w:type="dxa"/>
            <w:tcBorders>
              <w:right w:val="single" w:sz="4" w:space="0" w:color="auto"/>
            </w:tcBorders>
          </w:tcPr>
          <w:p>
            <w:pPr>
              <w:pStyle w:val="Default"/>
              <w:spacing w:before="40" w:after="40"/>
              <w:jc w:val="center"/>
              <w:rPr>
                <w:i/>
                <w:noProof/>
                <w:color w:val="auto"/>
                <w:sz w:val="20"/>
                <w:szCs w:val="20"/>
              </w:rPr>
            </w:pPr>
            <w:r>
              <w:rPr>
                <w:i/>
                <w:noProof/>
                <w:sz w:val="20"/>
                <w:szCs w:val="20"/>
              </w:rPr>
              <w:t>Планирана дата на приключване</w:t>
            </w:r>
          </w:p>
        </w:tc>
      </w:tr>
      <w:tr>
        <w:tc>
          <w:tcPr>
            <w:tcW w:w="426" w:type="dxa"/>
            <w:tcBorders>
              <w:bottom w:val="nil"/>
            </w:tcBorders>
          </w:tcPr>
          <w:p>
            <w:pPr>
              <w:pStyle w:val="Default"/>
              <w:spacing w:before="40" w:after="40"/>
              <w:jc w:val="both"/>
              <w:rPr>
                <w:noProof/>
                <w:color w:val="auto"/>
                <w:sz w:val="20"/>
                <w:szCs w:val="20"/>
              </w:rPr>
            </w:pPr>
            <w:r>
              <w:rPr>
                <w:noProof/>
                <w:sz w:val="20"/>
                <w:szCs w:val="20"/>
              </w:rPr>
              <w:t>1</w:t>
            </w:r>
          </w:p>
        </w:tc>
        <w:tc>
          <w:tcPr>
            <w:tcW w:w="5244" w:type="dxa"/>
          </w:tcPr>
          <w:p>
            <w:pPr>
              <w:pStyle w:val="Default"/>
              <w:spacing w:before="40" w:after="40"/>
              <w:rPr>
                <w:b/>
                <w:noProof/>
                <w:color w:val="auto"/>
                <w:sz w:val="20"/>
                <w:szCs w:val="20"/>
              </w:rPr>
            </w:pPr>
            <w:r>
              <w:rPr>
                <w:b/>
                <w:noProof/>
                <w:sz w:val="20"/>
                <w:szCs w:val="20"/>
              </w:rPr>
              <w:t>Бизнес анализ и бизнес моделиране</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b/>
                <w:noProof/>
                <w:sz w:val="20"/>
                <w:szCs w:val="20"/>
              </w:rPr>
              <w:t>- </w:t>
            </w:r>
            <w:r>
              <w:rPr>
                <w:noProof/>
                <w:sz w:val="20"/>
                <w:szCs w:val="20"/>
              </w:rPr>
              <w:t>Документ относно икономическия анализ</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1-во тримесечие на 2017 г.</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Приложение относно икономическия анализ</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2-ро тримесечие на 2023 г.</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Ниво 3 (Изисквания на ползвателите на МБП)</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1-во тримесечие на 2024 г.</w:t>
            </w:r>
          </w:p>
        </w:tc>
      </w:tr>
      <w:tr>
        <w:tc>
          <w:tcPr>
            <w:tcW w:w="426" w:type="dxa"/>
            <w:tcBorders>
              <w:top w:val="nil"/>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Ниво 4 (Функционални изисквания, описани в МБП)</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1-во тримесечие на 2024 г.</w:t>
            </w:r>
          </w:p>
        </w:tc>
      </w:tr>
      <w:tr>
        <w:tc>
          <w:tcPr>
            <w:tcW w:w="426" w:type="dxa"/>
            <w:tcBorders>
              <w:bottom w:val="nil"/>
            </w:tcBorders>
          </w:tcPr>
          <w:p>
            <w:pPr>
              <w:pStyle w:val="Default"/>
              <w:spacing w:before="40" w:after="40"/>
              <w:jc w:val="both"/>
              <w:rPr>
                <w:noProof/>
                <w:color w:val="auto"/>
                <w:sz w:val="20"/>
                <w:szCs w:val="20"/>
              </w:rPr>
            </w:pPr>
            <w:r>
              <w:rPr>
                <w:noProof/>
                <w:sz w:val="20"/>
                <w:szCs w:val="20"/>
              </w:rPr>
              <w:t>2</w:t>
            </w:r>
          </w:p>
        </w:tc>
        <w:tc>
          <w:tcPr>
            <w:tcW w:w="5244" w:type="dxa"/>
          </w:tcPr>
          <w:p>
            <w:pPr>
              <w:pStyle w:val="Default"/>
              <w:spacing w:before="40" w:after="40"/>
              <w:rPr>
                <w:b/>
                <w:noProof/>
                <w:color w:val="auto"/>
                <w:sz w:val="20"/>
                <w:szCs w:val="20"/>
              </w:rPr>
            </w:pPr>
            <w:r>
              <w:rPr>
                <w:b/>
                <w:noProof/>
                <w:sz w:val="20"/>
                <w:szCs w:val="20"/>
              </w:rPr>
              <w:t>Правни разпоредби</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Настоящи приети разпоредби*</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В сила</w:t>
            </w:r>
          </w:p>
        </w:tc>
      </w:tr>
      <w:tr>
        <w:tc>
          <w:tcPr>
            <w:tcW w:w="426" w:type="dxa"/>
            <w:tcBorders>
              <w:top w:val="nil"/>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Бъдещи приети разпоредби**</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2021 г.</w:t>
            </w:r>
          </w:p>
        </w:tc>
      </w:tr>
      <w:tr>
        <w:tc>
          <w:tcPr>
            <w:tcW w:w="426" w:type="dxa"/>
            <w:tcBorders>
              <w:bottom w:val="nil"/>
            </w:tcBorders>
          </w:tcPr>
          <w:p>
            <w:pPr>
              <w:pStyle w:val="Default"/>
              <w:spacing w:before="40" w:after="40"/>
              <w:jc w:val="both"/>
              <w:rPr>
                <w:noProof/>
                <w:color w:val="auto"/>
                <w:sz w:val="20"/>
                <w:szCs w:val="20"/>
              </w:rPr>
            </w:pPr>
            <w:r>
              <w:rPr>
                <w:noProof/>
                <w:sz w:val="20"/>
                <w:szCs w:val="20"/>
              </w:rPr>
              <w:t>3</w:t>
            </w:r>
          </w:p>
        </w:tc>
        <w:tc>
          <w:tcPr>
            <w:tcW w:w="5244" w:type="dxa"/>
          </w:tcPr>
          <w:p>
            <w:pPr>
              <w:pStyle w:val="Default"/>
              <w:spacing w:before="40" w:after="40"/>
              <w:rPr>
                <w:b/>
                <w:noProof/>
                <w:color w:val="auto"/>
                <w:sz w:val="20"/>
                <w:szCs w:val="20"/>
              </w:rPr>
            </w:pPr>
            <w:r>
              <w:rPr>
                <w:b/>
                <w:noProof/>
                <w:sz w:val="20"/>
                <w:szCs w:val="20"/>
              </w:rPr>
              <w:t>Етап на започване на проекта</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Стратегически документ</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3-то тримесечие на 2017 г.</w:t>
            </w:r>
          </w:p>
        </w:tc>
      </w:tr>
      <w:tr>
        <w:tc>
          <w:tcPr>
            <w:tcW w:w="426" w:type="dxa"/>
            <w:tcBorders>
              <w:top w:val="nil"/>
              <w:bottom w:val="nil"/>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Приложение към стратегическия документ</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3-то тримесечие на 2023 г.</w:t>
            </w:r>
          </w:p>
        </w:tc>
      </w:tr>
      <w:tr>
        <w:tc>
          <w:tcPr>
            <w:tcW w:w="426" w:type="dxa"/>
            <w:tcBorders>
              <w:top w:val="nil"/>
              <w:bottom w:val="single" w:sz="4" w:space="0" w:color="auto"/>
            </w:tcBorders>
          </w:tcPr>
          <w:p>
            <w:pPr>
              <w:pStyle w:val="Default"/>
              <w:spacing w:before="40" w:after="40"/>
              <w:jc w:val="both"/>
              <w:rPr>
                <w:noProof/>
                <w:color w:val="auto"/>
                <w:sz w:val="20"/>
                <w:szCs w:val="20"/>
              </w:rPr>
            </w:pPr>
          </w:p>
        </w:tc>
        <w:tc>
          <w:tcPr>
            <w:tcW w:w="5244" w:type="dxa"/>
          </w:tcPr>
          <w:p>
            <w:pPr>
              <w:pStyle w:val="Default"/>
              <w:spacing w:before="40" w:after="40"/>
              <w:rPr>
                <w:noProof/>
                <w:color w:val="auto"/>
                <w:sz w:val="20"/>
                <w:szCs w:val="20"/>
              </w:rPr>
            </w:pPr>
            <w:r>
              <w:rPr>
                <w:noProof/>
                <w:sz w:val="20"/>
                <w:szCs w:val="20"/>
              </w:rPr>
              <w:t>- Решение „ЗА“</w:t>
            </w:r>
          </w:p>
        </w:tc>
        <w:tc>
          <w:tcPr>
            <w:tcW w:w="3261" w:type="dxa"/>
            <w:tcBorders>
              <w:right w:val="single" w:sz="4" w:space="0" w:color="auto"/>
            </w:tcBorders>
          </w:tcPr>
          <w:p>
            <w:pPr>
              <w:pStyle w:val="Default"/>
              <w:spacing w:before="40" w:after="40"/>
              <w:jc w:val="center"/>
              <w:rPr>
                <w:noProof/>
                <w:color w:val="auto"/>
                <w:sz w:val="20"/>
                <w:szCs w:val="20"/>
              </w:rPr>
            </w:pPr>
            <w:r>
              <w:rPr>
                <w:noProof/>
                <w:sz w:val="20"/>
                <w:szCs w:val="20"/>
              </w:rPr>
              <w:t>3-то тримесечие на 2023 г.</w:t>
            </w:r>
          </w:p>
        </w:tc>
      </w:tr>
      <w:tr>
        <w:tc>
          <w:tcPr>
            <w:tcW w:w="426" w:type="dxa"/>
            <w:tcBorders>
              <w:bottom w:val="nil"/>
            </w:tcBorders>
          </w:tcPr>
          <w:p>
            <w:pPr>
              <w:pStyle w:val="Default"/>
              <w:spacing w:before="40" w:after="40"/>
              <w:jc w:val="both"/>
              <w:rPr>
                <w:noProof/>
                <w:color w:val="auto"/>
                <w:sz w:val="20"/>
                <w:szCs w:val="20"/>
              </w:rPr>
            </w:pPr>
            <w:r>
              <w:rPr>
                <w:noProof/>
                <w:sz w:val="20"/>
                <w:szCs w:val="20"/>
              </w:rPr>
              <w:t>4</w:t>
            </w:r>
          </w:p>
        </w:tc>
        <w:tc>
          <w:tcPr>
            <w:tcW w:w="5244" w:type="dxa"/>
          </w:tcPr>
          <w:p>
            <w:pPr>
              <w:pStyle w:val="Default"/>
              <w:spacing w:before="40" w:after="40"/>
              <w:rPr>
                <w:b/>
                <w:noProof/>
                <w:color w:val="auto"/>
                <w:sz w:val="20"/>
                <w:szCs w:val="20"/>
              </w:rPr>
            </w:pPr>
            <w:r>
              <w:rPr>
                <w:b/>
                <w:noProof/>
                <w:sz w:val="20"/>
                <w:szCs w:val="20"/>
              </w:rPr>
              <w:t>ИТ проект</w:t>
            </w:r>
          </w:p>
        </w:tc>
        <w:tc>
          <w:tcPr>
            <w:tcW w:w="3261" w:type="dxa"/>
            <w:tcBorders>
              <w:right w:val="single" w:sz="4" w:space="0" w:color="auto"/>
            </w:tcBorders>
          </w:tcPr>
          <w:p>
            <w:pPr>
              <w:pStyle w:val="Default"/>
              <w:spacing w:before="40" w:after="40"/>
              <w:jc w:val="center"/>
              <w:rPr>
                <w:noProof/>
                <w:color w:val="auto"/>
                <w:sz w:val="20"/>
                <w:szCs w:val="20"/>
              </w:rPr>
            </w:pP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Спецификации на приложението и услугите</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2-ро тримесечие на 2024 г.</w:t>
            </w: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Технически спецификации на системата</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2-ро тримесечие на 2024 г.</w:t>
            </w: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b/>
                <w:noProof/>
                <w:color w:val="auto"/>
                <w:sz w:val="20"/>
                <w:szCs w:val="20"/>
              </w:rPr>
            </w:pPr>
            <w:r>
              <w:rPr>
                <w:b/>
                <w:noProof/>
                <w:sz w:val="20"/>
                <w:szCs w:val="20"/>
              </w:rPr>
              <w:t>Етап на изграждане</w:t>
            </w:r>
          </w:p>
        </w:tc>
        <w:tc>
          <w:tcPr>
            <w:tcW w:w="3261" w:type="dxa"/>
            <w:tcBorders>
              <w:right w:val="single" w:sz="4" w:space="0" w:color="auto"/>
            </w:tcBorders>
          </w:tcPr>
          <w:p>
            <w:pPr>
              <w:pStyle w:val="Default"/>
              <w:spacing w:after="40"/>
              <w:jc w:val="center"/>
              <w:rPr>
                <w:noProof/>
                <w:color w:val="auto"/>
                <w:sz w:val="20"/>
                <w:szCs w:val="20"/>
              </w:rPr>
            </w:pP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Внедряване на централните услуги</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3-то тримесечие на 2024 г.</w:t>
            </w: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Интегриране на услугите в националните системи</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От 4-то тримесечие на 2024 г. нататък</w:t>
            </w: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Изпълнение на национално равнище</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От 4-то тримесечие на 2024 г. нататък</w:t>
            </w: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b/>
                <w:noProof/>
                <w:color w:val="auto"/>
                <w:sz w:val="20"/>
                <w:szCs w:val="20"/>
              </w:rPr>
            </w:pPr>
            <w:r>
              <w:rPr>
                <w:b/>
                <w:noProof/>
                <w:sz w:val="20"/>
                <w:szCs w:val="20"/>
              </w:rPr>
              <w:t>Преходна фаза</w:t>
            </w:r>
          </w:p>
        </w:tc>
        <w:tc>
          <w:tcPr>
            <w:tcW w:w="3261" w:type="dxa"/>
            <w:tcBorders>
              <w:right w:val="single" w:sz="4" w:space="0" w:color="auto"/>
            </w:tcBorders>
          </w:tcPr>
          <w:p>
            <w:pPr>
              <w:pStyle w:val="Default"/>
              <w:spacing w:after="40"/>
              <w:jc w:val="center"/>
              <w:rPr>
                <w:noProof/>
                <w:color w:val="auto"/>
                <w:sz w:val="20"/>
                <w:szCs w:val="20"/>
              </w:rPr>
            </w:pP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Въвеждане и внедряване</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4-то тримесечие на 2024 г.</w:t>
            </w:r>
          </w:p>
        </w:tc>
      </w:tr>
      <w:tr>
        <w:tc>
          <w:tcPr>
            <w:tcW w:w="426" w:type="dxa"/>
            <w:tcBorders>
              <w:top w:val="nil"/>
              <w:bottom w:val="single" w:sz="4" w:space="0" w:color="auto"/>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Изпитване на съответствието</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От 1-то тримесечие на 2025 г. нататък</w:t>
            </w:r>
          </w:p>
        </w:tc>
      </w:tr>
      <w:tr>
        <w:tc>
          <w:tcPr>
            <w:tcW w:w="426" w:type="dxa"/>
            <w:tcBorders>
              <w:bottom w:val="nil"/>
            </w:tcBorders>
          </w:tcPr>
          <w:p>
            <w:pPr>
              <w:pStyle w:val="Default"/>
              <w:spacing w:after="40"/>
              <w:jc w:val="both"/>
              <w:rPr>
                <w:noProof/>
                <w:color w:val="auto"/>
                <w:sz w:val="20"/>
                <w:szCs w:val="20"/>
              </w:rPr>
            </w:pPr>
            <w:r>
              <w:rPr>
                <w:noProof/>
                <w:sz w:val="20"/>
                <w:szCs w:val="20"/>
              </w:rPr>
              <w:t>5</w:t>
            </w:r>
          </w:p>
        </w:tc>
        <w:tc>
          <w:tcPr>
            <w:tcW w:w="5244" w:type="dxa"/>
          </w:tcPr>
          <w:p>
            <w:pPr>
              <w:pStyle w:val="Default"/>
              <w:spacing w:after="40"/>
              <w:rPr>
                <w:b/>
                <w:noProof/>
                <w:color w:val="auto"/>
                <w:sz w:val="20"/>
                <w:szCs w:val="20"/>
              </w:rPr>
            </w:pPr>
            <w:r>
              <w:rPr>
                <w:b/>
                <w:noProof/>
                <w:sz w:val="20"/>
                <w:szCs w:val="20"/>
              </w:rPr>
              <w:t>Експлоатация</w:t>
            </w:r>
          </w:p>
        </w:tc>
        <w:tc>
          <w:tcPr>
            <w:tcW w:w="3261" w:type="dxa"/>
            <w:tcBorders>
              <w:right w:val="single" w:sz="4" w:space="0" w:color="auto"/>
            </w:tcBorders>
          </w:tcPr>
          <w:p>
            <w:pPr>
              <w:pStyle w:val="Default"/>
              <w:spacing w:after="40"/>
              <w:jc w:val="center"/>
              <w:rPr>
                <w:noProof/>
                <w:color w:val="auto"/>
                <w:sz w:val="20"/>
                <w:szCs w:val="20"/>
              </w:rPr>
            </w:pP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Комисия, администрации на държавите членки и търговци (Важно: това е датата за въвеждане в експлоатация за Комисията, държавите членки ще проведат изпитването на съответствието от 2-то тримесечие на 2020 г.)</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2-ро тримесечие на 2025 г.</w:t>
            </w:r>
          </w:p>
        </w:tc>
      </w:tr>
      <w:tr>
        <w:tc>
          <w:tcPr>
            <w:tcW w:w="426" w:type="dxa"/>
            <w:tcBorders>
              <w:top w:val="nil"/>
              <w:bottom w:val="single" w:sz="4" w:space="0" w:color="auto"/>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Държави извън ЕС и търговци извън ЕС (в случай на необходимост)</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Не е приложимо</w:t>
            </w:r>
          </w:p>
        </w:tc>
      </w:tr>
      <w:tr>
        <w:tc>
          <w:tcPr>
            <w:tcW w:w="426" w:type="dxa"/>
            <w:tcBorders>
              <w:bottom w:val="nil"/>
            </w:tcBorders>
          </w:tcPr>
          <w:p>
            <w:pPr>
              <w:pStyle w:val="Default"/>
              <w:spacing w:after="40"/>
              <w:jc w:val="both"/>
              <w:rPr>
                <w:noProof/>
                <w:color w:val="auto"/>
                <w:sz w:val="20"/>
                <w:szCs w:val="20"/>
              </w:rPr>
            </w:pPr>
            <w:r>
              <w:rPr>
                <w:noProof/>
                <w:sz w:val="20"/>
                <w:szCs w:val="20"/>
              </w:rPr>
              <w:t>6</w:t>
            </w:r>
          </w:p>
        </w:tc>
        <w:tc>
          <w:tcPr>
            <w:tcW w:w="5244" w:type="dxa"/>
          </w:tcPr>
          <w:p>
            <w:pPr>
              <w:pStyle w:val="Default"/>
              <w:spacing w:after="40"/>
              <w:rPr>
                <w:b/>
                <w:noProof/>
                <w:color w:val="auto"/>
                <w:sz w:val="20"/>
                <w:szCs w:val="20"/>
              </w:rPr>
            </w:pPr>
            <w:r>
              <w:rPr>
                <w:b/>
                <w:noProof/>
                <w:sz w:val="20"/>
                <w:szCs w:val="20"/>
              </w:rPr>
              <w:t>Подкрепа за прилагане (обучение и комуникация)</w:t>
            </w:r>
          </w:p>
        </w:tc>
        <w:tc>
          <w:tcPr>
            <w:tcW w:w="3261" w:type="dxa"/>
            <w:tcBorders>
              <w:right w:val="single" w:sz="4" w:space="0" w:color="auto"/>
            </w:tcBorders>
          </w:tcPr>
          <w:p>
            <w:pPr>
              <w:pStyle w:val="Default"/>
              <w:spacing w:after="40"/>
              <w:jc w:val="center"/>
              <w:rPr>
                <w:noProof/>
                <w:color w:val="auto"/>
                <w:sz w:val="20"/>
                <w:szCs w:val="20"/>
              </w:rPr>
            </w:pPr>
          </w:p>
        </w:tc>
      </w:tr>
      <w:tr>
        <w:tc>
          <w:tcPr>
            <w:tcW w:w="426" w:type="dxa"/>
            <w:tcBorders>
              <w:top w:val="nil"/>
              <w:bottom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Обучение и комуникация, разработени на централно ниво</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Не е приложимо</w:t>
            </w:r>
          </w:p>
        </w:tc>
      </w:tr>
      <w:tr>
        <w:tc>
          <w:tcPr>
            <w:tcW w:w="426" w:type="dxa"/>
            <w:tcBorders>
              <w:top w:val="nil"/>
            </w:tcBorders>
          </w:tcPr>
          <w:p>
            <w:pPr>
              <w:pStyle w:val="Default"/>
              <w:spacing w:after="40"/>
              <w:jc w:val="both"/>
              <w:rPr>
                <w:noProof/>
                <w:color w:val="auto"/>
                <w:sz w:val="20"/>
                <w:szCs w:val="20"/>
              </w:rPr>
            </w:pPr>
          </w:p>
        </w:tc>
        <w:tc>
          <w:tcPr>
            <w:tcW w:w="5244" w:type="dxa"/>
          </w:tcPr>
          <w:p>
            <w:pPr>
              <w:pStyle w:val="Default"/>
              <w:spacing w:after="40"/>
              <w:rPr>
                <w:noProof/>
                <w:color w:val="auto"/>
                <w:sz w:val="20"/>
                <w:szCs w:val="20"/>
              </w:rPr>
            </w:pPr>
            <w:r>
              <w:rPr>
                <w:noProof/>
                <w:sz w:val="20"/>
                <w:szCs w:val="20"/>
              </w:rPr>
              <w:t>- Обучение и комуникация на национално ниво</w:t>
            </w:r>
          </w:p>
        </w:tc>
        <w:tc>
          <w:tcPr>
            <w:tcW w:w="3261" w:type="dxa"/>
            <w:tcBorders>
              <w:right w:val="single" w:sz="4" w:space="0" w:color="auto"/>
            </w:tcBorders>
          </w:tcPr>
          <w:p>
            <w:pPr>
              <w:pStyle w:val="Default"/>
              <w:spacing w:after="40"/>
              <w:jc w:val="center"/>
              <w:rPr>
                <w:noProof/>
                <w:color w:val="auto"/>
                <w:sz w:val="20"/>
                <w:szCs w:val="20"/>
              </w:rPr>
            </w:pPr>
            <w:r>
              <w:rPr>
                <w:noProof/>
                <w:sz w:val="20"/>
                <w:szCs w:val="20"/>
              </w:rPr>
              <w:t>Не е приложимо</w:t>
            </w:r>
          </w:p>
        </w:tc>
      </w:tr>
    </w:tbl>
    <w:p>
      <w:pPr>
        <w:pStyle w:val="Default"/>
        <w:spacing w:before="240"/>
        <w:jc w:val="both"/>
        <w:rPr>
          <w:noProof/>
          <w:color w:val="auto"/>
          <w:sz w:val="20"/>
          <w:szCs w:val="20"/>
        </w:rPr>
      </w:pPr>
      <w:r>
        <w:rPr>
          <w:noProof/>
          <w:sz w:val="20"/>
          <w:szCs w:val="20"/>
        </w:rPr>
        <w:t>* Настоящите разпоредби се отнасят до Регламент (ЕС) 2019/880.</w:t>
      </w:r>
    </w:p>
    <w:p>
      <w:pPr>
        <w:pStyle w:val="Default"/>
        <w:spacing w:after="240"/>
        <w:jc w:val="both"/>
        <w:rPr>
          <w:noProof/>
          <w:color w:val="auto"/>
          <w:sz w:val="20"/>
          <w:szCs w:val="20"/>
        </w:rPr>
      </w:pPr>
      <w:r>
        <w:rPr>
          <w:noProof/>
          <w:sz w:val="20"/>
          <w:szCs w:val="20"/>
        </w:rPr>
        <w:t>** Бъдещите разпоредби се отнасят до разпоредбите за изпълнение, които трябва да бъдат приети съгласно Регламент (ЕС) 2019/880.</w:t>
      </w:r>
    </w:p>
    <w:p>
      <w:pPr>
        <w:pStyle w:val="Default"/>
        <w:jc w:val="both"/>
        <w:rPr>
          <w:noProof/>
          <w:color w:val="auto"/>
          <w:sz w:val="20"/>
          <w:szCs w:val="20"/>
        </w:rPr>
      </w:pPr>
    </w:p>
    <w:p>
      <w:pPr>
        <w:jc w:val="center"/>
        <w:rPr>
          <w:b/>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6" w:h="16838"/>
          <w:pgMar w:top="1135" w:right="1417" w:bottom="1135" w:left="1417" w:header="567" w:footer="454" w:gutter="0"/>
          <w:cols w:space="720"/>
          <w:docGrid w:linePitch="360"/>
        </w:sectPr>
      </w:pPr>
    </w:p>
    <w:p>
      <w:pPr>
        <w:pStyle w:val="Heading1"/>
        <w:spacing w:after="240"/>
        <w:jc w:val="center"/>
        <w:rPr>
          <w:noProof/>
        </w:rPr>
      </w:pPr>
      <w:bookmarkStart w:id="9" w:name="_Toc46150291"/>
      <w:r>
        <w:rPr>
          <w:noProof/>
        </w:rPr>
        <w:t>Приложение II: Основни етапи на проекта и график на ключовите моменти</w:t>
      </w:r>
      <w:bookmarkEnd w:id="9"/>
    </w:p>
    <w:p>
      <w:pPr>
        <w:jc w:val="center"/>
        <w:rPr>
          <w:i/>
          <w:noProof/>
          <w:sz w:val="24"/>
          <w:szCs w:val="24"/>
        </w:rPr>
      </w:pPr>
      <w:r>
        <w:rPr>
          <w:i/>
          <w:noProof/>
          <w:sz w:val="24"/>
          <w:szCs w:val="24"/>
          <w:lang w:val="en-GB" w:eastAsia="en-GB"/>
        </w:rPr>
        <w:drawing>
          <wp:inline distT="0" distB="0" distL="0" distR="0">
            <wp:extent cx="8886825" cy="480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86825" cy="4800600"/>
                    </a:xfrm>
                    <a:prstGeom prst="rect">
                      <a:avLst/>
                    </a:prstGeom>
                    <a:noFill/>
                    <a:ln>
                      <a:noFill/>
                    </a:ln>
                  </pic:spPr>
                </pic:pic>
              </a:graphicData>
            </a:graphic>
          </wp:inline>
        </w:drawing>
      </w:r>
    </w:p>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796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12</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ОВ L 151, 7.6.2019 г., стр. 1—14.</w:t>
      </w:r>
    </w:p>
  </w:footnote>
  <w:footnote w:id="3">
    <w:p>
      <w:pPr>
        <w:pStyle w:val="FootnoteText"/>
      </w:pPr>
      <w:r>
        <w:rPr>
          <w:rStyle w:val="FootnoteReference"/>
        </w:rPr>
        <w:footnoteRef/>
      </w:r>
      <w:r>
        <w:t> Конвенция на ЮНЕСКО относно мерките за забрана и предотвратяване на незаконен внос, износ и прехвърляне на правото на собственост на културни ценности, подписана в Париж през 1970 г.</w:t>
      </w:r>
    </w:p>
  </w:footnote>
  <w:footnote w:id="4">
    <w:p>
      <w:pPr>
        <w:pStyle w:val="FootnoteText"/>
        <w:jc w:val="left"/>
      </w:pPr>
      <w:r>
        <w:rPr>
          <w:rStyle w:val="FootnoteReference"/>
        </w:rPr>
        <w:footnoteRef/>
      </w:r>
      <w:r>
        <w:t> </w:t>
      </w:r>
      <w:hyperlink r:id="rId1" w:history="1">
        <w:r>
          <w:rPr>
            <w:rStyle w:val="Hyperlink"/>
          </w:rPr>
          <w:t>https://ec.europa.eu/taxation_customs/general-information-customs/electronic-customs/eu-single-window-environment-for-customs_en</w:t>
        </w:r>
      </w:hyperlink>
      <w:r>
        <w:t xml:space="preserve">. </w:t>
      </w:r>
    </w:p>
  </w:footnote>
  <w:footnote w:id="5">
    <w:p>
      <w:pPr>
        <w:pStyle w:val="FootnoteText"/>
      </w:pPr>
      <w:r>
        <w:rPr>
          <w:rStyle w:val="FootnoteReference"/>
        </w:rPr>
        <w:footnoteRef/>
      </w:r>
      <w:r>
        <w:t> В Регламента поставянето на стоките под следните митнически режими се определя като „внос“: допускане за свободно обращение; складиране в митнически складове или свободни зони; временен внос; специфична употреба, в това число активно усъвършенстване.</w:t>
      </w:r>
    </w:p>
  </w:footnote>
  <w:footnote w:id="6">
    <w:p>
      <w:pPr>
        <w:pStyle w:val="FootnoteText"/>
      </w:pPr>
      <w:r>
        <w:rPr>
          <w:rStyle w:val="FootnoteReference"/>
        </w:rPr>
        <w:footnoteRef/>
      </w:r>
      <w:r>
        <w:t xml:space="preserve"> Вж. </w:t>
      </w:r>
      <w:hyperlink r:id="rId2" w:history="1">
        <w:r>
          <w:rPr>
            <w:rStyle w:val="Hyperlink"/>
          </w:rPr>
          <w:t>https://ec.europa.eu/taxation_customs/general-information-customs/electronic-customs_en</w:t>
        </w:r>
      </w:hyperlink>
      <w:r>
        <w:t>.</w:t>
      </w:r>
    </w:p>
  </w:footnote>
  <w:footnote w:id="7">
    <w:p>
      <w:pPr>
        <w:pStyle w:val="FootnoteText"/>
      </w:pPr>
      <w:r>
        <w:rPr>
          <w:rStyle w:val="FootnoteReference"/>
        </w:rPr>
        <w:footnoteRef/>
      </w:r>
      <w:r>
        <w:t> Решение № 70/2008/ЕО на Европейския парламент и на Съвета от 15 януари 2008 г. относно безкнижна среда в митниците и търговията (ОВ L 23, 2008 г., стр. 21).</w:t>
      </w:r>
    </w:p>
  </w:footnote>
  <w:footnote w:id="8">
    <w:p>
      <w:pPr>
        <w:pStyle w:val="FootnoteText"/>
      </w:pPr>
      <w:r>
        <w:rPr>
          <w:rStyle w:val="FootnoteReference"/>
        </w:rPr>
        <w:footnoteRef/>
      </w:r>
      <w:r>
        <w:t> </w:t>
      </w:r>
      <w:hyperlink r:id="rId3" w:history="1">
        <w:r>
          <w:rPr>
            <w:rStyle w:val="Hyperlink"/>
          </w:rPr>
          <w:t>https://ec.europa.eu/taxation_customs/sites/taxation/files/2019_masp_annex3_en.pdf</w:t>
        </w:r>
      </w:hyperlink>
      <w:r>
        <w:t xml:space="preserve">. </w:t>
      </w:r>
    </w:p>
  </w:footnote>
  <w:footnote w:id="9">
    <w:p>
      <w:pPr>
        <w:pStyle w:val="FootnoteText"/>
      </w:pPr>
      <w:r>
        <w:rPr>
          <w:rStyle w:val="FootnoteReference"/>
        </w:rPr>
        <w:footnoteRef/>
      </w:r>
      <w:r>
        <w:t> </w:t>
      </w:r>
      <w:hyperlink r:id="rId4" w:history="1">
        <w:r>
          <w:rPr>
            <w:rStyle w:val="Hyperlink"/>
          </w:rPr>
          <w:t>https://ec.europa.eu/taxation_customs/sites/taxation/files/2019_masp_annex4_en.pdf</w:t>
        </w:r>
      </w:hyperlink>
      <w:r>
        <w:t xml:space="preserve">. </w:t>
      </w:r>
    </w:p>
  </w:footnote>
  <w:footnote w:id="10">
    <w:p>
      <w:pPr>
        <w:pStyle w:val="FootnoteText"/>
      </w:pPr>
      <w:r>
        <w:rPr>
          <w:rStyle w:val="FootnoteReference"/>
        </w:rPr>
        <w:footnoteRef/>
      </w:r>
      <w:r>
        <w:t> </w:t>
      </w:r>
      <w:hyperlink r:id="rId5" w:history="1">
        <w:r>
          <w:rPr>
            <w:rStyle w:val="Hyperlink"/>
          </w:rPr>
          <w:t>https://ec.europa.eu/taxation_customs/sites/taxation/files/2019_masp_annex5_en.pdf</w:t>
        </w:r>
      </w:hyperlink>
      <w:r>
        <w:t xml:space="preserve">. </w:t>
      </w:r>
    </w:p>
  </w:footnote>
  <w:footnote w:id="11">
    <w:p>
      <w:pPr>
        <w:pStyle w:val="FootnoteText"/>
      </w:pPr>
      <w:r>
        <w:rPr>
          <w:rStyle w:val="FootnoteReference"/>
        </w:rPr>
        <w:footnoteRef/>
      </w:r>
      <w:r>
        <w:t> Регламент (ЕО) № 116/2009 на Съвета от 18 декември 2008 г. относно износа на паметници на културата (ОВ L 39, 10.2.2009 г., стр. 1—7).</w:t>
      </w:r>
    </w:p>
  </w:footnote>
  <w:footnote w:id="12">
    <w:p>
      <w:pPr>
        <w:pStyle w:val="FootnoteText"/>
      </w:pPr>
      <w:r>
        <w:rPr>
          <w:rStyle w:val="FootnoteReference"/>
        </w:rPr>
        <w:footnoteRef/>
      </w:r>
      <w:r>
        <w:t> Преди създаване на експертните групи за целите на Договора от Лисабон същите обсъждания се провеждаха в рамките на Комитета по Регламент (ЕО) № 116/2009. Членовете на експертната група са в по-голямата си част същите органи, които заседават в рамките на Комитета по Регламента.</w:t>
      </w:r>
    </w:p>
  </w:footnote>
  <w:footnote w:id="13">
    <w:p>
      <w:pPr>
        <w:pStyle w:val="FootnoteText"/>
      </w:pPr>
      <w:r>
        <w:rPr>
          <w:rStyle w:val="FootnoteReference"/>
        </w:rPr>
        <w:footnoteRef/>
      </w:r>
      <w:r>
        <w:t> Например чрез цифровизирането на Митническия кодекс на Съюза (МКС).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424045A"/>
    <w:multiLevelType w:val="hybridMultilevel"/>
    <w:tmpl w:val="55306482"/>
    <w:lvl w:ilvl="0" w:tplc="30605936">
      <w:start w:val="1"/>
      <mc:AlternateContent>
        <mc:Choice Requires="w14">
          <w:numFmt w:val="custom" w:format="а, й, к, ..."/>
        </mc:Choice>
        <mc:Fallback>
          <w:numFmt w:val="decimal"/>
        </mc:Fallback>
      </mc:AlternateContent>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4">
    <w:nsid w:val="49F03D91"/>
    <w:multiLevelType w:val="hybridMultilevel"/>
    <w:tmpl w:val="239A4722"/>
    <w:lvl w:ilvl="0" w:tplc="080C0001">
      <w:start w:val="1"/>
      <w:numFmt w:val="bullet"/>
      <w:lvlText w:val=""/>
      <w:lvlJc w:val="left"/>
      <w:pPr>
        <w:ind w:left="776" w:hanging="360"/>
      </w:pPr>
      <w:rPr>
        <w:rFonts w:ascii="Symbol" w:hAnsi="Symbol" w:hint="default"/>
      </w:rPr>
    </w:lvl>
    <w:lvl w:ilvl="1" w:tplc="080C0003" w:tentative="1">
      <w:start w:val="1"/>
      <w:numFmt w:val="bullet"/>
      <w:lvlText w:val="o"/>
      <w:lvlJc w:val="left"/>
      <w:pPr>
        <w:ind w:left="1496" w:hanging="360"/>
      </w:pPr>
      <w:rPr>
        <w:rFonts w:ascii="Courier New" w:hAnsi="Courier New" w:cs="Courier New" w:hint="default"/>
      </w:rPr>
    </w:lvl>
    <w:lvl w:ilvl="2" w:tplc="080C0005" w:tentative="1">
      <w:start w:val="1"/>
      <w:numFmt w:val="bullet"/>
      <w:lvlText w:val=""/>
      <w:lvlJc w:val="left"/>
      <w:pPr>
        <w:ind w:left="2216" w:hanging="360"/>
      </w:pPr>
      <w:rPr>
        <w:rFonts w:ascii="Wingdings" w:hAnsi="Wingdings" w:hint="default"/>
      </w:rPr>
    </w:lvl>
    <w:lvl w:ilvl="3" w:tplc="080C0001" w:tentative="1">
      <w:start w:val="1"/>
      <w:numFmt w:val="bullet"/>
      <w:lvlText w:val=""/>
      <w:lvlJc w:val="left"/>
      <w:pPr>
        <w:ind w:left="2936" w:hanging="360"/>
      </w:pPr>
      <w:rPr>
        <w:rFonts w:ascii="Symbol" w:hAnsi="Symbol" w:hint="default"/>
      </w:rPr>
    </w:lvl>
    <w:lvl w:ilvl="4" w:tplc="080C0003" w:tentative="1">
      <w:start w:val="1"/>
      <w:numFmt w:val="bullet"/>
      <w:lvlText w:val="o"/>
      <w:lvlJc w:val="left"/>
      <w:pPr>
        <w:ind w:left="3656" w:hanging="360"/>
      </w:pPr>
      <w:rPr>
        <w:rFonts w:ascii="Courier New" w:hAnsi="Courier New" w:cs="Courier New" w:hint="default"/>
      </w:rPr>
    </w:lvl>
    <w:lvl w:ilvl="5" w:tplc="080C0005" w:tentative="1">
      <w:start w:val="1"/>
      <w:numFmt w:val="bullet"/>
      <w:lvlText w:val=""/>
      <w:lvlJc w:val="left"/>
      <w:pPr>
        <w:ind w:left="4376" w:hanging="360"/>
      </w:pPr>
      <w:rPr>
        <w:rFonts w:ascii="Wingdings" w:hAnsi="Wingdings" w:hint="default"/>
      </w:rPr>
    </w:lvl>
    <w:lvl w:ilvl="6" w:tplc="080C0001" w:tentative="1">
      <w:start w:val="1"/>
      <w:numFmt w:val="bullet"/>
      <w:lvlText w:val=""/>
      <w:lvlJc w:val="left"/>
      <w:pPr>
        <w:ind w:left="5096" w:hanging="360"/>
      </w:pPr>
      <w:rPr>
        <w:rFonts w:ascii="Symbol" w:hAnsi="Symbol" w:hint="default"/>
      </w:rPr>
    </w:lvl>
    <w:lvl w:ilvl="7" w:tplc="080C0003" w:tentative="1">
      <w:start w:val="1"/>
      <w:numFmt w:val="bullet"/>
      <w:lvlText w:val="o"/>
      <w:lvlJc w:val="left"/>
      <w:pPr>
        <w:ind w:left="5816" w:hanging="360"/>
      </w:pPr>
      <w:rPr>
        <w:rFonts w:ascii="Courier New" w:hAnsi="Courier New" w:cs="Courier New" w:hint="default"/>
      </w:rPr>
    </w:lvl>
    <w:lvl w:ilvl="8" w:tplc="080C0005" w:tentative="1">
      <w:start w:val="1"/>
      <w:numFmt w:val="bullet"/>
      <w:lvlText w:val=""/>
      <w:lvlJc w:val="left"/>
      <w:pPr>
        <w:ind w:left="6536" w:hanging="360"/>
      </w:pPr>
      <w:rPr>
        <w:rFonts w:ascii="Wingdings" w:hAnsi="Wingdings" w:hint="default"/>
      </w:rPr>
    </w:lvl>
  </w:abstractNum>
  <w:abstractNum w:abstractNumId="5">
    <w:nsid w:val="797D7E9B"/>
    <w:multiLevelType w:val="hybridMultilevel"/>
    <w:tmpl w:val="BC3E4B6A"/>
    <w:lvl w:ilvl="0" w:tplc="30605936">
      <w:start w:val="1"/>
      <mc:AlternateContent>
        <mc:Choice Requires="w14">
          <w:numFmt w:val="custom" w:format="а, й, к, ..."/>
        </mc:Choice>
        <mc:Fallback>
          <w:numFmt w:val="decimal"/>
        </mc:Fallback>
      </mc:AlternateContent>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08AF36-AD13-4AAF-B891-36E67696EDB4"/>
    <w:docVar w:name="LW_COVERPAGE_TYPE" w:val="1"/>
    <w:docVar w:name="LW_CROSSREFERENCE" w:val="&lt;UNUSED&gt;"/>
    <w:docVar w:name="LW_DocType" w:val="NORMAL"/>
    <w:docVar w:name="LW_EMISSION" w:val="30.7.2020"/>
    <w:docVar w:name="LW_EMISSION_ISODATE" w:val="2020-07-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9?\u1098?\u1075?\u1083?\u1072?\u1089?\u1085?\u1086? \u1095?\u1083?\u1077?\u1085? 14, \u1087?\u1072?\u1088?\u1072?\u1075?\u1088?\u1072?\u1092? 3 \u1086?\u1090? \u1056?\u1077?\u1075?\u1083?\u1072?\u1084?\u1077?\u1085?\u1090? (\u1045?\u1057?) 2019/880 \u1085?\u1072? \u1045?\u1074?\u1088?\u1086?\u1087?\u1077?\u1081?\u1089?\u1082?\u1080?\u1103? \u1087?\u1072?\u1088?\u1083?\u1072?\u1084?\u1077?\u1085?\u1090? \u1080? \u1085?\u1072? \u1057?\u1098?\u1074?\u1077?\u1090?\u1072? \u1086?\u1090? 17 \u1072?\u1087?\u1088?\u1080?\u1083? 2019 \u1075?. \u1079?\u1072? \u1074?\u1098?\u1074?\u1077?\u1078?\u1076?\u1072?\u1085?\u1077?\u1090?\u1086? \u1080? \u1074?\u1085?\u1086?\u1089?\u1072? \u1085?\u1072? \u1076?\u1074?\u1080?\u1078?\u1080?\u1084?\u1080? \u1082?\u1091?\u1083?\u1090?\u1091?\u1088?\u1085?\u1080? \u1094?\u1077?\u1085?\u1085?\u1086?\u1089?\u1090?\u1080?&lt;/FMT&gt;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bg-BG"/>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bg-BG"/>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bg-BG"/>
    </w:rPr>
  </w:style>
  <w:style w:type="paragraph" w:styleId="Caption">
    <w:name w:val="caption"/>
    <w:basedOn w:val="Normal"/>
    <w:next w:val="Normal"/>
    <w:autoRedefine/>
    <w:uiPriority w:val="35"/>
    <w:unhideWhenUsed/>
    <w:qFormat/>
    <w:pPr>
      <w:keepNext/>
      <w:keepLines/>
      <w:spacing w:afterLines="120" w:after="288"/>
      <w:jc w:val="left"/>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bg-BG"/>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bg-BG"/>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bg-BG"/>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bg-BG"/>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bg-BG"/>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bg-BG"/>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bg-BG"/>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bg-BG"/>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bg-BG"/>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bg-BG"/>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bg-BG"/>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bg-BG"/>
    </w:rPr>
  </w:style>
  <w:style w:type="paragraph" w:customStyle="1" w:styleId="Normal1">
    <w:name w:val="Normal1"/>
    <w:basedOn w:val="Normal"/>
    <w:pPr>
      <w:spacing w:before="100" w:beforeAutospacing="1" w:after="100" w:afterAutospacing="1"/>
      <w:jc w:val="left"/>
    </w:pPr>
    <w:rPr>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bg-BG"/>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bg-BG"/>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bg-BG"/>
    </w:rPr>
  </w:style>
  <w:style w:type="paragraph" w:styleId="Caption">
    <w:name w:val="caption"/>
    <w:basedOn w:val="Normal"/>
    <w:next w:val="Normal"/>
    <w:autoRedefine/>
    <w:uiPriority w:val="35"/>
    <w:unhideWhenUsed/>
    <w:qFormat/>
    <w:pPr>
      <w:keepNext/>
      <w:keepLines/>
      <w:spacing w:afterLines="120" w:after="288"/>
      <w:jc w:val="left"/>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bg-BG"/>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bg-BG"/>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bg-BG"/>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bg-BG"/>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bg-BG"/>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bg-BG"/>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bg-BG"/>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bg-BG"/>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bg-BG"/>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bg-BG"/>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bg-BG"/>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bg-BG"/>
    </w:rPr>
  </w:style>
  <w:style w:type="paragraph" w:customStyle="1" w:styleId="Normal1">
    <w:name w:val="Normal1"/>
    <w:basedOn w:val="Normal"/>
    <w:pPr>
      <w:spacing w:before="100" w:beforeAutospacing="1" w:after="100" w:afterAutospacing="1"/>
      <w:jc w:val="left"/>
    </w:pPr>
    <w:rPr>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5556001">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093668664">
      <w:bodyDiv w:val="1"/>
      <w:marLeft w:val="0"/>
      <w:marRight w:val="0"/>
      <w:marTop w:val="0"/>
      <w:marBottom w:val="0"/>
      <w:divBdr>
        <w:top w:val="none" w:sz="0" w:space="0" w:color="auto"/>
        <w:left w:val="none" w:sz="0" w:space="0" w:color="auto"/>
        <w:bottom w:val="none" w:sz="0" w:space="0" w:color="auto"/>
        <w:right w:val="none" w:sz="0" w:space="0" w:color="auto"/>
      </w:divBdr>
      <w:divsChild>
        <w:div w:id="938679733">
          <w:marLeft w:val="547"/>
          <w:marRight w:val="0"/>
          <w:marTop w:val="106"/>
          <w:marBottom w:val="0"/>
          <w:divBdr>
            <w:top w:val="none" w:sz="0" w:space="0" w:color="auto"/>
            <w:left w:val="none" w:sz="0" w:space="0" w:color="auto"/>
            <w:bottom w:val="none" w:sz="0" w:space="0" w:color="auto"/>
            <w:right w:val="none" w:sz="0" w:space="0" w:color="auto"/>
          </w:divBdr>
        </w:div>
        <w:div w:id="520509835">
          <w:marLeft w:val="547"/>
          <w:marRight w:val="0"/>
          <w:marTop w:val="106"/>
          <w:marBottom w:val="0"/>
          <w:divBdr>
            <w:top w:val="none" w:sz="0" w:space="0" w:color="auto"/>
            <w:left w:val="none" w:sz="0" w:space="0" w:color="auto"/>
            <w:bottom w:val="none" w:sz="0" w:space="0" w:color="auto"/>
            <w:right w:val="none" w:sz="0" w:space="0" w:color="auto"/>
          </w:divBdr>
        </w:div>
      </w:divsChild>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1387732">
      <w:bodyDiv w:val="1"/>
      <w:marLeft w:val="0"/>
      <w:marRight w:val="0"/>
      <w:marTop w:val="0"/>
      <w:marBottom w:val="0"/>
      <w:divBdr>
        <w:top w:val="none" w:sz="0" w:space="0" w:color="auto"/>
        <w:left w:val="none" w:sz="0" w:space="0" w:color="auto"/>
        <w:bottom w:val="none" w:sz="0" w:space="0" w:color="auto"/>
        <w:right w:val="none" w:sz="0" w:space="0" w:color="auto"/>
      </w:divBdr>
      <w:divsChild>
        <w:div w:id="2016683633">
          <w:marLeft w:val="547"/>
          <w:marRight w:val="0"/>
          <w:marTop w:val="106"/>
          <w:marBottom w:val="0"/>
          <w:divBdr>
            <w:top w:val="none" w:sz="0" w:space="0" w:color="auto"/>
            <w:left w:val="none" w:sz="0" w:space="0" w:color="auto"/>
            <w:bottom w:val="none" w:sz="0" w:space="0" w:color="auto"/>
            <w:right w:val="none" w:sz="0" w:space="0" w:color="auto"/>
          </w:divBdr>
        </w:div>
        <w:div w:id="535851522">
          <w:marLeft w:val="547"/>
          <w:marRight w:val="0"/>
          <w:marTop w:val="106"/>
          <w:marBottom w:val="0"/>
          <w:divBdr>
            <w:top w:val="none" w:sz="0" w:space="0" w:color="auto"/>
            <w:left w:val="none" w:sz="0" w:space="0" w:color="auto"/>
            <w:bottom w:val="none" w:sz="0" w:space="0" w:color="auto"/>
            <w:right w:val="none" w:sz="0" w:space="0" w:color="auto"/>
          </w:divBdr>
        </w:div>
      </w:divsChild>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24248579">
      <w:bodyDiv w:val="1"/>
      <w:marLeft w:val="0"/>
      <w:marRight w:val="0"/>
      <w:marTop w:val="0"/>
      <w:marBottom w:val="0"/>
      <w:divBdr>
        <w:top w:val="none" w:sz="0" w:space="0" w:color="auto"/>
        <w:left w:val="none" w:sz="0" w:space="0" w:color="auto"/>
        <w:bottom w:val="none" w:sz="0" w:space="0" w:color="auto"/>
        <w:right w:val="none" w:sz="0" w:space="0" w:color="auto"/>
      </w:divBdr>
      <w:divsChild>
        <w:div w:id="1860852001">
          <w:marLeft w:val="547"/>
          <w:marRight w:val="0"/>
          <w:marTop w:val="106"/>
          <w:marBottom w:val="0"/>
          <w:divBdr>
            <w:top w:val="none" w:sz="0" w:space="0" w:color="auto"/>
            <w:left w:val="none" w:sz="0" w:space="0" w:color="auto"/>
            <w:bottom w:val="none" w:sz="0" w:space="0" w:color="auto"/>
            <w:right w:val="none" w:sz="0" w:space="0" w:color="auto"/>
          </w:divBdr>
        </w:div>
        <w:div w:id="1412854427">
          <w:marLeft w:val="547"/>
          <w:marRight w:val="0"/>
          <w:marTop w:val="106"/>
          <w:marBottom w:val="0"/>
          <w:divBdr>
            <w:top w:val="none" w:sz="0" w:space="0" w:color="auto"/>
            <w:left w:val="none" w:sz="0" w:space="0" w:color="auto"/>
            <w:bottom w:val="none" w:sz="0" w:space="0" w:color="auto"/>
            <w:right w:val="none" w:sz="0" w:space="0" w:color="auto"/>
          </w:divBdr>
        </w:div>
      </w:divsChild>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axation_customs/sites/taxation/files/2019_masp_annex3_en.pdf." TargetMode="External"/><Relationship Id="rId2" Type="http://schemas.openxmlformats.org/officeDocument/2006/relationships/hyperlink" Target="https://ec.europa.eu/taxation_customs/general-information-customs/electronic-customs_en" TargetMode="External"/><Relationship Id="rId1" Type="http://schemas.openxmlformats.org/officeDocument/2006/relationships/hyperlink" Target="https://ec.europa.eu/taxation_customs/general-information-customs/electronic-customs/eu-single-window-environment-for-customs_en." TargetMode="External"/><Relationship Id="rId5" Type="http://schemas.openxmlformats.org/officeDocument/2006/relationships/hyperlink" Target="https://ec.europa.eu/taxation_customs/sites/taxation/files/2019_masp_annex5_en.pdf." TargetMode="External"/><Relationship Id="rId4" Type="http://schemas.openxmlformats.org/officeDocument/2006/relationships/hyperlink" Target="https://ec.europa.eu/taxation_customs/sites/taxation/files/2019_masp_annex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ADDC396B85D904E92F5615562E9313A" ma:contentTypeVersion="1" ma:contentTypeDescription="Create a new document in this library." ma:contentTypeScope="" ma:versionID="41610979dae67ca59bc7b3201bdf4b2f">
  <xsd:schema xmlns:xsd="http://www.w3.org/2001/XMLSchema" xmlns:xs="http://www.w3.org/2001/XMLSchema" xmlns:p="http://schemas.microsoft.com/office/2006/metadata/properties" xmlns:ns3="ee61229a-0255-4ac7-abd5-704bb744f295" targetNamespace="http://schemas.microsoft.com/office/2006/metadata/properties" ma:root="true" ma:fieldsID="feb4c37c898c22219bb8e4773d7682d8" ns3:_="">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29a-0255-4ac7-abd5-704bb744f2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2.xml><?xml version="1.0" encoding="utf-8"?>
<ds:datastoreItem xmlns:ds="http://schemas.openxmlformats.org/officeDocument/2006/customXml" ds:itemID="{39012EC0-A174-4988-8D5D-D2DDED93842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e61229a-0255-4ac7-abd5-704bb744f29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14EB1-4179-4A85-8B03-80DD5AB1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4434</Words>
  <Characters>25234</Characters>
  <Application>Microsoft Office Word</Application>
  <DocSecurity>0</DocSecurity>
  <Lines>573</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2019-10-30T13:41:00Z</cp:lastPrinted>
  <dcterms:created xsi:type="dcterms:W3CDTF">2020-06-24T15:36:00Z</dcterms:created>
  <dcterms:modified xsi:type="dcterms:W3CDTF">2020-07-23T09:49:00Z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 Build 20190717</vt:lpwstr>
  </property>
  <property fmtid="{D5CDD505-2E9C-101B-9397-08002B2CF9AE}" pid="10" name="Created using">
    <vt:lpwstr>LW 7.0, Build 20190717</vt:lpwstr>
  </property>
  <property fmtid="{D5CDD505-2E9C-101B-9397-08002B2CF9AE}" pid="11" name="_DocHome">
    <vt:i4>1059251394</vt:i4>
  </property>
  <property fmtid="{D5CDD505-2E9C-101B-9397-08002B2CF9AE}" pid="12" name="_LW_INVALIDATED__LW_INVALIDATED__LW_INVALIDATED__LW_INVALIDATED__LW_INVALIDATED__LW_INVALIDATED_ContentTypeId">
    <vt:lpwstr>0x010100258AA79CEB83498886A3A08681123250001ADDC396B85D904E92F5615562E9313A</vt:lpwstr>
  </property>
</Properties>
</file>