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54EFC8F6-524F-4CE9-B25A-6544E6864572" style="width:450.75pt;height:333.75pt">
            <v:imagedata r:id="rId12" o:title=""/>
          </v:shape>
        </w:pict>
      </w:r>
    </w:p>
    <w:p>
      <w:pPr>
        <w:rPr>
          <w:noProof/>
          <w:lang w:val="en-GB"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bookmarkStart w:id="1" w:name="_Hlk516480556"/>
      <w:bookmarkEnd w:id="1"/>
      <w:bookmarkEnd w:id="0"/>
    </w:p>
    <w:bookmarkStart w:id="2" w:name="_GoBack" w:displacedByCustomXml="next"/>
    <w:bookmarkEnd w:id="2" w:displacedByCustomXml="next"/>
    <w:sdt>
      <w:sdtPr>
        <w:rPr>
          <w:rFonts w:ascii="Times New Roman" w:eastAsia="Times New Roman" w:hAnsi="Times New Roman" w:cs="Times New Roman"/>
          <w:noProof/>
          <w:color w:val="auto"/>
          <w:sz w:val="24"/>
          <w:szCs w:val="24"/>
          <w:lang w:val="en-GB"/>
        </w:rPr>
        <w:id w:val="-46372658"/>
        <w:docPartObj>
          <w:docPartGallery w:val="Table of Contents"/>
          <w:docPartUnique/>
        </w:docPartObj>
      </w:sdtPr>
      <w:sdtEndPr>
        <w:rPr>
          <w:b/>
          <w:bCs/>
        </w:rPr>
      </w:sdtEndPr>
      <w:sdtContent>
        <w:p>
          <w:pPr>
            <w:pStyle w:val="TOCHeading"/>
            <w:spacing w:after="120" w:line="240" w:lineRule="auto"/>
            <w:rPr>
              <w:rFonts w:ascii="Times New Roman" w:hAnsi="Times New Roman" w:cs="Times New Roman"/>
              <w:b/>
              <w:noProof/>
              <w:color w:val="auto"/>
              <w:sz w:val="24"/>
              <w:szCs w:val="24"/>
              <w:lang w:val="en-GB"/>
            </w:rPr>
          </w:pPr>
          <w:r>
            <w:rPr>
              <w:rFonts w:ascii="Times New Roman" w:hAnsi="Times New Roman" w:cs="Times New Roman"/>
              <w:b/>
              <w:noProof/>
              <w:color w:val="auto"/>
              <w:sz w:val="24"/>
              <w:szCs w:val="24"/>
              <w:lang w:val="en-GB"/>
            </w:rPr>
            <w:t>Table of Contents</w:t>
          </w:r>
        </w:p>
        <w:p>
          <w:pPr>
            <w:rPr>
              <w:noProof/>
              <w:sz w:val="24"/>
              <w:szCs w:val="24"/>
              <w:lang w:val="en-GB"/>
            </w:rPr>
          </w:pPr>
        </w:p>
        <w:p>
          <w:pPr>
            <w:pStyle w:val="TOC1"/>
            <w:rPr>
              <w:rFonts w:asciiTheme="minorHAnsi" w:eastAsiaTheme="minorEastAsia" w:hAnsiTheme="minorHAnsi" w:cstheme="minorBidi"/>
              <w:noProof/>
              <w:lang w:val="fr-BE" w:eastAsia="fr-BE"/>
            </w:rPr>
          </w:pPr>
          <w:r>
            <w:rPr>
              <w:noProof/>
              <w:sz w:val="24"/>
              <w:szCs w:val="24"/>
              <w:lang w:val="en-GB"/>
            </w:rPr>
            <w:fldChar w:fldCharType="begin"/>
          </w:r>
          <w:r>
            <w:rPr>
              <w:noProof/>
              <w:sz w:val="24"/>
              <w:szCs w:val="24"/>
              <w:lang w:val="en-GB"/>
            </w:rPr>
            <w:instrText xml:space="preserve"> TOC \o "1-3" \h \z \u </w:instrText>
          </w:r>
          <w:r>
            <w:rPr>
              <w:noProof/>
              <w:sz w:val="24"/>
              <w:szCs w:val="24"/>
              <w:lang w:val="en-GB"/>
            </w:rPr>
            <w:fldChar w:fldCharType="separate"/>
          </w:r>
          <w:hyperlink w:anchor="_Toc41655626" w:history="1">
            <w:r>
              <w:rPr>
                <w:rStyle w:val="Hyperlink"/>
                <w:smallCaps/>
                <w:noProof/>
                <w:lang w:val="en-GB"/>
              </w:rPr>
              <w:t>1.</w:t>
            </w:r>
            <w:r>
              <w:rPr>
                <w:rFonts w:asciiTheme="minorHAnsi" w:eastAsiaTheme="minorEastAsia" w:hAnsiTheme="minorHAnsi" w:cstheme="minorBidi"/>
                <w:noProof/>
                <w:lang w:val="fr-BE" w:eastAsia="fr-BE"/>
              </w:rPr>
              <w:tab/>
            </w:r>
            <w:r>
              <w:rPr>
                <w:rStyle w:val="Hyperlink"/>
                <w:smallCaps/>
                <w:noProof/>
                <w:lang w:val="en-GB"/>
              </w:rPr>
              <w:t>INTRODUCTION</w:t>
            </w:r>
            <w:r>
              <w:rPr>
                <w:noProof/>
                <w:webHidden/>
              </w:rPr>
              <w:tab/>
            </w:r>
            <w:r>
              <w:rPr>
                <w:noProof/>
                <w:webHidden/>
              </w:rPr>
              <w:fldChar w:fldCharType="begin"/>
            </w:r>
            <w:r>
              <w:rPr>
                <w:noProof/>
                <w:webHidden/>
              </w:rPr>
              <w:instrText xml:space="preserve"> PAGEREF _Toc41655626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fr-BE" w:eastAsia="fr-BE"/>
            </w:rPr>
          </w:pPr>
          <w:hyperlink w:anchor="_Toc41655627" w:history="1">
            <w:r>
              <w:rPr>
                <w:rStyle w:val="Hyperlink"/>
                <w:smallCaps/>
                <w:noProof/>
                <w:lang w:val="en-GB"/>
              </w:rPr>
              <w:t>2.</w:t>
            </w:r>
            <w:r>
              <w:rPr>
                <w:rFonts w:asciiTheme="minorHAnsi" w:eastAsiaTheme="minorEastAsia" w:hAnsiTheme="minorHAnsi" w:cstheme="minorBidi"/>
                <w:noProof/>
                <w:lang w:val="fr-BE" w:eastAsia="fr-BE"/>
              </w:rPr>
              <w:tab/>
            </w:r>
            <w:r>
              <w:rPr>
                <w:rStyle w:val="Hyperlink"/>
                <w:smallCaps/>
                <w:noProof/>
                <w:lang w:val="en-GB"/>
              </w:rPr>
              <w:t>OBJECTIVES TO BE MET</w:t>
            </w:r>
            <w:r>
              <w:rPr>
                <w:noProof/>
                <w:webHidden/>
              </w:rPr>
              <w:tab/>
            </w:r>
            <w:r>
              <w:rPr>
                <w:noProof/>
                <w:webHidden/>
              </w:rPr>
              <w:fldChar w:fldCharType="begin"/>
            </w:r>
            <w:r>
              <w:rPr>
                <w:noProof/>
                <w:webHidden/>
              </w:rPr>
              <w:instrText xml:space="preserve"> PAGEREF _Toc41655627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fr-BE" w:eastAsia="fr-BE"/>
            </w:rPr>
          </w:pPr>
          <w:hyperlink w:anchor="_Toc41655628" w:history="1">
            <w:r>
              <w:rPr>
                <w:rStyle w:val="Hyperlink"/>
                <w:smallCaps/>
                <w:noProof/>
                <w:lang w:val="en-GB"/>
              </w:rPr>
              <w:t>3.</w:t>
            </w:r>
            <w:r>
              <w:rPr>
                <w:rFonts w:asciiTheme="minorHAnsi" w:eastAsiaTheme="minorEastAsia" w:hAnsiTheme="minorHAnsi" w:cstheme="minorBidi"/>
                <w:noProof/>
                <w:lang w:val="fr-BE" w:eastAsia="fr-BE"/>
              </w:rPr>
              <w:tab/>
            </w:r>
            <w:r>
              <w:rPr>
                <w:rStyle w:val="Hyperlink"/>
                <w:smallCaps/>
                <w:noProof/>
                <w:lang w:val="en-GB"/>
              </w:rPr>
              <w:t>PROJECT ARCHITECTURE AND PLANNING APPROACH</w:t>
            </w:r>
            <w:r>
              <w:rPr>
                <w:noProof/>
                <w:webHidden/>
              </w:rPr>
              <w:tab/>
            </w:r>
            <w:r>
              <w:rPr>
                <w:noProof/>
                <w:webHidden/>
              </w:rPr>
              <w:fldChar w:fldCharType="begin"/>
            </w:r>
            <w:r>
              <w:rPr>
                <w:noProof/>
                <w:webHidden/>
              </w:rPr>
              <w:instrText xml:space="preserve"> PAGEREF _Toc41655628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lang w:val="fr-BE" w:eastAsia="fr-BE"/>
            </w:rPr>
          </w:pPr>
          <w:hyperlink w:anchor="_Toc41655629" w:history="1">
            <w:r>
              <w:rPr>
                <w:rStyle w:val="Hyperlink"/>
                <w:smallCaps/>
                <w:noProof/>
                <w:lang w:val="en-GB"/>
              </w:rPr>
              <w:t>4.</w:t>
            </w:r>
            <w:r>
              <w:rPr>
                <w:rFonts w:asciiTheme="minorHAnsi" w:eastAsiaTheme="minorEastAsia" w:hAnsiTheme="minorHAnsi" w:cstheme="minorBidi"/>
                <w:noProof/>
                <w:lang w:val="fr-BE" w:eastAsia="fr-BE"/>
              </w:rPr>
              <w:tab/>
            </w:r>
            <w:r>
              <w:rPr>
                <w:rStyle w:val="Hyperlink"/>
                <w:smallCaps/>
                <w:noProof/>
                <w:lang w:val="en-GB"/>
              </w:rPr>
              <w:t>PROGRESS Overview</w:t>
            </w:r>
            <w:r>
              <w:rPr>
                <w:noProof/>
                <w:webHidden/>
              </w:rPr>
              <w:tab/>
            </w:r>
            <w:r>
              <w:rPr>
                <w:noProof/>
                <w:webHidden/>
              </w:rPr>
              <w:fldChar w:fldCharType="begin"/>
            </w:r>
            <w:r>
              <w:rPr>
                <w:noProof/>
                <w:webHidden/>
              </w:rPr>
              <w:instrText xml:space="preserve"> PAGEREF _Toc41655629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lang w:val="fr-BE" w:eastAsia="fr-BE"/>
            </w:rPr>
          </w:pPr>
          <w:hyperlink w:anchor="_Toc41655630" w:history="1">
            <w:r>
              <w:rPr>
                <w:rStyle w:val="Hyperlink"/>
                <w:smallCaps/>
                <w:noProof/>
                <w:lang w:val="en-GB"/>
              </w:rPr>
              <w:t>5.</w:t>
            </w:r>
            <w:r>
              <w:rPr>
                <w:rFonts w:asciiTheme="minorHAnsi" w:eastAsiaTheme="minorEastAsia" w:hAnsiTheme="minorHAnsi" w:cstheme="minorBidi"/>
                <w:noProof/>
                <w:lang w:val="fr-BE" w:eastAsia="fr-BE"/>
              </w:rPr>
              <w:tab/>
            </w:r>
            <w:r>
              <w:rPr>
                <w:rStyle w:val="Hyperlink"/>
                <w:smallCaps/>
                <w:noProof/>
                <w:lang w:val="en-GB"/>
              </w:rPr>
              <w:t>RISKS FOR DELAYS</w:t>
            </w:r>
            <w:r>
              <w:rPr>
                <w:noProof/>
                <w:webHidden/>
              </w:rPr>
              <w:tab/>
            </w:r>
            <w:r>
              <w:rPr>
                <w:noProof/>
                <w:webHidden/>
              </w:rPr>
              <w:fldChar w:fldCharType="begin"/>
            </w:r>
            <w:r>
              <w:rPr>
                <w:noProof/>
                <w:webHidden/>
              </w:rPr>
              <w:instrText xml:space="preserve"> PAGEREF _Toc41655630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lang w:val="fr-BE" w:eastAsia="fr-BE"/>
            </w:rPr>
          </w:pPr>
          <w:hyperlink w:anchor="_Toc41655631" w:history="1">
            <w:r>
              <w:rPr>
                <w:rStyle w:val="Hyperlink"/>
                <w:smallCaps/>
                <w:noProof/>
                <w:lang w:val="en-GB"/>
              </w:rPr>
              <w:t>6.</w:t>
            </w:r>
            <w:r>
              <w:rPr>
                <w:rFonts w:asciiTheme="minorHAnsi" w:eastAsiaTheme="minorEastAsia" w:hAnsiTheme="minorHAnsi" w:cstheme="minorBidi"/>
                <w:noProof/>
                <w:lang w:val="fr-BE" w:eastAsia="fr-BE"/>
              </w:rPr>
              <w:tab/>
            </w:r>
            <w:r>
              <w:rPr>
                <w:rStyle w:val="Hyperlink"/>
                <w:smallCaps/>
                <w:noProof/>
                <w:lang w:val="en-GB"/>
              </w:rPr>
              <w:t>CONCLUSIONS</w:t>
            </w:r>
            <w:r>
              <w:rPr>
                <w:noProof/>
                <w:webHidden/>
              </w:rPr>
              <w:tab/>
            </w:r>
            <w:r>
              <w:rPr>
                <w:noProof/>
                <w:webHidden/>
              </w:rPr>
              <w:fldChar w:fldCharType="begin"/>
            </w:r>
            <w:r>
              <w:rPr>
                <w:noProof/>
                <w:webHidden/>
              </w:rPr>
              <w:instrText xml:space="preserve"> PAGEREF _Toc41655631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lang w:val="fr-BE" w:eastAsia="fr-BE"/>
            </w:rPr>
          </w:pPr>
          <w:hyperlink w:anchor="_Toc41655632" w:history="1">
            <w:r>
              <w:rPr>
                <w:rStyle w:val="Hyperlink"/>
                <w:noProof/>
              </w:rPr>
              <w:t>Annex I: Multi annual strategic planning</w:t>
            </w:r>
            <w:r>
              <w:rPr>
                <w:noProof/>
                <w:webHidden/>
              </w:rPr>
              <w:tab/>
            </w:r>
            <w:r>
              <w:rPr>
                <w:noProof/>
                <w:webHidden/>
              </w:rPr>
              <w:fldChar w:fldCharType="begin"/>
            </w:r>
            <w:r>
              <w:rPr>
                <w:noProof/>
                <w:webHidden/>
              </w:rPr>
              <w:instrText xml:space="preserve"> PAGEREF _Toc41655632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lang w:val="fr-BE" w:eastAsia="fr-BE"/>
            </w:rPr>
          </w:pPr>
          <w:hyperlink w:anchor="_Toc41655633" w:history="1">
            <w:r>
              <w:rPr>
                <w:rStyle w:val="Hyperlink"/>
                <w:noProof/>
              </w:rPr>
              <w:t>Annex II: Main project phases and critical milestones timeline</w:t>
            </w:r>
            <w:r>
              <w:rPr>
                <w:noProof/>
                <w:webHidden/>
              </w:rPr>
              <w:tab/>
            </w:r>
            <w:r>
              <w:rPr>
                <w:noProof/>
                <w:webHidden/>
              </w:rPr>
              <w:fldChar w:fldCharType="begin"/>
            </w:r>
            <w:r>
              <w:rPr>
                <w:noProof/>
                <w:webHidden/>
              </w:rPr>
              <w:instrText xml:space="preserve"> PAGEREF _Toc41655633 \h </w:instrText>
            </w:r>
            <w:r>
              <w:rPr>
                <w:noProof/>
                <w:webHidden/>
              </w:rPr>
            </w:r>
            <w:r>
              <w:rPr>
                <w:noProof/>
                <w:webHidden/>
              </w:rPr>
              <w:fldChar w:fldCharType="separate"/>
            </w:r>
            <w:r>
              <w:rPr>
                <w:noProof/>
                <w:webHidden/>
              </w:rPr>
              <w:t>11</w:t>
            </w:r>
            <w:r>
              <w:rPr>
                <w:noProof/>
                <w:webHidden/>
              </w:rPr>
              <w:fldChar w:fldCharType="end"/>
            </w:r>
          </w:hyperlink>
        </w:p>
        <w:p>
          <w:pPr>
            <w:rPr>
              <w:noProof/>
              <w:sz w:val="24"/>
              <w:szCs w:val="24"/>
              <w:lang w:val="en-GB"/>
            </w:rPr>
          </w:pPr>
          <w:r>
            <w:rPr>
              <w:b/>
              <w:bCs/>
              <w:noProof/>
              <w:sz w:val="24"/>
              <w:szCs w:val="24"/>
              <w:lang w:val="en-GB"/>
            </w:rPr>
            <w:fldChar w:fldCharType="end"/>
          </w:r>
        </w:p>
      </w:sdtContent>
    </w:sdt>
    <w:p>
      <w:pPr>
        <w:jc w:val="left"/>
        <w:rPr>
          <w:rFonts w:eastAsiaTheme="majorEastAsia"/>
          <w:b/>
          <w:noProof/>
          <w:sz w:val="24"/>
          <w:szCs w:val="24"/>
          <w:lang w:val="en-GB"/>
        </w:rPr>
      </w:pPr>
      <w:r>
        <w:rPr>
          <w:b/>
          <w:noProof/>
          <w:sz w:val="24"/>
          <w:szCs w:val="24"/>
          <w:lang w:val="en-GB"/>
        </w:rPr>
        <w:br w:type="page"/>
      </w:r>
    </w:p>
    <w:p>
      <w:pPr>
        <w:pStyle w:val="Heading1"/>
        <w:keepLines w:val="0"/>
        <w:numPr>
          <w:ilvl w:val="0"/>
          <w:numId w:val="2"/>
        </w:numPr>
        <w:spacing w:after="120"/>
        <w:ind w:left="432" w:hanging="432"/>
        <w:rPr>
          <w:rFonts w:ascii="Times New Roman" w:eastAsia="Times New Roman" w:hAnsi="Times New Roman" w:cs="Times New Roman"/>
          <w:smallCaps/>
          <w:noProof/>
          <w:szCs w:val="24"/>
          <w:lang w:val="en-GB"/>
        </w:rPr>
      </w:pPr>
      <w:bookmarkStart w:id="3" w:name="_Toc41655626"/>
      <w:r>
        <w:rPr>
          <w:rFonts w:ascii="Times New Roman" w:eastAsia="Times New Roman" w:hAnsi="Times New Roman" w:cs="Times New Roman"/>
          <w:smallCaps/>
          <w:noProof/>
          <w:szCs w:val="24"/>
          <w:lang w:val="en-GB"/>
        </w:rPr>
        <w:t>INTRODUCTION</w:t>
      </w:r>
      <w:bookmarkEnd w:id="3"/>
    </w:p>
    <w:p>
      <w:pPr>
        <w:pStyle w:val="Default"/>
        <w:spacing w:after="120"/>
        <w:jc w:val="both"/>
        <w:rPr>
          <w:noProof/>
          <w:color w:val="auto"/>
          <w:lang w:val="en-GB"/>
        </w:rPr>
      </w:pPr>
      <w:r>
        <w:rPr>
          <w:noProof/>
          <w:color w:val="auto"/>
          <w:lang w:val="en-GB"/>
        </w:rPr>
        <w:t>Regulation (EU) 2019/880 of the European Parliament and of the Council of 17 April 2019</w:t>
      </w:r>
      <w:r>
        <w:rPr>
          <w:rStyle w:val="FootnoteReference"/>
          <w:noProof/>
          <w:color w:val="auto"/>
          <w:lang w:val="en-GB"/>
        </w:rPr>
        <w:footnoteReference w:id="2"/>
      </w:r>
      <w:r>
        <w:rPr>
          <w:noProof/>
          <w:color w:val="auto"/>
          <w:lang w:val="en-GB"/>
        </w:rPr>
        <w:t xml:space="preserve"> on the introduction and the import of cultural goods (“the Regulation”) aims to prevent the illicit trade in cultural goods, in particular when it contributes to the financing of terrorist activities, and to prohibit the import into the Union customs territory of cultural goods exported illegally from third countries. </w:t>
      </w:r>
    </w:p>
    <w:p>
      <w:pPr>
        <w:pStyle w:val="Default"/>
        <w:spacing w:after="120"/>
        <w:jc w:val="both"/>
        <w:rPr>
          <w:noProof/>
          <w:color w:val="auto"/>
          <w:lang w:val="en-GB"/>
        </w:rPr>
      </w:pPr>
      <w:r>
        <w:rPr>
          <w:noProof/>
          <w:color w:val="auto"/>
          <w:lang w:val="en-GB"/>
        </w:rPr>
        <w:t xml:space="preserve">The Regulation subjects the import of certain cultural goods, considered to be particularly endangered heritage, to import licences and others, which are considered as less endangered, to importer statements and ensures that they undergo uniform controls when imported into the Union. Furthermore, any physical introduction, for instance, through transit, into the Union of cultural goods which have been removed from the territory of the third country where they were created or discovered in breach of its laws and regulations is prohibited (the so-called ‘general prohibition rule’). </w:t>
      </w:r>
    </w:p>
    <w:p>
      <w:pPr>
        <w:pStyle w:val="Default"/>
        <w:spacing w:after="120"/>
        <w:jc w:val="both"/>
        <w:rPr>
          <w:noProof/>
          <w:color w:val="auto"/>
          <w:lang w:val="en-GB"/>
        </w:rPr>
      </w:pPr>
      <w:r>
        <w:rPr>
          <w:noProof/>
          <w:color w:val="auto"/>
          <w:lang w:val="en-GB"/>
        </w:rPr>
        <w:t>The material scope of the Regulation is inspired by the 1970 UNESCO Convention</w:t>
      </w:r>
      <w:r>
        <w:rPr>
          <w:rStyle w:val="FootnoteReference"/>
          <w:noProof/>
          <w:color w:val="auto"/>
          <w:lang w:val="en-GB"/>
        </w:rPr>
        <w:footnoteReference w:id="3"/>
      </w:r>
      <w:r>
        <w:rPr>
          <w:noProof/>
          <w:color w:val="auto"/>
          <w:lang w:val="en-GB"/>
        </w:rPr>
        <w:t xml:space="preserve"> and defined in its Annex, by listing the categories of cultural goods for which the general prohibition rule applies (part A), and those which are subject to import licences (part B) and importer statements (part C), respectively.</w:t>
      </w:r>
    </w:p>
    <w:p>
      <w:pPr>
        <w:pStyle w:val="Default"/>
        <w:spacing w:after="120"/>
        <w:jc w:val="both"/>
        <w:rPr>
          <w:noProof/>
          <w:color w:val="auto"/>
          <w:lang w:val="en-GB"/>
        </w:rPr>
      </w:pPr>
      <w:r>
        <w:rPr>
          <w:noProof/>
          <w:color w:val="auto"/>
          <w:lang w:val="en-GB"/>
        </w:rPr>
        <w:t xml:space="preserve">The Commission’s original proposal provided for the possibility - without prescribing a specific timeframe - for an electronic system to be developed, in order to facilitate the administrative co-operation between the Member State authorities in charge of implementing the Regulation. However, following the request of the European Parliament and of the Council during the adoption negotiations, an obligation for the Commission to establish a centralised electronic system within a specific timeframe was introduced in the Regulation. </w:t>
      </w:r>
    </w:p>
    <w:p>
      <w:pPr>
        <w:pStyle w:val="Default"/>
        <w:spacing w:after="120"/>
        <w:jc w:val="both"/>
        <w:rPr>
          <w:noProof/>
          <w:color w:val="auto"/>
          <w:lang w:val="en-GB"/>
        </w:rPr>
      </w:pPr>
      <w:r>
        <w:rPr>
          <w:noProof/>
          <w:color w:val="auto"/>
          <w:lang w:val="en-GB"/>
        </w:rPr>
        <w:t xml:space="preserve">The centralised electronic system is to become operational at the latest within a period of six years from the entry into force of the Regulation (28.06.2019), i.e. by 28 June 2025 at the latest. Furthermore, the system will not only serve as a means for the storage and the exchange of information between Member States administrations, but also for the accomplishment of formalities by operators, namely the submission of applications for import licences to the Member States competent authorities and the issue of those licences, and the submission of importer statements to customs. </w:t>
      </w:r>
    </w:p>
    <w:p>
      <w:pPr>
        <w:pStyle w:val="Default"/>
        <w:spacing w:after="120"/>
        <w:jc w:val="both"/>
        <w:rPr>
          <w:noProof/>
          <w:color w:val="auto"/>
          <w:lang w:val="en-GB"/>
        </w:rPr>
      </w:pPr>
      <w:r>
        <w:rPr>
          <w:noProof/>
          <w:color w:val="auto"/>
          <w:lang w:val="en-GB"/>
        </w:rPr>
        <w:t>Moreover, the development and functioning of the centralised electronic system for the import of cultural goods (hereafter ‘the ICG system’) is closely linked with another major initiative of the Commission in the field of customs: the EU Single Window Certificate Exchange System (EU-CSW CERTEX)</w:t>
      </w:r>
      <w:r>
        <w:rPr>
          <w:rStyle w:val="FootnoteReference"/>
          <w:noProof/>
          <w:color w:val="auto"/>
          <w:lang w:val="en-GB"/>
        </w:rPr>
        <w:footnoteReference w:id="4"/>
      </w:r>
      <w:r>
        <w:rPr>
          <w:noProof/>
          <w:color w:val="auto"/>
          <w:lang w:val="en-GB"/>
        </w:rPr>
        <w:t xml:space="preserve">. </w:t>
      </w:r>
    </w:p>
    <w:p>
      <w:pPr>
        <w:pStyle w:val="Default"/>
        <w:spacing w:after="120"/>
        <w:jc w:val="both"/>
        <w:rPr>
          <w:noProof/>
          <w:color w:val="auto"/>
          <w:lang w:val="en-GB"/>
        </w:rPr>
      </w:pPr>
      <w:r>
        <w:rPr>
          <w:noProof/>
          <w:color w:val="auto"/>
          <w:lang w:val="en-GB"/>
        </w:rPr>
        <w:t>The EU-CSW CERTEX aims at interconnecting EU centralised systems for Union non-customs formalities, with national customs systems in view of allowing a digital exchange of supporting documents, results of controls and the outcome of customs and non-customs procedures. Operators will benefit from this mechanism by not having to carry physical copies of documents, and competent authorities will not have to deal with verifying the authenticity of importer statements and import licences.</w:t>
      </w:r>
    </w:p>
    <w:p>
      <w:pPr>
        <w:pStyle w:val="Default"/>
        <w:spacing w:after="120"/>
        <w:jc w:val="both"/>
        <w:rPr>
          <w:noProof/>
          <w:color w:val="auto"/>
          <w:lang w:val="en-GB"/>
        </w:rPr>
      </w:pPr>
      <w:r>
        <w:rPr>
          <w:noProof/>
          <w:color w:val="auto"/>
          <w:lang w:val="en-GB"/>
        </w:rPr>
        <w:t>To achieve these objectives, the Regulation requires the European Commission to lay down by means of implementing provisions the arrangements for the deployment, operation and maintenance of the centralised electronic ICG system, as well as the detailed rules regarding the submission, processing, storage and exchange of information between the authorities of the Member States through the same electronic system.</w:t>
      </w:r>
    </w:p>
    <w:p>
      <w:pPr>
        <w:pStyle w:val="Default"/>
        <w:spacing w:after="120"/>
        <w:jc w:val="both"/>
        <w:rPr>
          <w:noProof/>
          <w:color w:val="auto"/>
          <w:lang w:val="en-GB"/>
        </w:rPr>
      </w:pPr>
      <w:r>
        <w:rPr>
          <w:noProof/>
          <w:color w:val="auto"/>
          <w:lang w:val="en-GB"/>
        </w:rPr>
        <w:t>Despite of the project progressing on several levels at the same time, it can be figuratively divided into three phases:</w:t>
      </w:r>
    </w:p>
    <w:p>
      <w:pPr>
        <w:pStyle w:val="Default"/>
        <w:numPr>
          <w:ilvl w:val="0"/>
          <w:numId w:val="44"/>
        </w:numPr>
        <w:spacing w:after="120"/>
        <w:ind w:left="426"/>
        <w:jc w:val="both"/>
        <w:rPr>
          <w:noProof/>
          <w:color w:val="auto"/>
          <w:lang w:val="en-GB"/>
        </w:rPr>
      </w:pPr>
      <w:r>
        <w:rPr>
          <w:b/>
          <w:noProof/>
          <w:color w:val="auto"/>
          <w:lang w:val="en-GB"/>
        </w:rPr>
        <w:t xml:space="preserve">Phase 1 – Conceptualisation: </w:t>
      </w:r>
      <w:r>
        <w:rPr>
          <w:noProof/>
          <w:color w:val="auto"/>
          <w:lang w:val="en-GB"/>
        </w:rPr>
        <w:t>in this phase the Commission has to study how the ICG system is going to work, and determine the detailed rules regarding the submission, processing and storage of the information between the authorities of the Member States. As a result of this phase, the Commission will produce an implementing act and a parallel set of technical documents detailed in Table 1 (see Annex I);</w:t>
      </w:r>
    </w:p>
    <w:p>
      <w:pPr>
        <w:pStyle w:val="Default"/>
        <w:numPr>
          <w:ilvl w:val="0"/>
          <w:numId w:val="44"/>
        </w:numPr>
        <w:spacing w:after="120"/>
        <w:ind w:left="426"/>
        <w:jc w:val="both"/>
        <w:rPr>
          <w:noProof/>
          <w:color w:val="auto"/>
          <w:lang w:val="en-GB"/>
        </w:rPr>
      </w:pPr>
      <w:r>
        <w:rPr>
          <w:b/>
          <w:noProof/>
          <w:color w:val="auto"/>
          <w:lang w:val="en-GB"/>
        </w:rPr>
        <w:t>Phase 2 –</w:t>
      </w:r>
      <w:r>
        <w:rPr>
          <w:noProof/>
          <w:color w:val="auto"/>
          <w:lang w:val="en-GB"/>
        </w:rPr>
        <w:t xml:space="preserve"> </w:t>
      </w:r>
      <w:r>
        <w:rPr>
          <w:b/>
          <w:noProof/>
          <w:color w:val="auto"/>
          <w:lang w:val="en-GB"/>
        </w:rPr>
        <w:t>System development:</w:t>
      </w:r>
      <w:r>
        <w:rPr>
          <w:noProof/>
          <w:color w:val="auto"/>
          <w:lang w:val="en-GB"/>
        </w:rPr>
        <w:t xml:space="preserve"> following the provisions of the implementing act and the technical documents describing the system requirements, the Commission has to produce detailed technical system specifications, develop the ICG system and its link with the EU Customs Single Window Certificates Exchange System (EU-CSW CERTEX);</w:t>
      </w:r>
    </w:p>
    <w:p>
      <w:pPr>
        <w:pStyle w:val="Default"/>
        <w:numPr>
          <w:ilvl w:val="0"/>
          <w:numId w:val="44"/>
        </w:numPr>
        <w:spacing w:after="120"/>
        <w:ind w:left="426"/>
        <w:jc w:val="both"/>
        <w:rPr>
          <w:noProof/>
          <w:color w:val="auto"/>
          <w:lang w:val="en-GB"/>
        </w:rPr>
      </w:pPr>
      <w:r>
        <w:rPr>
          <w:b/>
          <w:noProof/>
          <w:color w:val="auto"/>
          <w:lang w:val="en-GB"/>
        </w:rPr>
        <w:t>Phase 3 –</w:t>
      </w:r>
      <w:r>
        <w:rPr>
          <w:noProof/>
          <w:color w:val="auto"/>
          <w:lang w:val="en-GB"/>
        </w:rPr>
        <w:t xml:space="preserve"> </w:t>
      </w:r>
      <w:r>
        <w:rPr>
          <w:b/>
          <w:noProof/>
          <w:color w:val="auto"/>
          <w:lang w:val="en-GB"/>
        </w:rPr>
        <w:t xml:space="preserve">Deployment and Operations: </w:t>
      </w:r>
      <w:r>
        <w:rPr>
          <w:noProof/>
          <w:color w:val="auto"/>
          <w:lang w:val="en-GB"/>
        </w:rPr>
        <w:t>this last phase consists in the deployment and test of the ICG system, including specific training activities in each Member State to ensure that by 28 June 2025, operators and competent authorities are capable and well trained in the use of the system. To this phase will follow a 6 months after-care period, in which the system will be fine-tuned to match any operational need that may become evident only after an IT system becomes mandatory, and to ensure that operations are running smoothly.</w:t>
      </w:r>
    </w:p>
    <w:p>
      <w:pPr>
        <w:pStyle w:val="Default"/>
        <w:spacing w:after="120"/>
        <w:jc w:val="both"/>
        <w:rPr>
          <w:noProof/>
          <w:color w:val="auto"/>
          <w:lang w:val="en-GB"/>
        </w:rPr>
      </w:pPr>
      <w:r>
        <w:rPr>
          <w:noProof/>
          <w:color w:val="auto"/>
          <w:lang w:val="en-GB"/>
        </w:rPr>
        <w:t>The Regulation provides that by 28 June 2020 and every 12 months until the electronic system becomes operational, the European Commission is to present a report to the European Parliament and to the Council on the progress made in adopting the relevant implementing provisions and establishing the electronic system.</w:t>
      </w:r>
    </w:p>
    <w:p>
      <w:pPr>
        <w:pStyle w:val="Default"/>
        <w:spacing w:after="120"/>
        <w:jc w:val="both"/>
        <w:rPr>
          <w:b/>
          <w:noProof/>
          <w:color w:val="auto"/>
          <w:lang w:val="en-GB"/>
        </w:rPr>
      </w:pPr>
      <w:r>
        <w:rPr>
          <w:noProof/>
          <w:color w:val="auto"/>
          <w:lang w:val="en-GB"/>
        </w:rPr>
        <w:t xml:space="preserve">This first annual progress report focuses mainly on Phase 1, and describes the developments during the first year after the Regulation entered into force. </w:t>
      </w:r>
      <w:r>
        <w:rPr>
          <w:b/>
          <w:noProof/>
          <w:color w:val="auto"/>
          <w:lang w:val="en-GB"/>
        </w:rPr>
        <w:t xml:space="preserve">It analyses the progress made, outlining also the objectives to be met, the project architecture and the planning approach. On that basis, it highlights the risks for potential delays, as well as the mitigating measures envisaged. </w:t>
      </w:r>
    </w:p>
    <w:p>
      <w:pPr>
        <w:spacing w:after="240"/>
        <w:rPr>
          <w:b/>
          <w:noProof/>
          <w:sz w:val="24"/>
          <w:szCs w:val="24"/>
          <w:lang w:val="en-GB"/>
        </w:rPr>
      </w:pPr>
      <w:r>
        <w:rPr>
          <w:b/>
          <w:noProof/>
          <w:sz w:val="24"/>
          <w:szCs w:val="24"/>
          <w:lang w:val="en-GB"/>
        </w:rPr>
        <w:t xml:space="preserve">The overall assessment of the progress made is summarised in the conclusions section of this report. </w:t>
      </w:r>
    </w:p>
    <w:p>
      <w:pPr>
        <w:pStyle w:val="Heading1"/>
        <w:keepLines w:val="0"/>
        <w:numPr>
          <w:ilvl w:val="0"/>
          <w:numId w:val="2"/>
        </w:numPr>
        <w:spacing w:after="120"/>
        <w:ind w:left="432" w:hanging="432"/>
        <w:rPr>
          <w:rFonts w:ascii="Times New Roman" w:eastAsia="Times New Roman" w:hAnsi="Times New Roman" w:cs="Times New Roman"/>
          <w:smallCaps/>
          <w:noProof/>
          <w:szCs w:val="24"/>
          <w:lang w:val="en-GB"/>
        </w:rPr>
      </w:pPr>
      <w:bookmarkStart w:id="4" w:name="_Toc41655627"/>
      <w:r>
        <w:rPr>
          <w:rFonts w:ascii="Times New Roman" w:eastAsia="Times New Roman" w:hAnsi="Times New Roman" w:cs="Times New Roman"/>
          <w:smallCaps/>
          <w:noProof/>
          <w:szCs w:val="24"/>
          <w:lang w:val="en-GB"/>
        </w:rPr>
        <w:t>OBJECTIVES TO BE MET</w:t>
      </w:r>
      <w:bookmarkEnd w:id="4"/>
    </w:p>
    <w:p>
      <w:pPr>
        <w:pStyle w:val="Default"/>
        <w:spacing w:after="120"/>
        <w:jc w:val="both"/>
        <w:rPr>
          <w:noProof/>
          <w:color w:val="auto"/>
          <w:lang w:val="en-GB"/>
        </w:rPr>
      </w:pPr>
      <w:r>
        <w:rPr>
          <w:noProof/>
          <w:color w:val="auto"/>
          <w:lang w:val="en-GB"/>
        </w:rPr>
        <w:t>The electronic system will have to become operational by 28 June 2025 at the latest, as on that date it will become mandatory for all operators to obtain import licences or submit importer statements through that electronic system, in order for them to be able to import</w:t>
      </w:r>
      <w:r>
        <w:rPr>
          <w:rStyle w:val="FootnoteReference"/>
          <w:noProof/>
          <w:color w:val="auto"/>
          <w:lang w:val="en-GB"/>
        </w:rPr>
        <w:footnoteReference w:id="5"/>
      </w:r>
      <w:r>
        <w:rPr>
          <w:noProof/>
          <w:color w:val="auto"/>
          <w:lang w:val="en-GB"/>
        </w:rPr>
        <w:t xml:space="preserve"> cultural goods legally into the Union. </w:t>
      </w:r>
    </w:p>
    <w:p>
      <w:pPr>
        <w:pStyle w:val="Default"/>
        <w:spacing w:after="120"/>
        <w:jc w:val="both"/>
        <w:rPr>
          <w:noProof/>
          <w:color w:val="auto"/>
          <w:lang w:val="en-GB"/>
        </w:rPr>
      </w:pPr>
      <w:r>
        <w:rPr>
          <w:noProof/>
          <w:color w:val="auto"/>
          <w:lang w:val="en-GB"/>
        </w:rPr>
        <w:t xml:space="preserve">The Regulation entered into force on 28 June 2019 and has set a final deadline of 28 June 2021 for the adoption via the examination procedure of implementing provisions laying down the detailed rules for the electronic system. </w:t>
      </w:r>
    </w:p>
    <w:p>
      <w:pPr>
        <w:pStyle w:val="Default"/>
        <w:spacing w:after="120"/>
        <w:jc w:val="both"/>
        <w:rPr>
          <w:noProof/>
          <w:color w:val="auto"/>
          <w:lang w:val="en-GB"/>
        </w:rPr>
      </w:pPr>
      <w:r>
        <w:rPr>
          <w:noProof/>
          <w:color w:val="auto"/>
          <w:lang w:val="en-GB"/>
        </w:rPr>
        <w:t xml:space="preserve">Following the adoption of the implementing provisions, the development phase of the electronic system will cover about two years, at the end of which, the third phase will start, during which the ICG system will be interconnected to the EU-CSW CERTEX, to allow the exchange of documents with Member States’ customs systems. Training sessions will be organised to familiarise their administrations with the systems operational functionalities. </w:t>
      </w:r>
    </w:p>
    <w:p>
      <w:pPr>
        <w:pStyle w:val="Default"/>
        <w:spacing w:after="120"/>
        <w:jc w:val="both"/>
        <w:rPr>
          <w:noProof/>
          <w:color w:val="auto"/>
          <w:lang w:val="en-GB"/>
        </w:rPr>
      </w:pPr>
      <w:r>
        <w:rPr>
          <w:noProof/>
          <w:color w:val="auto"/>
          <w:lang w:val="en-GB"/>
        </w:rPr>
        <w:t>Alongside other activities of the Commission in the field of customs, the project on the import of cultural goods is also planned in detail through the Multiannual Strategic Plan for electronic Customs 2019 revision</w:t>
      </w:r>
      <w:r>
        <w:rPr>
          <w:rStyle w:val="FootnoteReference"/>
          <w:noProof/>
          <w:color w:val="auto"/>
          <w:lang w:val="en-GB"/>
        </w:rPr>
        <w:footnoteReference w:id="6"/>
      </w:r>
      <w:r>
        <w:rPr>
          <w:noProof/>
          <w:color w:val="auto"/>
          <w:lang w:val="en-GB"/>
        </w:rPr>
        <w:t xml:space="preserve"> (MASP-C rev. 2019). The MASP-C is a management and planning instrument, based on existing legislation or international agreements, which is drawn up by the Commission in partnership with Member States in accordance with Article 8(2) of the e-Customs Decision</w:t>
      </w:r>
      <w:r>
        <w:rPr>
          <w:rStyle w:val="FootnoteReference"/>
          <w:noProof/>
          <w:color w:val="auto"/>
          <w:lang w:val="en-GB"/>
        </w:rPr>
        <w:footnoteReference w:id="7"/>
      </w:r>
      <w:r>
        <w:rPr>
          <w:noProof/>
          <w:color w:val="auto"/>
          <w:lang w:val="en-GB"/>
        </w:rPr>
        <w:t>. An excerpt of the planning of the project on the import of cultural goods from MASP-C rev. 2019 is provided in Annex I to this report.</w:t>
      </w:r>
    </w:p>
    <w:p>
      <w:pPr>
        <w:pStyle w:val="Default"/>
        <w:spacing w:after="120"/>
        <w:jc w:val="both"/>
        <w:rPr>
          <w:noProof/>
          <w:color w:val="auto"/>
          <w:lang w:val="en-GB"/>
        </w:rPr>
      </w:pPr>
      <w:r>
        <w:rPr>
          <w:noProof/>
          <w:color w:val="auto"/>
          <w:lang w:val="en-GB"/>
        </w:rPr>
        <w:t>Part of the project on the import of cultural goods is developed also within the EU Single Window Environment for Customs (MASP-C rev 2019 Fiche 1.13) of which EU CSW-CERTEX is the key IT system. An excerpt of the planning of EU CSW-CERTEX from MASP-C Fiche 1.13 is provided in Annex I to this report.</w:t>
      </w:r>
    </w:p>
    <w:p>
      <w:pPr>
        <w:pStyle w:val="Default"/>
        <w:spacing w:after="240"/>
        <w:jc w:val="both"/>
        <w:rPr>
          <w:noProof/>
          <w:color w:val="auto"/>
          <w:lang w:val="en-GB"/>
        </w:rPr>
      </w:pPr>
      <w:r>
        <w:rPr>
          <w:noProof/>
          <w:color w:val="auto"/>
          <w:lang w:val="en-GB"/>
        </w:rPr>
        <w:t>In fact, the import of cultural goods entails a close cooperation between national competent authorities who issue the import licences, and customs, who need those licences to clear cultural goods at the border. The Commission has carried out (starting already in Q1 2017) a preliminary analysis on the possible interconnection between the ICG system and customs. This analysis fed the initial work for the conceptual phase of the ICG system, and progresses in parallel to the milestones detailed in Table 1 (see Annex I).</w:t>
      </w:r>
    </w:p>
    <w:p>
      <w:pPr>
        <w:pStyle w:val="Heading1"/>
        <w:keepLines w:val="0"/>
        <w:numPr>
          <w:ilvl w:val="0"/>
          <w:numId w:val="2"/>
        </w:numPr>
        <w:spacing w:after="120"/>
        <w:ind w:left="432" w:hanging="432"/>
        <w:rPr>
          <w:rFonts w:ascii="Times New Roman" w:eastAsia="Times New Roman" w:hAnsi="Times New Roman" w:cs="Times New Roman"/>
          <w:smallCaps/>
          <w:noProof/>
          <w:szCs w:val="24"/>
          <w:lang w:val="en-GB"/>
        </w:rPr>
      </w:pPr>
      <w:bookmarkStart w:id="5" w:name="_Toc41655628"/>
      <w:r>
        <w:rPr>
          <w:rFonts w:ascii="Times New Roman" w:eastAsia="Times New Roman" w:hAnsi="Times New Roman" w:cs="Times New Roman"/>
          <w:smallCaps/>
          <w:noProof/>
          <w:szCs w:val="24"/>
          <w:lang w:val="en-GB"/>
        </w:rPr>
        <w:t>PROJECT ARCHITECTURE AND PLANNING APPROACH</w:t>
      </w:r>
      <w:bookmarkEnd w:id="5"/>
    </w:p>
    <w:p>
      <w:pPr>
        <w:pStyle w:val="Default"/>
        <w:spacing w:after="120"/>
        <w:jc w:val="both"/>
        <w:rPr>
          <w:iCs/>
          <w:noProof/>
          <w:color w:val="auto"/>
          <w:lang w:val="en-GB"/>
        </w:rPr>
      </w:pPr>
      <w:r>
        <w:rPr>
          <w:iCs/>
          <w:noProof/>
          <w:color w:val="auto"/>
          <w:lang w:val="en-GB"/>
        </w:rPr>
        <w:t>The Project Architecture is based on the methodology provided for in MASP-C rev. 2019 and its Annexes, including the Governance Scheme</w:t>
      </w:r>
      <w:r>
        <w:rPr>
          <w:rStyle w:val="FootnoteReference"/>
          <w:iCs/>
          <w:noProof/>
          <w:color w:val="auto"/>
          <w:lang w:val="en-GB"/>
        </w:rPr>
        <w:footnoteReference w:id="8"/>
      </w:r>
      <w:r>
        <w:rPr>
          <w:iCs/>
          <w:noProof/>
          <w:color w:val="auto"/>
          <w:lang w:val="en-GB"/>
        </w:rPr>
        <w:t>, the EU Customs Business Process Modelling Policy</w:t>
      </w:r>
      <w:r>
        <w:rPr>
          <w:rStyle w:val="FootnoteReference"/>
          <w:iCs/>
          <w:noProof/>
          <w:color w:val="auto"/>
          <w:lang w:val="en-GB"/>
        </w:rPr>
        <w:footnoteReference w:id="9"/>
      </w:r>
      <w:r>
        <w:rPr>
          <w:iCs/>
          <w:noProof/>
          <w:color w:val="auto"/>
          <w:lang w:val="en-GB"/>
        </w:rPr>
        <w:t xml:space="preserve"> and the IT strategy</w:t>
      </w:r>
      <w:r>
        <w:rPr>
          <w:rStyle w:val="FootnoteReference"/>
          <w:iCs/>
          <w:noProof/>
          <w:color w:val="auto"/>
          <w:lang w:val="en-GB"/>
        </w:rPr>
        <w:footnoteReference w:id="10"/>
      </w:r>
      <w:r>
        <w:rPr>
          <w:iCs/>
          <w:noProof/>
          <w:color w:val="auto"/>
          <w:lang w:val="en-GB"/>
        </w:rPr>
        <w:t xml:space="preserve">. </w:t>
      </w:r>
      <w:r>
        <w:rPr>
          <w:bCs/>
          <w:noProof/>
          <w:lang w:val="en-US"/>
        </w:rPr>
        <w:t>A comprehensive roadmap, with the main project phases and the critical milestones is detailed in Annex II.</w:t>
      </w:r>
    </w:p>
    <w:p>
      <w:pPr>
        <w:pStyle w:val="Default"/>
        <w:spacing w:after="120"/>
        <w:jc w:val="both"/>
        <w:rPr>
          <w:b/>
          <w:iCs/>
          <w:noProof/>
          <w:color w:val="auto"/>
          <w:lang w:val="en-GB"/>
        </w:rPr>
      </w:pPr>
      <w:r>
        <w:rPr>
          <w:b/>
          <w:iCs/>
          <w:noProof/>
          <w:color w:val="auto"/>
          <w:lang w:val="en-GB"/>
        </w:rPr>
        <w:t>Phase 1 – Conceptualisation:</w:t>
      </w:r>
    </w:p>
    <w:p>
      <w:pPr>
        <w:pStyle w:val="Default"/>
        <w:spacing w:after="120"/>
        <w:jc w:val="both"/>
        <w:rPr>
          <w:noProof/>
          <w:color w:val="auto"/>
          <w:lang w:val="en-GB"/>
        </w:rPr>
      </w:pPr>
      <w:r>
        <w:rPr>
          <w:iCs/>
          <w:noProof/>
          <w:color w:val="auto"/>
          <w:lang w:val="en-GB"/>
        </w:rPr>
        <w:t>The work of developing IT systems involves several phases.</w:t>
      </w:r>
      <w:r>
        <w:rPr>
          <w:noProof/>
          <w:color w:val="auto"/>
          <w:lang w:val="en-GB"/>
        </w:rPr>
        <w:t xml:space="preserve"> Initially, a business case is prepared, which provides the project justification and defines budgetary requirements. Typically, the business case would include the business context, problem description, project description and scope, possible alternative solutions, costs and timescale. </w:t>
      </w:r>
    </w:p>
    <w:p>
      <w:pPr>
        <w:pStyle w:val="Default"/>
        <w:spacing w:after="120"/>
        <w:jc w:val="both"/>
        <w:rPr>
          <w:noProof/>
          <w:color w:val="auto"/>
          <w:lang w:val="en-GB"/>
        </w:rPr>
      </w:pPr>
      <w:r>
        <w:rPr>
          <w:noProof/>
          <w:color w:val="auto"/>
          <w:lang w:val="en-GB"/>
        </w:rPr>
        <w:t>Next a vision document is produced, which provides more detailed information regarding the project definition in terms of architecture, cost, time, and risk, as well as information such as milestones, deliverables and project organisation. Subsequently, to enable common understanding and analysis, Business Process Modelling (BPM) is used, the practice whereby the business processes from the legislation are graphically represented in process flows or process models, to help develop the functional specifications for the system.</w:t>
      </w:r>
    </w:p>
    <w:p>
      <w:pPr>
        <w:pStyle w:val="Default"/>
        <w:spacing w:after="120"/>
        <w:jc w:val="both"/>
        <w:rPr>
          <w:b/>
          <w:noProof/>
          <w:color w:val="auto"/>
          <w:lang w:val="en-GB"/>
        </w:rPr>
      </w:pPr>
      <w:r>
        <w:rPr>
          <w:b/>
          <w:noProof/>
          <w:color w:val="auto"/>
          <w:lang w:val="en-GB"/>
        </w:rPr>
        <w:t>Phase 2 -  System development:</w:t>
      </w:r>
    </w:p>
    <w:p>
      <w:pPr>
        <w:pStyle w:val="Default"/>
        <w:spacing w:after="120"/>
        <w:jc w:val="both"/>
        <w:rPr>
          <w:noProof/>
          <w:color w:val="auto"/>
          <w:lang w:val="en-GB"/>
        </w:rPr>
      </w:pPr>
      <w:r>
        <w:rPr>
          <w:noProof/>
          <w:color w:val="auto"/>
          <w:lang w:val="en-GB"/>
        </w:rPr>
        <w:t>Following this, the technical specifications are developed which identify in more detail how the system will be constructed, the architecture to be used, the messages to be submitted by economic operators, the interfaces to other systems, test plans, etc.</w:t>
      </w:r>
    </w:p>
    <w:p>
      <w:pPr>
        <w:pStyle w:val="Default"/>
        <w:spacing w:after="120"/>
        <w:jc w:val="both"/>
        <w:rPr>
          <w:noProof/>
          <w:color w:val="auto"/>
          <w:lang w:val="en-GB"/>
        </w:rPr>
      </w:pPr>
      <w:r>
        <w:rPr>
          <w:noProof/>
          <w:color w:val="auto"/>
          <w:lang w:val="en-GB"/>
        </w:rPr>
        <w:t>Once the design of the system is ready from the conceptual perspective and the deliverables listed in Table 1, Milestones 1 and 3 (see Annex I) are produced, a more in-depth work begins and more technical aspects are taken into account in the Application &amp; Service specifications and Technical System Specification documents, which are the natural evolution of the deliverables produced during the Business Analysis and Project Initiation phases.</w:t>
      </w:r>
    </w:p>
    <w:p>
      <w:pPr>
        <w:pStyle w:val="Default"/>
        <w:spacing w:after="120"/>
        <w:jc w:val="both"/>
        <w:rPr>
          <w:b/>
          <w:noProof/>
          <w:color w:val="auto"/>
          <w:lang w:val="en-GB"/>
        </w:rPr>
      </w:pPr>
      <w:r>
        <w:rPr>
          <w:b/>
          <w:noProof/>
          <w:color w:val="auto"/>
          <w:lang w:val="en-GB"/>
        </w:rPr>
        <w:t>Phase 3 –</w:t>
      </w:r>
      <w:r>
        <w:rPr>
          <w:noProof/>
          <w:color w:val="auto"/>
          <w:lang w:val="en-GB"/>
        </w:rPr>
        <w:t xml:space="preserve"> </w:t>
      </w:r>
      <w:r>
        <w:rPr>
          <w:b/>
          <w:noProof/>
          <w:color w:val="auto"/>
          <w:lang w:val="en-GB"/>
        </w:rPr>
        <w:t>Deployment and Operations:</w:t>
      </w:r>
    </w:p>
    <w:p>
      <w:pPr>
        <w:pStyle w:val="Default"/>
        <w:spacing w:after="120"/>
        <w:jc w:val="both"/>
        <w:rPr>
          <w:noProof/>
          <w:color w:val="auto"/>
          <w:lang w:val="en-GB"/>
        </w:rPr>
      </w:pPr>
      <w:r>
        <w:rPr>
          <w:noProof/>
          <w:color w:val="auto"/>
          <w:lang w:val="en-GB"/>
        </w:rPr>
        <w:t>Lastly, the actual IT development phase begins (Construction Phase), which is followed by a Transition phase where the early versions of the system are gradually rolled out to the different groups of users and tests are performed. Parallel to the roll-out and testing, the training activities and communication on the functioning of the system take place.</w:t>
      </w:r>
    </w:p>
    <w:p>
      <w:pPr>
        <w:pStyle w:val="Default"/>
        <w:spacing w:after="120"/>
        <w:jc w:val="both"/>
        <w:rPr>
          <w:noProof/>
          <w:color w:val="auto"/>
          <w:lang w:val="en-GB"/>
        </w:rPr>
      </w:pPr>
      <w:r>
        <w:rPr>
          <w:noProof/>
          <w:color w:val="auto"/>
          <w:lang w:val="en-GB"/>
        </w:rPr>
        <w:t xml:space="preserve">In the case of the electronic system for the Import of Cultural Goods (ICG), it is not foreseen to integrate the service with national cultural goods licencing systems already existing in some Member States, nor a national technical implementation, due to the fact that the ICG system will be centrally managed by the Commission. Operators and competent authorities alike will be able to access and use the system through the Graphic User Interface (GUI) provided by the Commission. </w:t>
      </w:r>
    </w:p>
    <w:p>
      <w:pPr>
        <w:pStyle w:val="Default"/>
        <w:spacing w:after="120"/>
        <w:jc w:val="both"/>
        <w:rPr>
          <w:noProof/>
          <w:color w:val="auto"/>
          <w:lang w:val="en-GB"/>
        </w:rPr>
      </w:pPr>
      <w:r>
        <w:rPr>
          <w:noProof/>
          <w:color w:val="auto"/>
          <w:lang w:val="en-GB"/>
        </w:rPr>
        <w:t>From a policy perspective, this choice is considered the best-fitting solution, given the complexity of the cultural goods subject to trade. In fact, customs systems on their own are ill-equipped to allow for a complete, detailed description of each piece of cultural heritage which is, in most cases, unique in itself.</w:t>
      </w:r>
    </w:p>
    <w:p>
      <w:pPr>
        <w:pStyle w:val="Default"/>
        <w:spacing w:after="240"/>
        <w:jc w:val="both"/>
        <w:rPr>
          <w:noProof/>
          <w:color w:val="auto"/>
          <w:lang w:val="en-GB"/>
        </w:rPr>
      </w:pPr>
      <w:r>
        <w:rPr>
          <w:noProof/>
          <w:color w:val="auto"/>
          <w:lang w:val="en-GB"/>
        </w:rPr>
        <w:t>On the other hand, the ICG system will be interconnected with Member States’ customs administrations via the EU CSW-CERTEX, to allow customs automated controls on the documents issued for the import of cultural goods. This activity will require Conformance Testing.</w:t>
      </w:r>
    </w:p>
    <w:p>
      <w:pPr>
        <w:pStyle w:val="Heading1"/>
        <w:keepLines w:val="0"/>
        <w:numPr>
          <w:ilvl w:val="0"/>
          <w:numId w:val="2"/>
        </w:numPr>
        <w:spacing w:after="120"/>
        <w:ind w:left="432" w:hanging="432"/>
        <w:rPr>
          <w:rFonts w:ascii="Times New Roman" w:eastAsia="Times New Roman" w:hAnsi="Times New Roman" w:cs="Times New Roman"/>
          <w:smallCaps/>
          <w:noProof/>
          <w:szCs w:val="24"/>
          <w:lang w:val="en-GB"/>
        </w:rPr>
      </w:pPr>
      <w:bookmarkStart w:id="6" w:name="_Toc41655629"/>
      <w:r>
        <w:rPr>
          <w:rFonts w:ascii="Times New Roman" w:eastAsia="Times New Roman" w:hAnsi="Times New Roman" w:cs="Times New Roman"/>
          <w:smallCaps/>
          <w:noProof/>
          <w:szCs w:val="24"/>
          <w:lang w:val="en-GB"/>
        </w:rPr>
        <w:t>PROGRESS Overview</w:t>
      </w:r>
      <w:bookmarkEnd w:id="6"/>
      <w:r>
        <w:rPr>
          <w:rFonts w:ascii="Times New Roman" w:eastAsia="Times New Roman" w:hAnsi="Times New Roman" w:cs="Times New Roman"/>
          <w:smallCaps/>
          <w:noProof/>
          <w:szCs w:val="24"/>
          <w:lang w:val="en-GB"/>
        </w:rPr>
        <w:t xml:space="preserve"> </w:t>
      </w:r>
    </w:p>
    <w:p>
      <w:pPr>
        <w:widowControl w:val="0"/>
        <w:autoSpaceDE w:val="0"/>
        <w:autoSpaceDN w:val="0"/>
        <w:adjustRightInd w:val="0"/>
        <w:rPr>
          <w:b/>
          <w:iCs/>
          <w:noProof/>
          <w:sz w:val="24"/>
          <w:szCs w:val="24"/>
          <w:lang w:val="en-GB" w:eastAsia="en-GB"/>
        </w:rPr>
      </w:pPr>
      <w:r>
        <w:rPr>
          <w:b/>
          <w:iCs/>
          <w:noProof/>
          <w:sz w:val="24"/>
          <w:szCs w:val="24"/>
          <w:lang w:val="en-GB" w:eastAsia="en-GB"/>
        </w:rPr>
        <w:t>Consultation and discussions</w:t>
      </w:r>
    </w:p>
    <w:p>
      <w:pPr>
        <w:widowControl w:val="0"/>
        <w:autoSpaceDE w:val="0"/>
        <w:autoSpaceDN w:val="0"/>
        <w:adjustRightInd w:val="0"/>
        <w:rPr>
          <w:iCs/>
          <w:noProof/>
          <w:sz w:val="24"/>
          <w:szCs w:val="24"/>
          <w:lang w:val="en-GB" w:eastAsia="en-GB"/>
        </w:rPr>
      </w:pPr>
      <w:r>
        <w:rPr>
          <w:iCs/>
          <w:noProof/>
          <w:sz w:val="24"/>
          <w:szCs w:val="24"/>
          <w:lang w:val="en-GB" w:eastAsia="en-GB"/>
        </w:rPr>
        <w:t xml:space="preserve">In the first phase the Commission is preparing the adoption of implementing provisions for the establishment of the electronic system. In order to get a better perspective from a practical implementation point of view, it consults regularly on policy options with the Members States delegates at the Expert Group on customs issues related to cultural goods. </w:t>
      </w:r>
    </w:p>
    <w:p>
      <w:pPr>
        <w:widowControl w:val="0"/>
        <w:autoSpaceDE w:val="0"/>
        <w:autoSpaceDN w:val="0"/>
        <w:adjustRightInd w:val="0"/>
        <w:rPr>
          <w:iCs/>
          <w:noProof/>
          <w:sz w:val="24"/>
          <w:szCs w:val="24"/>
          <w:lang w:val="en-GB" w:eastAsia="en-GB"/>
        </w:rPr>
      </w:pPr>
      <w:r>
        <w:rPr>
          <w:iCs/>
          <w:noProof/>
          <w:sz w:val="24"/>
          <w:szCs w:val="24"/>
          <w:lang w:val="en-GB" w:eastAsia="en-GB"/>
        </w:rPr>
        <w:t>The Expert Group is a forum for the discussion of implementation issues of Union legislation on cultural goods pertaining to customs and, in particular, the Regulation on the export of cultural goods</w:t>
      </w:r>
      <w:r>
        <w:rPr>
          <w:rStyle w:val="FootnoteReference"/>
          <w:iCs/>
          <w:noProof/>
          <w:sz w:val="24"/>
          <w:szCs w:val="24"/>
          <w:lang w:val="en-GB" w:eastAsia="en-GB"/>
        </w:rPr>
        <w:footnoteReference w:id="11"/>
      </w:r>
      <w:r>
        <w:rPr>
          <w:iCs/>
          <w:noProof/>
          <w:sz w:val="24"/>
          <w:szCs w:val="24"/>
          <w:lang w:val="en-GB" w:eastAsia="en-GB"/>
        </w:rPr>
        <w:t>, a set of rules that also provides for a licencing system – at export - which has been in force since 1993</w:t>
      </w:r>
      <w:r>
        <w:rPr>
          <w:rStyle w:val="FootnoteReference"/>
          <w:iCs/>
          <w:noProof/>
          <w:sz w:val="24"/>
          <w:szCs w:val="24"/>
          <w:lang w:val="en-GB" w:eastAsia="en-GB"/>
        </w:rPr>
        <w:footnoteReference w:id="12"/>
      </w:r>
      <w:r>
        <w:rPr>
          <w:iCs/>
          <w:noProof/>
          <w:sz w:val="24"/>
          <w:szCs w:val="24"/>
          <w:lang w:val="en-GB" w:eastAsia="en-GB"/>
        </w:rPr>
        <w:t xml:space="preserve">. </w:t>
      </w:r>
    </w:p>
    <w:p>
      <w:pPr>
        <w:widowControl w:val="0"/>
        <w:autoSpaceDE w:val="0"/>
        <w:autoSpaceDN w:val="0"/>
        <w:adjustRightInd w:val="0"/>
        <w:rPr>
          <w:iCs/>
          <w:noProof/>
          <w:sz w:val="24"/>
          <w:szCs w:val="24"/>
          <w:lang w:val="en-GB" w:eastAsia="en-GB"/>
        </w:rPr>
      </w:pPr>
      <w:r>
        <w:rPr>
          <w:iCs/>
          <w:noProof/>
          <w:sz w:val="24"/>
          <w:szCs w:val="24"/>
          <w:lang w:val="en-GB" w:eastAsia="en-GB"/>
        </w:rPr>
        <w:t>The Commission informs art market associations about the progress of work at every opportunity, listens to their concerns and has taken them into consideration, in order to ensure that the practical implementation of the Regulation is well adapted to the realities of the market.</w:t>
      </w:r>
    </w:p>
    <w:p>
      <w:pPr>
        <w:widowControl w:val="0"/>
        <w:autoSpaceDE w:val="0"/>
        <w:autoSpaceDN w:val="0"/>
        <w:adjustRightInd w:val="0"/>
        <w:rPr>
          <w:iCs/>
          <w:noProof/>
          <w:sz w:val="24"/>
          <w:szCs w:val="24"/>
          <w:lang w:val="en-GB" w:eastAsia="en-GB"/>
        </w:rPr>
      </w:pPr>
      <w:r>
        <w:rPr>
          <w:iCs/>
          <w:noProof/>
          <w:sz w:val="24"/>
          <w:szCs w:val="24"/>
          <w:lang w:val="en-GB" w:eastAsia="en-GB"/>
        </w:rPr>
        <w:t>As the drafting of the implementing act progresses, the Commission will carry out the final consultations with the Committee of Regulation 2019/880, as this would be the body ultimately voting on the implementing act.</w:t>
      </w:r>
    </w:p>
    <w:p>
      <w:pPr>
        <w:spacing w:after="160" w:line="259" w:lineRule="auto"/>
        <w:rPr>
          <w:iCs/>
          <w:noProof/>
          <w:sz w:val="24"/>
          <w:szCs w:val="24"/>
          <w:lang w:val="en-GB" w:eastAsia="en-GB"/>
        </w:rPr>
      </w:pPr>
      <w:r>
        <w:rPr>
          <w:iCs/>
          <w:noProof/>
          <w:sz w:val="24"/>
          <w:szCs w:val="24"/>
          <w:lang w:val="en-GB" w:eastAsia="en-GB"/>
        </w:rPr>
        <w:br w:type="page"/>
        <w:t>In parallel, the Commission has created a ‘Customs 2020 Project Group on the import of cultural goods’ (“PGICG”), which serves as a discussion platform, where experts from national customs administrations and competent (cultural) authorities with experience in carrying out licencing formalities in heritage matters, in particular digitally, come together to provide support with drafting the implementing act, defining the parameters and elaborating the criteria for the functional specifications of the system.</w:t>
      </w:r>
    </w:p>
    <w:p>
      <w:pPr>
        <w:widowControl w:val="0"/>
        <w:autoSpaceDE w:val="0"/>
        <w:autoSpaceDN w:val="0"/>
        <w:adjustRightInd w:val="0"/>
        <w:rPr>
          <w:iCs/>
          <w:noProof/>
          <w:sz w:val="24"/>
          <w:szCs w:val="24"/>
          <w:lang w:val="en-GB" w:eastAsia="en-GB"/>
        </w:rPr>
      </w:pPr>
      <w:r>
        <w:rPr>
          <w:iCs/>
          <w:noProof/>
          <w:sz w:val="24"/>
          <w:szCs w:val="24"/>
          <w:lang w:val="en-GB" w:eastAsia="en-GB"/>
        </w:rPr>
        <w:t>The Project Group consists of 18 delegates from 11 Member States (AT, BE, BG, ES, LV, PT, RO, DE, NL, IT, FR) and to-date it has met six times.</w:t>
      </w:r>
    </w:p>
    <w:p>
      <w:pPr>
        <w:widowControl w:val="0"/>
        <w:autoSpaceDE w:val="0"/>
        <w:autoSpaceDN w:val="0"/>
        <w:adjustRightInd w:val="0"/>
        <w:rPr>
          <w:iCs/>
          <w:noProof/>
          <w:sz w:val="24"/>
          <w:szCs w:val="24"/>
          <w:lang w:val="en-GB" w:eastAsia="en-GB"/>
        </w:rPr>
      </w:pPr>
      <w:r>
        <w:rPr>
          <w:iCs/>
          <w:noProof/>
          <w:sz w:val="24"/>
          <w:szCs w:val="24"/>
          <w:lang w:val="en-GB" w:eastAsia="en-GB"/>
        </w:rPr>
        <w:t>Specifically, the Project Group provides support and expertise on:</w:t>
      </w:r>
    </w:p>
    <w:p>
      <w:pPr>
        <w:pStyle w:val="ListParagraph"/>
        <w:widowControl w:val="0"/>
        <w:numPr>
          <w:ilvl w:val="0"/>
          <w:numId w:val="45"/>
        </w:numPr>
        <w:autoSpaceDE w:val="0"/>
        <w:autoSpaceDN w:val="0"/>
        <w:adjustRightInd w:val="0"/>
        <w:spacing w:after="40"/>
        <w:ind w:left="425" w:hanging="357"/>
        <w:contextualSpacing w:val="0"/>
        <w:rPr>
          <w:iCs/>
          <w:noProof/>
          <w:sz w:val="24"/>
          <w:szCs w:val="24"/>
          <w:lang w:val="en-GB" w:eastAsia="en-GB"/>
        </w:rPr>
      </w:pPr>
      <w:r>
        <w:rPr>
          <w:iCs/>
          <w:noProof/>
          <w:sz w:val="24"/>
          <w:szCs w:val="24"/>
          <w:lang w:val="en-GB" w:eastAsia="en-GB"/>
        </w:rPr>
        <w:t>The preparation and progressive refinement of the implementing act in what concerns the creation of a centralised electronic system;</w:t>
      </w:r>
    </w:p>
    <w:p>
      <w:pPr>
        <w:pStyle w:val="ListParagraph"/>
        <w:widowControl w:val="0"/>
        <w:numPr>
          <w:ilvl w:val="0"/>
          <w:numId w:val="45"/>
        </w:numPr>
        <w:autoSpaceDE w:val="0"/>
        <w:autoSpaceDN w:val="0"/>
        <w:adjustRightInd w:val="0"/>
        <w:spacing w:after="40"/>
        <w:ind w:left="425" w:hanging="357"/>
        <w:contextualSpacing w:val="0"/>
        <w:rPr>
          <w:iCs/>
          <w:noProof/>
          <w:sz w:val="24"/>
          <w:szCs w:val="24"/>
          <w:lang w:val="en-GB" w:eastAsia="en-GB"/>
        </w:rPr>
      </w:pPr>
      <w:r>
        <w:rPr>
          <w:iCs/>
          <w:noProof/>
          <w:sz w:val="24"/>
          <w:szCs w:val="24"/>
          <w:lang w:val="en-GB" w:eastAsia="en-GB"/>
        </w:rPr>
        <w:t xml:space="preserve">The development of system functionalities for an interoperable electronic licensing system at EU level to ensure uniform controls for the import of cultural goods upon their entry into the customs territory of the Union;  </w:t>
      </w:r>
    </w:p>
    <w:p>
      <w:pPr>
        <w:pStyle w:val="ListParagraph"/>
        <w:widowControl w:val="0"/>
        <w:numPr>
          <w:ilvl w:val="0"/>
          <w:numId w:val="45"/>
        </w:numPr>
        <w:autoSpaceDE w:val="0"/>
        <w:autoSpaceDN w:val="0"/>
        <w:adjustRightInd w:val="0"/>
        <w:spacing w:after="40"/>
        <w:ind w:left="425" w:hanging="357"/>
        <w:contextualSpacing w:val="0"/>
        <w:rPr>
          <w:iCs/>
          <w:noProof/>
          <w:sz w:val="24"/>
          <w:szCs w:val="24"/>
          <w:lang w:val="en-GB" w:eastAsia="en-GB"/>
        </w:rPr>
      </w:pPr>
      <w:r>
        <w:rPr>
          <w:iCs/>
          <w:noProof/>
          <w:sz w:val="24"/>
          <w:szCs w:val="24"/>
          <w:lang w:val="en-GB" w:eastAsia="en-GB"/>
        </w:rPr>
        <w:t>Technical arrangements on the deployment and maintenance of the centralised electronic system and detailed rules concerning the submission, processing, storage and information exchange between national authorities;</w:t>
      </w:r>
    </w:p>
    <w:p>
      <w:pPr>
        <w:pStyle w:val="ListParagraph"/>
        <w:widowControl w:val="0"/>
        <w:numPr>
          <w:ilvl w:val="0"/>
          <w:numId w:val="45"/>
        </w:numPr>
        <w:autoSpaceDE w:val="0"/>
        <w:autoSpaceDN w:val="0"/>
        <w:adjustRightInd w:val="0"/>
        <w:spacing w:after="40"/>
        <w:ind w:left="425" w:hanging="357"/>
        <w:contextualSpacing w:val="0"/>
        <w:rPr>
          <w:iCs/>
          <w:noProof/>
          <w:sz w:val="24"/>
          <w:szCs w:val="24"/>
          <w:lang w:val="en-GB" w:eastAsia="en-GB"/>
        </w:rPr>
      </w:pPr>
      <w:r>
        <w:rPr>
          <w:iCs/>
          <w:noProof/>
          <w:sz w:val="24"/>
          <w:szCs w:val="24"/>
          <w:lang w:val="en-GB" w:eastAsia="en-GB"/>
        </w:rPr>
        <w:t>Roles and responsibilities of the actors involved in the processing of import licensing procedures for cultural goods;</w:t>
      </w:r>
    </w:p>
    <w:p>
      <w:pPr>
        <w:pStyle w:val="ListParagraph"/>
        <w:widowControl w:val="0"/>
        <w:numPr>
          <w:ilvl w:val="0"/>
          <w:numId w:val="45"/>
        </w:numPr>
        <w:autoSpaceDE w:val="0"/>
        <w:autoSpaceDN w:val="0"/>
        <w:adjustRightInd w:val="0"/>
        <w:spacing w:after="40"/>
        <w:ind w:left="425" w:hanging="357"/>
        <w:contextualSpacing w:val="0"/>
        <w:rPr>
          <w:iCs/>
          <w:noProof/>
          <w:sz w:val="24"/>
          <w:szCs w:val="24"/>
          <w:lang w:val="en-GB" w:eastAsia="en-GB"/>
        </w:rPr>
      </w:pPr>
      <w:r>
        <w:rPr>
          <w:iCs/>
          <w:noProof/>
          <w:sz w:val="24"/>
          <w:szCs w:val="24"/>
          <w:lang w:val="en-GB" w:eastAsia="en-GB"/>
        </w:rPr>
        <w:t>Creation of the standard electronic template for the import licence and development of the format for the importer statement;</w:t>
      </w:r>
    </w:p>
    <w:p>
      <w:pPr>
        <w:pStyle w:val="ListParagraph"/>
        <w:widowControl w:val="0"/>
        <w:numPr>
          <w:ilvl w:val="0"/>
          <w:numId w:val="45"/>
        </w:numPr>
        <w:autoSpaceDE w:val="0"/>
        <w:autoSpaceDN w:val="0"/>
        <w:adjustRightInd w:val="0"/>
        <w:spacing w:after="40"/>
        <w:ind w:left="425" w:hanging="357"/>
        <w:contextualSpacing w:val="0"/>
        <w:rPr>
          <w:iCs/>
          <w:noProof/>
          <w:sz w:val="24"/>
          <w:szCs w:val="24"/>
          <w:lang w:val="en-GB" w:eastAsia="en-GB"/>
        </w:rPr>
      </w:pPr>
      <w:r>
        <w:rPr>
          <w:iCs/>
          <w:noProof/>
          <w:sz w:val="24"/>
          <w:szCs w:val="24"/>
          <w:lang w:val="en-GB" w:eastAsia="en-GB"/>
        </w:rPr>
        <w:t>Procedural rules for the submission and processing of the application for the import licence and registration of the importer statement;</w:t>
      </w:r>
    </w:p>
    <w:p>
      <w:pPr>
        <w:pStyle w:val="ListParagraph"/>
        <w:widowControl w:val="0"/>
        <w:numPr>
          <w:ilvl w:val="0"/>
          <w:numId w:val="45"/>
        </w:numPr>
        <w:autoSpaceDE w:val="0"/>
        <w:autoSpaceDN w:val="0"/>
        <w:adjustRightInd w:val="0"/>
        <w:spacing w:after="240"/>
        <w:ind w:left="426"/>
        <w:rPr>
          <w:iCs/>
          <w:noProof/>
          <w:sz w:val="24"/>
          <w:szCs w:val="24"/>
          <w:lang w:val="en-GB" w:eastAsia="en-GB"/>
        </w:rPr>
      </w:pPr>
      <w:r>
        <w:rPr>
          <w:iCs/>
          <w:noProof/>
          <w:sz w:val="24"/>
          <w:szCs w:val="24"/>
          <w:lang w:val="en-GB" w:eastAsia="en-GB"/>
        </w:rPr>
        <w:t>Consultation on the business case for future system development.</w:t>
      </w:r>
    </w:p>
    <w:p>
      <w:pPr>
        <w:widowControl w:val="0"/>
        <w:autoSpaceDE w:val="0"/>
        <w:autoSpaceDN w:val="0"/>
        <w:adjustRightInd w:val="0"/>
        <w:rPr>
          <w:b/>
          <w:iCs/>
          <w:noProof/>
          <w:sz w:val="24"/>
          <w:szCs w:val="24"/>
          <w:lang w:val="en-GB" w:eastAsia="en-GB"/>
        </w:rPr>
      </w:pPr>
      <w:r>
        <w:rPr>
          <w:b/>
          <w:iCs/>
          <w:noProof/>
          <w:sz w:val="24"/>
          <w:szCs w:val="24"/>
          <w:lang w:val="en-GB" w:eastAsia="en-GB"/>
        </w:rPr>
        <w:t>Design challenges</w:t>
      </w:r>
    </w:p>
    <w:p>
      <w:pPr>
        <w:widowControl w:val="0"/>
        <w:autoSpaceDE w:val="0"/>
        <w:autoSpaceDN w:val="0"/>
        <w:adjustRightInd w:val="0"/>
        <w:rPr>
          <w:iCs/>
          <w:noProof/>
          <w:sz w:val="24"/>
          <w:szCs w:val="24"/>
          <w:lang w:val="en-GB" w:eastAsia="en-GB"/>
        </w:rPr>
      </w:pPr>
      <w:r>
        <w:rPr>
          <w:iCs/>
          <w:noProof/>
          <w:sz w:val="24"/>
          <w:szCs w:val="24"/>
          <w:lang w:val="en-GB" w:eastAsia="en-GB"/>
        </w:rPr>
        <w:t xml:space="preserve">Several challenges have been encountered with designing the architecture of the electronic system. One of them is the best way for applicants (for import licences) and declarants (for importer statements) to describe a cultural good, given the particular and unique nature of the product, which distinguishes it from regular commodities that can be exhaustively described through Common Nomenclature tariff codes. The cultural goods that come within the scope of the Regulation are not mass-produced products and their creation and historical origin dates back several centuries, if not millennia. </w:t>
      </w:r>
    </w:p>
    <w:p>
      <w:pPr>
        <w:widowControl w:val="0"/>
        <w:autoSpaceDE w:val="0"/>
        <w:autoSpaceDN w:val="0"/>
        <w:adjustRightInd w:val="0"/>
        <w:rPr>
          <w:iCs/>
          <w:noProof/>
          <w:sz w:val="24"/>
          <w:szCs w:val="24"/>
          <w:lang w:val="en-GB" w:eastAsia="en-GB"/>
        </w:rPr>
      </w:pPr>
      <w:r>
        <w:rPr>
          <w:iCs/>
          <w:noProof/>
          <w:sz w:val="24"/>
          <w:szCs w:val="24"/>
          <w:lang w:val="en-GB" w:eastAsia="en-GB"/>
        </w:rPr>
        <w:t>That is why the standard data set that will have to be provided by operators will need to be particularly adapted in order to allow, on the one hand, the adequate identification of the objects for the purposes of e-licencing and declarations and, on the other, to take into consideration the reality of the market and the difficulty in certain cases to obtain all the required provenance information. The Commission, in co-operation with the Project Group are making efforts to define these core data.</w:t>
      </w:r>
    </w:p>
    <w:p>
      <w:pPr>
        <w:widowControl w:val="0"/>
        <w:autoSpaceDE w:val="0"/>
        <w:autoSpaceDN w:val="0"/>
        <w:adjustRightInd w:val="0"/>
        <w:rPr>
          <w:iCs/>
          <w:noProof/>
          <w:sz w:val="24"/>
          <w:szCs w:val="24"/>
          <w:lang w:val="en-GB" w:eastAsia="en-GB"/>
        </w:rPr>
      </w:pPr>
      <w:r>
        <w:rPr>
          <w:iCs/>
          <w:noProof/>
          <w:sz w:val="24"/>
          <w:szCs w:val="24"/>
          <w:lang w:val="en-GB" w:eastAsia="en-GB"/>
        </w:rPr>
        <w:t>Another identified challenge is the design of the import licence ‘lifetime’ stages in such a way within this digital framework, that all possible eventualities and needs of the applicants and the competent authorities are anticipated while, at the same time, the procedures and the related implementing provisions do not become overly complicated and remain applicant-friendly, in particular in the case of applicants who will only import cultural goods on an occasional basis and who are not art market professionals.</w:t>
      </w:r>
    </w:p>
    <w:p>
      <w:pPr>
        <w:widowControl w:val="0"/>
        <w:autoSpaceDE w:val="0"/>
        <w:autoSpaceDN w:val="0"/>
        <w:adjustRightInd w:val="0"/>
        <w:rPr>
          <w:iCs/>
          <w:noProof/>
          <w:sz w:val="24"/>
          <w:szCs w:val="24"/>
          <w:lang w:val="en-GB" w:eastAsia="en-GB"/>
        </w:rPr>
      </w:pPr>
      <w:r>
        <w:rPr>
          <w:iCs/>
          <w:noProof/>
          <w:sz w:val="24"/>
          <w:szCs w:val="24"/>
          <w:lang w:val="en-GB" w:eastAsia="en-GB"/>
        </w:rPr>
        <w:t>A third matter to consider is the compatibility with existing national administrative procedures and practices, as all Member States have been implementing since 1993 the Union legislation on authorising the export of Union cultural goods, which also provides for a licencing scheme. Although those export licences still have to be issued on paper, a significant number of Member States have developed electronic means to process the applications. In fact, the experience of certain Member States with the export licence system and controls of trade in cultural goods in general has been particularly useful in analysing the requirements for the import electronic system.</w:t>
      </w:r>
    </w:p>
    <w:p>
      <w:pPr>
        <w:widowControl w:val="0"/>
        <w:autoSpaceDE w:val="0"/>
        <w:autoSpaceDN w:val="0"/>
        <w:adjustRightInd w:val="0"/>
        <w:rPr>
          <w:iCs/>
          <w:noProof/>
          <w:sz w:val="24"/>
          <w:szCs w:val="24"/>
          <w:lang w:val="en-GB" w:eastAsia="en-GB"/>
        </w:rPr>
      </w:pPr>
      <w:r>
        <w:rPr>
          <w:iCs/>
          <w:noProof/>
          <w:sz w:val="24"/>
          <w:szCs w:val="24"/>
          <w:lang w:val="en-GB" w:eastAsia="en-GB"/>
        </w:rPr>
        <w:t>In the process of designing the architecture of the electronic system for the import of cultural goods, it is taken into consideration that in the future and, provided that the necessary human and financial resources become available, the same system should be scalable to allow the digitalisation and electronic issue of export licences as well.</w:t>
      </w:r>
    </w:p>
    <w:p>
      <w:pPr>
        <w:widowControl w:val="0"/>
        <w:autoSpaceDE w:val="0"/>
        <w:autoSpaceDN w:val="0"/>
        <w:adjustRightInd w:val="0"/>
        <w:rPr>
          <w:b/>
          <w:iCs/>
          <w:noProof/>
          <w:sz w:val="24"/>
          <w:szCs w:val="24"/>
          <w:lang w:val="en-GB" w:eastAsia="en-GB"/>
        </w:rPr>
      </w:pPr>
      <w:r>
        <w:rPr>
          <w:b/>
          <w:iCs/>
          <w:noProof/>
          <w:sz w:val="24"/>
          <w:szCs w:val="24"/>
          <w:lang w:val="en-GB" w:eastAsia="en-GB"/>
        </w:rPr>
        <w:t>Operational considerations and functionalities</w:t>
      </w:r>
    </w:p>
    <w:p>
      <w:pPr>
        <w:widowControl w:val="0"/>
        <w:autoSpaceDE w:val="0"/>
        <w:autoSpaceDN w:val="0"/>
        <w:adjustRightInd w:val="0"/>
        <w:rPr>
          <w:iCs/>
          <w:noProof/>
          <w:sz w:val="24"/>
          <w:szCs w:val="24"/>
          <w:lang w:val="en-GB" w:eastAsia="en-GB"/>
        </w:rPr>
      </w:pPr>
      <w:r>
        <w:rPr>
          <w:iCs/>
          <w:noProof/>
          <w:sz w:val="24"/>
          <w:szCs w:val="24"/>
          <w:lang w:val="en-GB" w:eastAsia="en-GB"/>
        </w:rPr>
        <w:t>As the Project Group is comprised by both customs and cultural authorities representatives with experience with cultural goods, they have been actively contributing by analysing and discussing proposals from the Commission, and providing statistics/information on how procedures involving cultural goods are designed at national level.</w:t>
      </w:r>
    </w:p>
    <w:p>
      <w:pPr>
        <w:widowControl w:val="0"/>
        <w:autoSpaceDE w:val="0"/>
        <w:autoSpaceDN w:val="0"/>
        <w:adjustRightInd w:val="0"/>
        <w:rPr>
          <w:iCs/>
          <w:noProof/>
          <w:sz w:val="24"/>
          <w:szCs w:val="24"/>
          <w:lang w:val="en-GB" w:eastAsia="en-GB"/>
        </w:rPr>
      </w:pPr>
      <w:r>
        <w:rPr>
          <w:noProof/>
          <w:sz w:val="24"/>
          <w:szCs w:val="24"/>
          <w:lang w:val="en-GB"/>
        </w:rPr>
        <w:t>In particular, the Project Group provided useful insights to estimate the number of import licences the ICG system could end up managing every year, and the average estimated value per licence; in 2019 the number of estimated licences seems to amount to 49,610 for an average total value of 29.4 billion EUR, limited to the 11 Member States participating in the Project Group</w:t>
      </w:r>
      <w:r>
        <w:rPr>
          <w:iCs/>
          <w:noProof/>
          <w:sz w:val="24"/>
          <w:szCs w:val="24"/>
          <w:lang w:val="en-GB" w:eastAsia="en-GB"/>
        </w:rPr>
        <w:t xml:space="preserve">. </w:t>
      </w:r>
    </w:p>
    <w:p>
      <w:pPr>
        <w:widowControl w:val="0"/>
        <w:autoSpaceDE w:val="0"/>
        <w:autoSpaceDN w:val="0"/>
        <w:adjustRightInd w:val="0"/>
        <w:rPr>
          <w:iCs/>
          <w:noProof/>
          <w:sz w:val="24"/>
          <w:szCs w:val="24"/>
          <w:lang w:val="en-GB" w:eastAsia="en-GB"/>
        </w:rPr>
      </w:pPr>
      <w:r>
        <w:rPr>
          <w:iCs/>
          <w:noProof/>
          <w:sz w:val="24"/>
          <w:szCs w:val="24"/>
          <w:lang w:val="en-GB" w:eastAsia="en-GB"/>
        </w:rPr>
        <w:t>Moreover, the Project Group is working on a Frequently Asked Questions master-document, to feed the communication process afterwards and to anticipate potential hindrances and gaps in the development of the ICG system.</w:t>
      </w:r>
    </w:p>
    <w:p>
      <w:pPr>
        <w:widowControl w:val="0"/>
        <w:autoSpaceDE w:val="0"/>
        <w:autoSpaceDN w:val="0"/>
        <w:adjustRightInd w:val="0"/>
        <w:spacing w:after="240"/>
        <w:rPr>
          <w:iCs/>
          <w:noProof/>
          <w:sz w:val="24"/>
          <w:szCs w:val="24"/>
          <w:lang w:val="en-GB" w:eastAsia="en-GB"/>
        </w:rPr>
      </w:pPr>
      <w:r>
        <w:rPr>
          <w:iCs/>
          <w:noProof/>
          <w:sz w:val="24"/>
          <w:szCs w:val="24"/>
          <w:lang w:val="en-GB" w:eastAsia="en-GB"/>
        </w:rPr>
        <w:t>Lastly, the Project Group is constantly reviewing and providing feedback to the data set and the BPMs produced for the system and for innovative approaches to the description of cultural goods through Image Recognition and Artificial Intelligence.</w:t>
      </w:r>
    </w:p>
    <w:p>
      <w:pPr>
        <w:pStyle w:val="Heading1"/>
        <w:keepLines w:val="0"/>
        <w:numPr>
          <w:ilvl w:val="0"/>
          <w:numId w:val="2"/>
        </w:numPr>
        <w:spacing w:after="120"/>
        <w:ind w:left="432" w:hanging="432"/>
        <w:rPr>
          <w:rFonts w:ascii="Times New Roman" w:eastAsia="Times New Roman" w:hAnsi="Times New Roman" w:cs="Times New Roman"/>
          <w:smallCaps/>
          <w:noProof/>
          <w:szCs w:val="24"/>
          <w:lang w:val="en-GB"/>
        </w:rPr>
      </w:pPr>
      <w:bookmarkStart w:id="7" w:name="_Toc41655630"/>
      <w:r>
        <w:rPr>
          <w:rFonts w:ascii="Times New Roman" w:eastAsia="Times New Roman" w:hAnsi="Times New Roman" w:cs="Times New Roman"/>
          <w:smallCaps/>
          <w:noProof/>
          <w:szCs w:val="24"/>
          <w:lang w:val="en-GB"/>
        </w:rPr>
        <w:t>RISKS FOR DELAYS</w:t>
      </w:r>
      <w:bookmarkEnd w:id="7"/>
    </w:p>
    <w:p>
      <w:pPr>
        <w:rPr>
          <w:b/>
          <w:noProof/>
          <w:sz w:val="24"/>
          <w:szCs w:val="24"/>
          <w:u w:val="single"/>
          <w:lang w:val="en-GB"/>
        </w:rPr>
      </w:pPr>
      <w:r>
        <w:rPr>
          <w:b/>
          <w:noProof/>
          <w:sz w:val="24"/>
          <w:szCs w:val="24"/>
          <w:u w:val="single"/>
          <w:lang w:val="en-GB"/>
        </w:rPr>
        <w:t>Project Summary</w:t>
      </w:r>
    </w:p>
    <w:p>
      <w:pPr>
        <w:rPr>
          <w:noProof/>
          <w:sz w:val="24"/>
          <w:szCs w:val="24"/>
          <w:lang w:val="en-GB"/>
        </w:rPr>
      </w:pPr>
      <w:r>
        <w:rPr>
          <w:noProof/>
          <w:sz w:val="24"/>
          <w:szCs w:val="24"/>
          <w:lang w:val="en-GB"/>
        </w:rPr>
        <w:t xml:space="preserve">The Commission is tasked to develop a centralised electronic licensing system and interface it with national customs within 6 years after the entry into force of the Regulation. Two Administrator (AD) posts in DG TAXUD are required to deliver on this initiative, as set out in the relevant Legislative Financial Statement. </w:t>
      </w:r>
    </w:p>
    <w:p>
      <w:pPr>
        <w:rPr>
          <w:b/>
          <w:noProof/>
          <w:sz w:val="24"/>
          <w:szCs w:val="24"/>
          <w:u w:val="single"/>
          <w:lang w:val="en-GB"/>
        </w:rPr>
      </w:pPr>
      <w:r>
        <w:rPr>
          <w:b/>
          <w:noProof/>
          <w:sz w:val="24"/>
          <w:szCs w:val="24"/>
          <w:u w:val="single"/>
          <w:lang w:val="en-GB"/>
        </w:rPr>
        <w:t>Risk title &amp; Description</w:t>
      </w:r>
    </w:p>
    <w:p>
      <w:pPr>
        <w:rPr>
          <w:noProof/>
          <w:sz w:val="24"/>
          <w:szCs w:val="24"/>
          <w:lang w:val="en-GB"/>
        </w:rPr>
      </w:pPr>
      <w:r>
        <w:rPr>
          <w:noProof/>
          <w:sz w:val="24"/>
          <w:szCs w:val="24"/>
          <w:lang w:val="en-GB"/>
        </w:rPr>
        <w:t>The delivery of the ICG system is dependent upon the approval by Member States and by the European Parliament of appropriate funding for the customs programme which will succeed Customs 2020 in the next Multiannual Financial Framework (MFF), and upon the allocation of resources in DG TAXUD taking into account the various priorities facing that Directorate General.</w:t>
      </w:r>
    </w:p>
    <w:p>
      <w:pPr>
        <w:rPr>
          <w:b/>
          <w:noProof/>
          <w:sz w:val="24"/>
          <w:szCs w:val="24"/>
          <w:lang w:val="en-GB"/>
        </w:rPr>
      </w:pPr>
      <w:r>
        <w:rPr>
          <w:b/>
          <w:noProof/>
          <w:sz w:val="24"/>
          <w:szCs w:val="24"/>
          <w:lang w:val="en-GB"/>
        </w:rPr>
        <w:t>Risk 1 – Staff allocation</w:t>
      </w:r>
    </w:p>
    <w:p>
      <w:pPr>
        <w:rPr>
          <w:noProof/>
          <w:sz w:val="24"/>
          <w:szCs w:val="24"/>
          <w:lang w:val="en-GB"/>
        </w:rPr>
      </w:pPr>
      <w:r>
        <w:rPr>
          <w:noProof/>
          <w:sz w:val="24"/>
          <w:szCs w:val="24"/>
          <w:lang w:val="en-GB"/>
        </w:rPr>
        <w:t>The initial proposal from the Commission did not foresee the creation of an IT system. Thus, resources were not allocated accordingly. However, in the course of the negotiations and at the request of the co-legislators, the creation of the ICG system was included in the Regulation, which called for unforeseen at that point, additional resources. The needs for this six-year project in terms of IT development personnel in DG TAXUD were estimated at the time of the final political trilogues in December 2018 to be two full time Administrator posts. However, based on financial availabilities sourced from the current Multiannual Financial Framework (MFF), only one contract staff could be allocated, from late September 2019.</w:t>
      </w:r>
    </w:p>
    <w:p>
      <w:pPr>
        <w:rPr>
          <w:noProof/>
          <w:sz w:val="24"/>
          <w:szCs w:val="24"/>
          <w:lang w:val="en-GB"/>
        </w:rPr>
      </w:pPr>
      <w:r>
        <w:rPr>
          <w:noProof/>
          <w:sz w:val="24"/>
          <w:szCs w:val="24"/>
          <w:lang w:val="en-GB"/>
        </w:rPr>
        <w:t>Moreover, the objective complexity of the project, the specific knowledge required in terms of policy and the technical tools used to develop the ICG system, made the preparation and training of a resource to be able to work on the file considerably lengthy. However, the progress on business functional specifications and system design is only slightly delayed.</w:t>
      </w:r>
    </w:p>
    <w:p>
      <w:pPr>
        <w:rPr>
          <w:b/>
          <w:noProof/>
          <w:sz w:val="24"/>
          <w:szCs w:val="24"/>
          <w:lang w:val="en-GB"/>
        </w:rPr>
      </w:pPr>
      <w:r>
        <w:rPr>
          <w:b/>
          <w:noProof/>
          <w:sz w:val="24"/>
          <w:szCs w:val="24"/>
          <w:lang w:val="en-GB"/>
        </w:rPr>
        <w:t>Risk 2 – Budget availability</w:t>
      </w:r>
    </w:p>
    <w:p>
      <w:pPr>
        <w:rPr>
          <w:noProof/>
          <w:sz w:val="24"/>
          <w:szCs w:val="24"/>
          <w:lang w:val="en-GB"/>
        </w:rPr>
      </w:pPr>
      <w:r>
        <w:rPr>
          <w:noProof/>
          <w:sz w:val="24"/>
          <w:szCs w:val="24"/>
          <w:lang w:val="en-GB"/>
        </w:rPr>
        <w:t>Budget uncertainty due to the negotiations on the new MFF render progress very challenging. Depending on the outcome of the MFF negotiations, and in the worst-case scenario the development and roll-out phases risk to come to a halt or be significantly delayed and the legal deadlines to establish the ICG system impossible to meet.</w:t>
      </w:r>
    </w:p>
    <w:p>
      <w:pPr>
        <w:rPr>
          <w:noProof/>
          <w:sz w:val="24"/>
          <w:szCs w:val="24"/>
          <w:lang w:val="en-GB"/>
        </w:rPr>
      </w:pPr>
      <w:r>
        <w:rPr>
          <w:noProof/>
          <w:sz w:val="24"/>
          <w:szCs w:val="24"/>
          <w:lang w:val="en-GB"/>
        </w:rPr>
        <w:t>In addition to the risks identified above, the COVID-19 public health crisis is affecting to some extent the team’s capacity to deliver and especially the project activities and meetings with the Expert Group and the Project Group with the Member States. In particular, one meeting of the Expert Group was cancelled, which had a direct impact on the progress of the work of the Project Group, and the next session of the latter can only be held remotely and for a third only of the time initially scheduled. Moreover, the public health crisis forced a rescheduling of priorities within Member States, thus limiting their capacity to provide input and feedback to the file. Such impact will depend on the duration of the public health crisis.</w:t>
      </w:r>
    </w:p>
    <w:p>
      <w:pPr>
        <w:rPr>
          <w:b/>
          <w:noProof/>
          <w:sz w:val="24"/>
          <w:szCs w:val="24"/>
          <w:lang w:val="en-GB"/>
        </w:rPr>
      </w:pPr>
      <w:r>
        <w:rPr>
          <w:b/>
          <w:noProof/>
          <w:sz w:val="24"/>
          <w:szCs w:val="24"/>
          <w:lang w:val="en-GB"/>
        </w:rPr>
        <w:t>Mitigation actions</w:t>
      </w:r>
    </w:p>
    <w:p>
      <w:pPr>
        <w:spacing w:after="240"/>
        <w:rPr>
          <w:noProof/>
          <w:sz w:val="24"/>
          <w:szCs w:val="24"/>
          <w:lang w:val="en-GB"/>
        </w:rPr>
      </w:pPr>
      <w:r>
        <w:rPr>
          <w:noProof/>
          <w:sz w:val="24"/>
          <w:szCs w:val="24"/>
          <w:lang w:val="en-GB"/>
        </w:rPr>
        <w:t xml:space="preserve">The risks have been documented within DG TAXUD. A post for an Administrator (AD) has been allocated on a temporary basis (2 years). </w:t>
      </w:r>
    </w:p>
    <w:p>
      <w:pPr>
        <w:pStyle w:val="Heading1"/>
        <w:keepLines w:val="0"/>
        <w:numPr>
          <w:ilvl w:val="0"/>
          <w:numId w:val="2"/>
        </w:numPr>
        <w:spacing w:after="120"/>
        <w:ind w:left="432" w:hanging="432"/>
        <w:rPr>
          <w:rFonts w:ascii="Times New Roman" w:eastAsia="Times New Roman" w:hAnsi="Times New Roman" w:cs="Times New Roman"/>
          <w:smallCaps/>
          <w:noProof/>
          <w:szCs w:val="24"/>
          <w:lang w:val="en-GB"/>
        </w:rPr>
      </w:pPr>
      <w:bookmarkStart w:id="8" w:name="_Toc41655631"/>
      <w:r>
        <w:rPr>
          <w:rFonts w:ascii="Times New Roman" w:eastAsia="Times New Roman" w:hAnsi="Times New Roman" w:cs="Times New Roman"/>
          <w:smallCaps/>
          <w:noProof/>
          <w:szCs w:val="24"/>
          <w:lang w:val="en-GB"/>
        </w:rPr>
        <w:t>CONCLUSIONS</w:t>
      </w:r>
      <w:bookmarkEnd w:id="8"/>
    </w:p>
    <w:p>
      <w:pPr>
        <w:rPr>
          <w:noProof/>
          <w:sz w:val="24"/>
          <w:szCs w:val="24"/>
          <w:lang w:val="en-GB"/>
        </w:rPr>
      </w:pPr>
      <w:r>
        <w:rPr>
          <w:noProof/>
          <w:sz w:val="24"/>
          <w:szCs w:val="24"/>
          <w:lang w:val="en-GB"/>
        </w:rPr>
        <w:t xml:space="preserve">This very first progress report of the Commission regarding the development of a centralised electronic system for the import of cultural goods (ICG) records the actions undertaken so far, namely, </w:t>
      </w:r>
    </w:p>
    <w:p>
      <w:pPr>
        <w:pStyle w:val="ListParagraph"/>
        <w:numPr>
          <w:ilvl w:val="0"/>
          <w:numId w:val="50"/>
        </w:numPr>
        <w:ind w:left="426"/>
        <w:rPr>
          <w:noProof/>
          <w:sz w:val="24"/>
          <w:szCs w:val="24"/>
          <w:lang w:val="en-GB"/>
        </w:rPr>
      </w:pPr>
      <w:r>
        <w:rPr>
          <w:noProof/>
          <w:sz w:val="24"/>
          <w:szCs w:val="24"/>
          <w:lang w:val="en-GB"/>
        </w:rPr>
        <w:t xml:space="preserve">the ongoing preparation for adopting the necessary implementing provisions, </w:t>
      </w:r>
    </w:p>
    <w:p>
      <w:pPr>
        <w:pStyle w:val="ListParagraph"/>
        <w:numPr>
          <w:ilvl w:val="0"/>
          <w:numId w:val="50"/>
        </w:numPr>
        <w:ind w:left="426"/>
        <w:rPr>
          <w:noProof/>
          <w:sz w:val="24"/>
          <w:szCs w:val="24"/>
          <w:lang w:val="en-GB"/>
        </w:rPr>
      </w:pPr>
      <w:r>
        <w:rPr>
          <w:noProof/>
          <w:sz w:val="24"/>
          <w:szCs w:val="24"/>
          <w:lang w:val="en-GB"/>
        </w:rPr>
        <w:t>the consultation with the Member States via the Expert Group for customs issues related to cultural goods and the specifically established for this purpose Project Group for the import of cultural goods.</w:t>
      </w:r>
    </w:p>
    <w:p>
      <w:pPr>
        <w:rPr>
          <w:noProof/>
          <w:sz w:val="24"/>
          <w:szCs w:val="24"/>
          <w:lang w:val="en-GB"/>
        </w:rPr>
      </w:pPr>
      <w:r>
        <w:rPr>
          <w:noProof/>
          <w:sz w:val="24"/>
          <w:szCs w:val="24"/>
          <w:lang w:val="en-GB"/>
        </w:rPr>
        <w:t>As potential risks for delay of delivering the ICG system within the set deadline of 28 June 2025 the Commission has so far identified the uncertainty surrounding the staff allocated to the project, as this depends on current budget availabilities, overall customs IT development priorities</w:t>
      </w:r>
      <w:r>
        <w:rPr>
          <w:rStyle w:val="FootnoteReference"/>
          <w:noProof/>
          <w:sz w:val="24"/>
          <w:szCs w:val="24"/>
          <w:lang w:val="en-GB"/>
        </w:rPr>
        <w:footnoteReference w:id="13"/>
      </w:r>
      <w:r>
        <w:rPr>
          <w:noProof/>
          <w:sz w:val="24"/>
          <w:szCs w:val="24"/>
          <w:lang w:val="en-GB"/>
        </w:rPr>
        <w:t xml:space="preserve"> and the future allocation in the next MFF. </w:t>
      </w:r>
    </w:p>
    <w:p>
      <w:pPr>
        <w:spacing w:after="160" w:line="259" w:lineRule="auto"/>
        <w:jc w:val="left"/>
        <w:rPr>
          <w:rFonts w:ascii="Times New Roman Bold" w:eastAsiaTheme="majorEastAsia" w:hAnsi="Times New Roman Bold" w:cstheme="majorBidi"/>
          <w:b/>
          <w:caps/>
          <w:noProof/>
          <w:sz w:val="24"/>
          <w:szCs w:val="32"/>
        </w:rPr>
      </w:pPr>
      <w:r>
        <w:rPr>
          <w:noProof/>
        </w:rPr>
        <w:br w:type="page"/>
      </w:r>
    </w:p>
    <w:p>
      <w:pPr>
        <w:pStyle w:val="Heading1"/>
        <w:spacing w:after="240"/>
        <w:jc w:val="center"/>
        <w:rPr>
          <w:noProof/>
        </w:rPr>
      </w:pPr>
      <w:bookmarkStart w:id="9" w:name="_Toc41655632"/>
      <w:r>
        <w:rPr>
          <w:noProof/>
        </w:rPr>
        <w:t>Annex I: Multi annual strategic planning</w:t>
      </w:r>
      <w:bookmarkEnd w:id="9"/>
    </w:p>
    <w:p>
      <w:pPr>
        <w:pStyle w:val="Default"/>
        <w:spacing w:after="120"/>
        <w:jc w:val="both"/>
        <w:rPr>
          <w:noProof/>
          <w:color w:val="auto"/>
          <w:lang w:val="en-GB"/>
        </w:rPr>
      </w:pPr>
      <w:r>
        <w:rPr>
          <w:noProof/>
          <w:color w:val="auto"/>
          <w:lang w:val="en-GB"/>
        </w:rPr>
        <w:t>The MASP-C ensures an effective and coherent management of IT projects by setting out both a strategic framework and milestones. It is ultimately endorsed by the Member States in the Customs Policy Group (CPG) based on expert advice provided by the Electronic Customs Coordination Group (ECCG) and consultations with trade at the Trade Contact Group (TCG).</w:t>
      </w:r>
    </w:p>
    <w:p>
      <w:pPr>
        <w:pStyle w:val="Default"/>
        <w:spacing w:after="120"/>
        <w:jc w:val="both"/>
        <w:rPr>
          <w:noProof/>
          <w:color w:val="auto"/>
          <w:lang w:val="en-GB"/>
        </w:rPr>
      </w:pPr>
      <w:r>
        <w:rPr>
          <w:noProof/>
          <w:color w:val="auto"/>
          <w:lang w:val="en-GB"/>
        </w:rPr>
        <w:t>The planning for the electronic system has been discussed and approved by the Member States and is described in detail in Fiche 1.18 of the MASP-C rev. 2019.</w:t>
      </w:r>
    </w:p>
    <w:p>
      <w:pPr>
        <w:pStyle w:val="Default"/>
        <w:spacing w:after="240"/>
        <w:jc w:val="both"/>
        <w:rPr>
          <w:noProof/>
          <w:color w:val="auto"/>
          <w:lang w:val="en-GB"/>
        </w:rPr>
      </w:pPr>
      <w:r>
        <w:rPr>
          <w:noProof/>
          <w:color w:val="auto"/>
          <w:lang w:val="en-GB"/>
        </w:rPr>
        <w:t>Table 1 below provides an excerpt of the planning of the project on the import of cultural goods from MASP-C rev. 2019 Fiche 1.18.</w:t>
      </w:r>
    </w:p>
    <w:tbl>
      <w:tblPr>
        <w:tblStyle w:val="TableGrid"/>
        <w:tblW w:w="0" w:type="auto"/>
        <w:tblInd w:w="108" w:type="dxa"/>
        <w:tblLook w:val="04A0" w:firstRow="1" w:lastRow="0" w:firstColumn="1" w:lastColumn="0" w:noHBand="0" w:noVBand="1"/>
      </w:tblPr>
      <w:tblGrid>
        <w:gridCol w:w="426"/>
        <w:gridCol w:w="5244"/>
        <w:gridCol w:w="3261"/>
      </w:tblGrid>
      <w:tr>
        <w:tc>
          <w:tcPr>
            <w:tcW w:w="8931" w:type="dxa"/>
            <w:gridSpan w:val="3"/>
            <w:tcBorders>
              <w:bottom w:val="single" w:sz="4" w:space="0" w:color="auto"/>
              <w:right w:val="single" w:sz="4" w:space="0" w:color="auto"/>
            </w:tcBorders>
          </w:tcPr>
          <w:p>
            <w:pPr>
              <w:pStyle w:val="Default"/>
              <w:spacing w:before="120" w:after="120"/>
              <w:rPr>
                <w:b/>
                <w:i/>
                <w:noProof/>
                <w:color w:val="auto"/>
                <w:lang w:val="en-GB"/>
              </w:rPr>
            </w:pPr>
            <w:r>
              <w:rPr>
                <w:b/>
                <w:i/>
                <w:noProof/>
                <w:color w:val="auto"/>
                <w:sz w:val="20"/>
                <w:lang w:val="en-GB"/>
              </w:rPr>
              <w:t>Table 1 - Excerpt of MASP-C rev. 2019 Fiche 1.18</w:t>
            </w:r>
          </w:p>
        </w:tc>
      </w:tr>
      <w:tr>
        <w:tc>
          <w:tcPr>
            <w:tcW w:w="426" w:type="dxa"/>
            <w:tcBorders>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i/>
                <w:noProof/>
                <w:color w:val="auto"/>
                <w:sz w:val="20"/>
                <w:szCs w:val="20"/>
                <w:lang w:val="en-GB"/>
              </w:rPr>
            </w:pPr>
            <w:r>
              <w:rPr>
                <w:i/>
                <w:noProof/>
                <w:color w:val="auto"/>
                <w:sz w:val="20"/>
                <w:szCs w:val="20"/>
                <w:lang w:val="en-GB"/>
              </w:rPr>
              <w:t>Milestones</w:t>
            </w:r>
          </w:p>
        </w:tc>
        <w:tc>
          <w:tcPr>
            <w:tcW w:w="3261" w:type="dxa"/>
            <w:tcBorders>
              <w:right w:val="single" w:sz="4" w:space="0" w:color="auto"/>
            </w:tcBorders>
          </w:tcPr>
          <w:p>
            <w:pPr>
              <w:pStyle w:val="Default"/>
              <w:spacing w:before="40" w:after="40"/>
              <w:jc w:val="center"/>
              <w:rPr>
                <w:i/>
                <w:noProof/>
                <w:color w:val="auto"/>
                <w:sz w:val="20"/>
                <w:szCs w:val="20"/>
                <w:lang w:val="en-GB"/>
              </w:rPr>
            </w:pPr>
            <w:r>
              <w:rPr>
                <w:i/>
                <w:noProof/>
                <w:color w:val="auto"/>
                <w:sz w:val="20"/>
                <w:szCs w:val="20"/>
                <w:lang w:val="en-GB"/>
              </w:rPr>
              <w:t>Estimated completion date</w:t>
            </w:r>
          </w:p>
        </w:tc>
      </w:tr>
      <w:tr>
        <w:tc>
          <w:tcPr>
            <w:tcW w:w="426" w:type="dxa"/>
            <w:tcBorders>
              <w:bottom w:val="nil"/>
            </w:tcBorders>
          </w:tcPr>
          <w:p>
            <w:pPr>
              <w:pStyle w:val="Default"/>
              <w:spacing w:before="40" w:after="40"/>
              <w:jc w:val="both"/>
              <w:rPr>
                <w:noProof/>
                <w:color w:val="auto"/>
                <w:sz w:val="20"/>
                <w:szCs w:val="20"/>
                <w:lang w:val="en-GB"/>
              </w:rPr>
            </w:pPr>
            <w:r>
              <w:rPr>
                <w:noProof/>
                <w:color w:val="auto"/>
                <w:sz w:val="20"/>
                <w:szCs w:val="20"/>
                <w:lang w:val="en-GB"/>
              </w:rPr>
              <w:t>1</w:t>
            </w:r>
          </w:p>
        </w:tc>
        <w:tc>
          <w:tcPr>
            <w:tcW w:w="5244" w:type="dxa"/>
          </w:tcPr>
          <w:p>
            <w:pPr>
              <w:pStyle w:val="Default"/>
              <w:spacing w:before="40" w:after="40"/>
              <w:rPr>
                <w:b/>
                <w:noProof/>
                <w:color w:val="auto"/>
                <w:sz w:val="20"/>
                <w:szCs w:val="20"/>
                <w:lang w:val="en-GB"/>
              </w:rPr>
            </w:pPr>
            <w:r>
              <w:rPr>
                <w:b/>
                <w:noProof/>
                <w:color w:val="auto"/>
                <w:sz w:val="20"/>
                <w:szCs w:val="20"/>
                <w:lang w:val="en-GB"/>
              </w:rPr>
              <w:t>Business Analysis and Business Modelling</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b/>
                <w:noProof/>
                <w:color w:val="auto"/>
                <w:sz w:val="20"/>
                <w:szCs w:val="20"/>
                <w:lang w:val="en-GB"/>
              </w:rPr>
              <w:t xml:space="preserve">- </w:t>
            </w:r>
            <w:r>
              <w:rPr>
                <w:noProof/>
                <w:color w:val="auto"/>
                <w:sz w:val="20"/>
                <w:szCs w:val="20"/>
                <w:lang w:val="en-GB"/>
              </w:rPr>
              <w:t>Business Case Document</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Q4 2020</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Level 3 (User Requirements BPM)</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Q1 2022</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Level 4 (Functional Requirement detailed BPM)</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Q1 2022</w:t>
            </w:r>
          </w:p>
        </w:tc>
      </w:tr>
      <w:tr>
        <w:tc>
          <w:tcPr>
            <w:tcW w:w="426" w:type="dxa"/>
            <w:tcBorders>
              <w:bottom w:val="nil"/>
            </w:tcBorders>
          </w:tcPr>
          <w:p>
            <w:pPr>
              <w:pStyle w:val="Default"/>
              <w:spacing w:before="40" w:after="40"/>
              <w:jc w:val="both"/>
              <w:rPr>
                <w:noProof/>
                <w:color w:val="auto"/>
                <w:sz w:val="20"/>
                <w:szCs w:val="20"/>
                <w:lang w:val="en-GB"/>
              </w:rPr>
            </w:pPr>
            <w:r>
              <w:rPr>
                <w:noProof/>
                <w:color w:val="auto"/>
                <w:sz w:val="20"/>
                <w:szCs w:val="20"/>
                <w:lang w:val="en-GB"/>
              </w:rPr>
              <w:t>2</w:t>
            </w:r>
          </w:p>
        </w:tc>
        <w:tc>
          <w:tcPr>
            <w:tcW w:w="5244" w:type="dxa"/>
          </w:tcPr>
          <w:p>
            <w:pPr>
              <w:pStyle w:val="Default"/>
              <w:spacing w:before="40" w:after="40"/>
              <w:rPr>
                <w:b/>
                <w:noProof/>
                <w:color w:val="auto"/>
                <w:sz w:val="20"/>
                <w:szCs w:val="20"/>
                <w:lang w:val="en-GB"/>
              </w:rPr>
            </w:pPr>
            <w:r>
              <w:rPr>
                <w:b/>
                <w:noProof/>
                <w:color w:val="auto"/>
                <w:sz w:val="20"/>
                <w:szCs w:val="20"/>
                <w:lang w:val="en-GB"/>
              </w:rPr>
              <w:t>Legal Provisions</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Current provisions adopted*</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Q2 2019</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Future provisions adopted**</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Q2 2021</w:t>
            </w:r>
          </w:p>
        </w:tc>
      </w:tr>
      <w:tr>
        <w:tc>
          <w:tcPr>
            <w:tcW w:w="426" w:type="dxa"/>
            <w:tcBorders>
              <w:bottom w:val="nil"/>
            </w:tcBorders>
          </w:tcPr>
          <w:p>
            <w:pPr>
              <w:pStyle w:val="Default"/>
              <w:spacing w:before="40" w:after="40"/>
              <w:jc w:val="both"/>
              <w:rPr>
                <w:noProof/>
                <w:color w:val="auto"/>
                <w:sz w:val="20"/>
                <w:szCs w:val="20"/>
                <w:lang w:val="en-GB"/>
              </w:rPr>
            </w:pPr>
            <w:r>
              <w:rPr>
                <w:noProof/>
                <w:color w:val="auto"/>
                <w:sz w:val="20"/>
                <w:szCs w:val="20"/>
                <w:lang w:val="en-GB"/>
              </w:rPr>
              <w:t>3</w:t>
            </w:r>
          </w:p>
        </w:tc>
        <w:tc>
          <w:tcPr>
            <w:tcW w:w="5244" w:type="dxa"/>
          </w:tcPr>
          <w:p>
            <w:pPr>
              <w:pStyle w:val="Default"/>
              <w:spacing w:before="40" w:after="40"/>
              <w:rPr>
                <w:b/>
                <w:noProof/>
                <w:color w:val="auto"/>
                <w:sz w:val="20"/>
                <w:szCs w:val="20"/>
                <w:lang w:val="en-GB"/>
              </w:rPr>
            </w:pPr>
            <w:r>
              <w:rPr>
                <w:b/>
                <w:noProof/>
                <w:color w:val="auto"/>
                <w:sz w:val="20"/>
                <w:szCs w:val="20"/>
                <w:lang w:val="en-GB"/>
              </w:rPr>
              <w:t>Project Initiation Phase</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Vision Document</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Q2 2021</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GO decision</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Q2 2021</w:t>
            </w:r>
          </w:p>
        </w:tc>
      </w:tr>
      <w:tr>
        <w:tc>
          <w:tcPr>
            <w:tcW w:w="426" w:type="dxa"/>
            <w:tcBorders>
              <w:bottom w:val="nil"/>
            </w:tcBorders>
          </w:tcPr>
          <w:p>
            <w:pPr>
              <w:pStyle w:val="Default"/>
              <w:spacing w:before="40" w:after="40"/>
              <w:jc w:val="both"/>
              <w:rPr>
                <w:noProof/>
                <w:color w:val="auto"/>
                <w:sz w:val="20"/>
                <w:szCs w:val="20"/>
                <w:lang w:val="en-GB"/>
              </w:rPr>
            </w:pPr>
            <w:r>
              <w:rPr>
                <w:noProof/>
                <w:color w:val="auto"/>
                <w:sz w:val="20"/>
                <w:szCs w:val="20"/>
                <w:lang w:val="en-GB"/>
              </w:rPr>
              <w:t>4</w:t>
            </w:r>
          </w:p>
        </w:tc>
        <w:tc>
          <w:tcPr>
            <w:tcW w:w="5244" w:type="dxa"/>
          </w:tcPr>
          <w:p>
            <w:pPr>
              <w:pStyle w:val="Default"/>
              <w:spacing w:before="40" w:after="40"/>
              <w:rPr>
                <w:b/>
                <w:noProof/>
                <w:color w:val="auto"/>
                <w:sz w:val="20"/>
                <w:szCs w:val="20"/>
                <w:lang w:val="en-GB"/>
              </w:rPr>
            </w:pPr>
            <w:r>
              <w:rPr>
                <w:b/>
                <w:noProof/>
                <w:color w:val="auto"/>
                <w:sz w:val="20"/>
                <w:szCs w:val="20"/>
                <w:lang w:val="en-GB"/>
              </w:rPr>
              <w:t>IT Project</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Application &amp; Service Specifications</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Q2 2023</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Technical System Specifications</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Q2 2023</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b/>
                <w:noProof/>
                <w:color w:val="auto"/>
                <w:sz w:val="20"/>
                <w:szCs w:val="20"/>
                <w:lang w:val="en-GB"/>
              </w:rPr>
            </w:pPr>
            <w:r>
              <w:rPr>
                <w:b/>
                <w:noProof/>
                <w:color w:val="auto"/>
                <w:sz w:val="20"/>
                <w:szCs w:val="20"/>
                <w:lang w:val="en-GB"/>
              </w:rPr>
              <w:t>Construction Phase</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Central services implementation</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Q3 2024</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Service integration in National Systems</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N/A</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National implementation</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N/A</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b/>
                <w:noProof/>
                <w:color w:val="auto"/>
                <w:sz w:val="20"/>
                <w:szCs w:val="20"/>
                <w:lang w:val="en-GB"/>
              </w:rPr>
            </w:pPr>
            <w:r>
              <w:rPr>
                <w:b/>
                <w:noProof/>
                <w:color w:val="auto"/>
                <w:sz w:val="20"/>
                <w:szCs w:val="20"/>
                <w:lang w:val="en-GB"/>
              </w:rPr>
              <w:t>Transition Phase</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Deploy and rollout</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Q4 2024</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Conformance tests</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Q2 2025</w:t>
            </w:r>
          </w:p>
        </w:tc>
      </w:tr>
      <w:tr>
        <w:tc>
          <w:tcPr>
            <w:tcW w:w="426" w:type="dxa"/>
            <w:tcBorders>
              <w:bottom w:val="nil"/>
            </w:tcBorders>
          </w:tcPr>
          <w:p>
            <w:pPr>
              <w:pStyle w:val="Default"/>
              <w:spacing w:before="40" w:after="40"/>
              <w:jc w:val="both"/>
              <w:rPr>
                <w:noProof/>
                <w:color w:val="auto"/>
                <w:sz w:val="20"/>
                <w:szCs w:val="20"/>
                <w:lang w:val="en-GB"/>
              </w:rPr>
            </w:pPr>
            <w:r>
              <w:rPr>
                <w:noProof/>
                <w:color w:val="auto"/>
                <w:sz w:val="20"/>
                <w:szCs w:val="20"/>
                <w:lang w:val="en-GB"/>
              </w:rPr>
              <w:t>5</w:t>
            </w:r>
          </w:p>
        </w:tc>
        <w:tc>
          <w:tcPr>
            <w:tcW w:w="5244" w:type="dxa"/>
          </w:tcPr>
          <w:p>
            <w:pPr>
              <w:pStyle w:val="Default"/>
              <w:spacing w:before="40" w:after="40"/>
              <w:rPr>
                <w:b/>
                <w:noProof/>
                <w:color w:val="auto"/>
                <w:sz w:val="20"/>
                <w:szCs w:val="20"/>
                <w:lang w:val="en-GB"/>
              </w:rPr>
            </w:pPr>
            <w:r>
              <w:rPr>
                <w:b/>
                <w:noProof/>
                <w:color w:val="auto"/>
                <w:sz w:val="20"/>
                <w:szCs w:val="20"/>
                <w:lang w:val="en-GB"/>
              </w:rPr>
              <w:t>Operation</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Commission, Member States administrations and Traders</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Q2 2025</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Non-EU Countries and non-EU traders (in case required)</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N/A</w:t>
            </w:r>
          </w:p>
        </w:tc>
      </w:tr>
      <w:tr>
        <w:tc>
          <w:tcPr>
            <w:tcW w:w="426" w:type="dxa"/>
            <w:tcBorders>
              <w:bottom w:val="nil"/>
            </w:tcBorders>
          </w:tcPr>
          <w:p>
            <w:pPr>
              <w:pStyle w:val="Default"/>
              <w:spacing w:before="40" w:after="40"/>
              <w:jc w:val="both"/>
              <w:rPr>
                <w:noProof/>
                <w:color w:val="auto"/>
                <w:sz w:val="20"/>
                <w:szCs w:val="20"/>
                <w:lang w:val="en-GB"/>
              </w:rPr>
            </w:pPr>
            <w:r>
              <w:rPr>
                <w:noProof/>
                <w:color w:val="auto"/>
                <w:sz w:val="20"/>
                <w:szCs w:val="20"/>
                <w:lang w:val="en-GB"/>
              </w:rPr>
              <w:t>6</w:t>
            </w:r>
          </w:p>
        </w:tc>
        <w:tc>
          <w:tcPr>
            <w:tcW w:w="5244" w:type="dxa"/>
          </w:tcPr>
          <w:p>
            <w:pPr>
              <w:pStyle w:val="Default"/>
              <w:spacing w:before="40" w:after="40"/>
              <w:rPr>
                <w:b/>
                <w:noProof/>
                <w:color w:val="auto"/>
                <w:sz w:val="20"/>
                <w:szCs w:val="20"/>
                <w:lang w:val="en-GB"/>
              </w:rPr>
            </w:pPr>
            <w:r>
              <w:rPr>
                <w:b/>
                <w:noProof/>
                <w:color w:val="auto"/>
                <w:sz w:val="20"/>
                <w:szCs w:val="20"/>
                <w:lang w:val="en-GB"/>
              </w:rPr>
              <w:t>Implementation support (training and communication)</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Centrally developed training and communication</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Q4 2024</w:t>
            </w:r>
          </w:p>
        </w:tc>
      </w:tr>
      <w:tr>
        <w:tc>
          <w:tcPr>
            <w:tcW w:w="426" w:type="dxa"/>
            <w:tcBorders>
              <w:top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National training and communication</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Q4 2024</w:t>
            </w:r>
          </w:p>
        </w:tc>
      </w:tr>
    </w:tbl>
    <w:p>
      <w:pPr>
        <w:pStyle w:val="Default"/>
        <w:spacing w:before="240"/>
        <w:jc w:val="both"/>
        <w:rPr>
          <w:noProof/>
          <w:color w:val="auto"/>
          <w:sz w:val="20"/>
          <w:szCs w:val="20"/>
          <w:lang w:val="en-GB"/>
        </w:rPr>
      </w:pPr>
      <w:r>
        <w:rPr>
          <w:noProof/>
          <w:color w:val="auto"/>
          <w:sz w:val="20"/>
          <w:szCs w:val="20"/>
          <w:lang w:val="en-GB"/>
        </w:rPr>
        <w:t>*Current provisions refer to Regulation (EU) 2019/880</w:t>
      </w:r>
    </w:p>
    <w:p>
      <w:pPr>
        <w:pStyle w:val="Default"/>
        <w:spacing w:after="360"/>
        <w:jc w:val="both"/>
        <w:rPr>
          <w:noProof/>
          <w:color w:val="auto"/>
          <w:sz w:val="20"/>
          <w:szCs w:val="20"/>
          <w:lang w:val="en-GB"/>
        </w:rPr>
      </w:pPr>
      <w:r>
        <w:rPr>
          <w:noProof/>
          <w:color w:val="auto"/>
          <w:sz w:val="20"/>
          <w:szCs w:val="20"/>
          <w:lang w:val="en-GB"/>
        </w:rPr>
        <w:t>**Future provisions refer to the implementing provisions to be adopted according to Regulation (EU) 2019/880</w:t>
      </w:r>
    </w:p>
    <w:p>
      <w:pPr>
        <w:pStyle w:val="Default"/>
        <w:spacing w:after="360"/>
        <w:jc w:val="both"/>
        <w:rPr>
          <w:noProof/>
          <w:color w:val="auto"/>
          <w:lang w:val="en-GB"/>
        </w:rPr>
      </w:pPr>
      <w:r>
        <w:rPr>
          <w:noProof/>
          <w:color w:val="auto"/>
          <w:lang w:val="en-GB"/>
        </w:rPr>
        <w:t>Table 2 provides an excerpt of the EU CSW-CERTEX project, with a focus on Component 2 of the EU-CSW CERTEX project, interconnecting the ICG system.</w:t>
      </w:r>
    </w:p>
    <w:tbl>
      <w:tblPr>
        <w:tblStyle w:val="TableGrid"/>
        <w:tblW w:w="0" w:type="auto"/>
        <w:tblInd w:w="108" w:type="dxa"/>
        <w:tblLook w:val="04A0" w:firstRow="1" w:lastRow="0" w:firstColumn="1" w:lastColumn="0" w:noHBand="0" w:noVBand="1"/>
      </w:tblPr>
      <w:tblGrid>
        <w:gridCol w:w="426"/>
        <w:gridCol w:w="5244"/>
        <w:gridCol w:w="3261"/>
      </w:tblGrid>
      <w:tr>
        <w:tc>
          <w:tcPr>
            <w:tcW w:w="8931" w:type="dxa"/>
            <w:gridSpan w:val="3"/>
            <w:tcBorders>
              <w:bottom w:val="single" w:sz="4" w:space="0" w:color="auto"/>
              <w:right w:val="single" w:sz="4" w:space="0" w:color="auto"/>
            </w:tcBorders>
          </w:tcPr>
          <w:p>
            <w:pPr>
              <w:pStyle w:val="Default"/>
              <w:spacing w:before="120" w:after="120"/>
              <w:rPr>
                <w:b/>
                <w:i/>
                <w:noProof/>
                <w:color w:val="auto"/>
                <w:lang w:val="en-GB"/>
              </w:rPr>
            </w:pPr>
            <w:r>
              <w:rPr>
                <w:b/>
                <w:i/>
                <w:noProof/>
                <w:color w:val="auto"/>
                <w:sz w:val="20"/>
                <w:lang w:val="en-GB"/>
              </w:rPr>
              <w:t>Table 2 - Excerpt of MASP-C rev. 2019 Fiche 1.13 – Component 2 “EU CSW- CERTEX”</w:t>
            </w:r>
          </w:p>
        </w:tc>
      </w:tr>
      <w:tr>
        <w:tc>
          <w:tcPr>
            <w:tcW w:w="426" w:type="dxa"/>
            <w:tcBorders>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i/>
                <w:noProof/>
                <w:color w:val="auto"/>
                <w:sz w:val="20"/>
                <w:szCs w:val="20"/>
                <w:lang w:val="en-GB"/>
              </w:rPr>
            </w:pPr>
            <w:r>
              <w:rPr>
                <w:i/>
                <w:noProof/>
                <w:color w:val="auto"/>
                <w:sz w:val="20"/>
                <w:szCs w:val="20"/>
                <w:lang w:val="en-GB"/>
              </w:rPr>
              <w:t>Milestones</w:t>
            </w:r>
          </w:p>
        </w:tc>
        <w:tc>
          <w:tcPr>
            <w:tcW w:w="3261" w:type="dxa"/>
            <w:tcBorders>
              <w:right w:val="single" w:sz="4" w:space="0" w:color="auto"/>
            </w:tcBorders>
          </w:tcPr>
          <w:p>
            <w:pPr>
              <w:pStyle w:val="Default"/>
              <w:spacing w:before="40" w:after="40"/>
              <w:jc w:val="center"/>
              <w:rPr>
                <w:i/>
                <w:noProof/>
                <w:color w:val="auto"/>
                <w:sz w:val="20"/>
                <w:szCs w:val="20"/>
                <w:lang w:val="en-GB"/>
              </w:rPr>
            </w:pPr>
            <w:r>
              <w:rPr>
                <w:i/>
                <w:noProof/>
                <w:color w:val="auto"/>
                <w:sz w:val="20"/>
                <w:szCs w:val="20"/>
                <w:lang w:val="en-GB"/>
              </w:rPr>
              <w:t>Estimated completion date</w:t>
            </w:r>
          </w:p>
        </w:tc>
      </w:tr>
      <w:tr>
        <w:tc>
          <w:tcPr>
            <w:tcW w:w="426" w:type="dxa"/>
            <w:tcBorders>
              <w:bottom w:val="nil"/>
            </w:tcBorders>
          </w:tcPr>
          <w:p>
            <w:pPr>
              <w:pStyle w:val="Default"/>
              <w:spacing w:before="40" w:after="40"/>
              <w:jc w:val="both"/>
              <w:rPr>
                <w:noProof/>
                <w:color w:val="auto"/>
                <w:sz w:val="20"/>
                <w:szCs w:val="20"/>
                <w:lang w:val="en-GB"/>
              </w:rPr>
            </w:pPr>
            <w:r>
              <w:rPr>
                <w:noProof/>
                <w:color w:val="auto"/>
                <w:sz w:val="20"/>
                <w:szCs w:val="20"/>
                <w:lang w:val="en-GB"/>
              </w:rPr>
              <w:t>1</w:t>
            </w:r>
          </w:p>
        </w:tc>
        <w:tc>
          <w:tcPr>
            <w:tcW w:w="5244" w:type="dxa"/>
          </w:tcPr>
          <w:p>
            <w:pPr>
              <w:pStyle w:val="Default"/>
              <w:spacing w:before="40" w:after="40"/>
              <w:rPr>
                <w:b/>
                <w:noProof/>
                <w:color w:val="auto"/>
                <w:sz w:val="20"/>
                <w:szCs w:val="20"/>
                <w:lang w:val="en-GB"/>
              </w:rPr>
            </w:pPr>
            <w:r>
              <w:rPr>
                <w:b/>
                <w:noProof/>
                <w:color w:val="auto"/>
                <w:sz w:val="20"/>
                <w:szCs w:val="20"/>
                <w:lang w:val="en-GB"/>
              </w:rPr>
              <w:t>Business Analysis and Business Modelling</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b/>
                <w:noProof/>
                <w:color w:val="auto"/>
                <w:sz w:val="20"/>
                <w:szCs w:val="20"/>
                <w:lang w:val="en-GB"/>
              </w:rPr>
              <w:t xml:space="preserve">- </w:t>
            </w:r>
            <w:r>
              <w:rPr>
                <w:noProof/>
                <w:color w:val="auto"/>
                <w:sz w:val="20"/>
                <w:szCs w:val="20"/>
                <w:lang w:val="en-GB"/>
              </w:rPr>
              <w:t>Business Case Document</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Q1 2017</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Business Case Annex</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Q2 2023</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Level 3 (User Requirements BPM)</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Q1 2024</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Level 4 (Functional Requirement detailed BPM)</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Q1 2024</w:t>
            </w:r>
          </w:p>
        </w:tc>
      </w:tr>
      <w:tr>
        <w:tc>
          <w:tcPr>
            <w:tcW w:w="426" w:type="dxa"/>
            <w:tcBorders>
              <w:bottom w:val="nil"/>
            </w:tcBorders>
          </w:tcPr>
          <w:p>
            <w:pPr>
              <w:pStyle w:val="Default"/>
              <w:spacing w:before="40" w:after="40"/>
              <w:jc w:val="both"/>
              <w:rPr>
                <w:noProof/>
                <w:color w:val="auto"/>
                <w:sz w:val="20"/>
                <w:szCs w:val="20"/>
                <w:lang w:val="en-GB"/>
              </w:rPr>
            </w:pPr>
            <w:r>
              <w:rPr>
                <w:noProof/>
                <w:color w:val="auto"/>
                <w:sz w:val="20"/>
                <w:szCs w:val="20"/>
                <w:lang w:val="en-GB"/>
              </w:rPr>
              <w:t>2</w:t>
            </w:r>
          </w:p>
        </w:tc>
        <w:tc>
          <w:tcPr>
            <w:tcW w:w="5244" w:type="dxa"/>
          </w:tcPr>
          <w:p>
            <w:pPr>
              <w:pStyle w:val="Default"/>
              <w:spacing w:before="40" w:after="40"/>
              <w:rPr>
                <w:b/>
                <w:noProof/>
                <w:color w:val="auto"/>
                <w:sz w:val="20"/>
                <w:szCs w:val="20"/>
                <w:lang w:val="en-GB"/>
              </w:rPr>
            </w:pPr>
            <w:r>
              <w:rPr>
                <w:b/>
                <w:noProof/>
                <w:color w:val="auto"/>
                <w:sz w:val="20"/>
                <w:szCs w:val="20"/>
                <w:lang w:val="en-GB"/>
              </w:rPr>
              <w:t>Legal Provisions</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Current provisions adopted*</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In force</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Future provisions adopted**</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2021</w:t>
            </w:r>
          </w:p>
        </w:tc>
      </w:tr>
      <w:tr>
        <w:tc>
          <w:tcPr>
            <w:tcW w:w="426" w:type="dxa"/>
            <w:tcBorders>
              <w:bottom w:val="nil"/>
            </w:tcBorders>
          </w:tcPr>
          <w:p>
            <w:pPr>
              <w:pStyle w:val="Default"/>
              <w:spacing w:before="40" w:after="40"/>
              <w:jc w:val="both"/>
              <w:rPr>
                <w:noProof/>
                <w:color w:val="auto"/>
                <w:sz w:val="20"/>
                <w:szCs w:val="20"/>
                <w:lang w:val="en-GB"/>
              </w:rPr>
            </w:pPr>
            <w:r>
              <w:rPr>
                <w:noProof/>
                <w:color w:val="auto"/>
                <w:sz w:val="20"/>
                <w:szCs w:val="20"/>
                <w:lang w:val="en-GB"/>
              </w:rPr>
              <w:t>3</w:t>
            </w:r>
          </w:p>
        </w:tc>
        <w:tc>
          <w:tcPr>
            <w:tcW w:w="5244" w:type="dxa"/>
          </w:tcPr>
          <w:p>
            <w:pPr>
              <w:pStyle w:val="Default"/>
              <w:spacing w:before="40" w:after="40"/>
              <w:rPr>
                <w:b/>
                <w:noProof/>
                <w:color w:val="auto"/>
                <w:sz w:val="20"/>
                <w:szCs w:val="20"/>
                <w:lang w:val="en-GB"/>
              </w:rPr>
            </w:pPr>
            <w:r>
              <w:rPr>
                <w:b/>
                <w:noProof/>
                <w:color w:val="auto"/>
                <w:sz w:val="20"/>
                <w:szCs w:val="20"/>
                <w:lang w:val="en-GB"/>
              </w:rPr>
              <w:t>Project Initiation Phase</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Vision Document</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Q3 2017</w:t>
            </w:r>
          </w:p>
        </w:tc>
      </w:tr>
      <w:tr>
        <w:tc>
          <w:tcPr>
            <w:tcW w:w="426" w:type="dxa"/>
            <w:tcBorders>
              <w:top w:val="nil"/>
              <w:bottom w:val="nil"/>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Vision Document Annex</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Q3 2023</w:t>
            </w:r>
          </w:p>
        </w:tc>
      </w:tr>
      <w:tr>
        <w:tc>
          <w:tcPr>
            <w:tcW w:w="426" w:type="dxa"/>
            <w:tcBorders>
              <w:top w:val="nil"/>
              <w:bottom w:val="single" w:sz="4" w:space="0" w:color="auto"/>
            </w:tcBorders>
          </w:tcPr>
          <w:p>
            <w:pPr>
              <w:pStyle w:val="Default"/>
              <w:spacing w:before="40" w:after="40"/>
              <w:jc w:val="both"/>
              <w:rPr>
                <w:noProof/>
                <w:color w:val="auto"/>
                <w:sz w:val="20"/>
                <w:szCs w:val="20"/>
                <w:lang w:val="en-GB"/>
              </w:rPr>
            </w:pPr>
          </w:p>
        </w:tc>
        <w:tc>
          <w:tcPr>
            <w:tcW w:w="5244" w:type="dxa"/>
          </w:tcPr>
          <w:p>
            <w:pPr>
              <w:pStyle w:val="Default"/>
              <w:spacing w:before="40" w:after="40"/>
              <w:rPr>
                <w:noProof/>
                <w:color w:val="auto"/>
                <w:sz w:val="20"/>
                <w:szCs w:val="20"/>
                <w:lang w:val="en-GB"/>
              </w:rPr>
            </w:pPr>
            <w:r>
              <w:rPr>
                <w:noProof/>
                <w:color w:val="auto"/>
                <w:sz w:val="20"/>
                <w:szCs w:val="20"/>
                <w:lang w:val="en-GB"/>
              </w:rPr>
              <w:t>- GO decision</w:t>
            </w:r>
          </w:p>
        </w:tc>
        <w:tc>
          <w:tcPr>
            <w:tcW w:w="3261" w:type="dxa"/>
            <w:tcBorders>
              <w:right w:val="single" w:sz="4" w:space="0" w:color="auto"/>
            </w:tcBorders>
          </w:tcPr>
          <w:p>
            <w:pPr>
              <w:pStyle w:val="Default"/>
              <w:spacing w:before="40" w:after="40"/>
              <w:jc w:val="center"/>
              <w:rPr>
                <w:noProof/>
                <w:color w:val="auto"/>
                <w:sz w:val="20"/>
                <w:szCs w:val="20"/>
                <w:lang w:val="en-GB"/>
              </w:rPr>
            </w:pPr>
            <w:r>
              <w:rPr>
                <w:noProof/>
                <w:color w:val="auto"/>
                <w:sz w:val="20"/>
                <w:szCs w:val="20"/>
                <w:lang w:val="en-GB"/>
              </w:rPr>
              <w:t>Q3 2023</w:t>
            </w:r>
          </w:p>
        </w:tc>
      </w:tr>
      <w:tr>
        <w:tc>
          <w:tcPr>
            <w:tcW w:w="426" w:type="dxa"/>
            <w:tcBorders>
              <w:bottom w:val="nil"/>
            </w:tcBorders>
          </w:tcPr>
          <w:p>
            <w:pPr>
              <w:pStyle w:val="Default"/>
              <w:spacing w:before="40" w:after="40"/>
              <w:jc w:val="both"/>
              <w:rPr>
                <w:noProof/>
                <w:color w:val="auto"/>
                <w:sz w:val="20"/>
                <w:szCs w:val="20"/>
                <w:lang w:val="en-GB"/>
              </w:rPr>
            </w:pPr>
            <w:r>
              <w:rPr>
                <w:noProof/>
                <w:color w:val="auto"/>
                <w:sz w:val="20"/>
                <w:szCs w:val="20"/>
                <w:lang w:val="en-GB"/>
              </w:rPr>
              <w:t>4</w:t>
            </w:r>
          </w:p>
        </w:tc>
        <w:tc>
          <w:tcPr>
            <w:tcW w:w="5244" w:type="dxa"/>
          </w:tcPr>
          <w:p>
            <w:pPr>
              <w:pStyle w:val="Default"/>
              <w:spacing w:before="40" w:after="40"/>
              <w:rPr>
                <w:b/>
                <w:noProof/>
                <w:color w:val="auto"/>
                <w:sz w:val="20"/>
                <w:szCs w:val="20"/>
                <w:lang w:val="en-GB"/>
              </w:rPr>
            </w:pPr>
            <w:r>
              <w:rPr>
                <w:b/>
                <w:noProof/>
                <w:color w:val="auto"/>
                <w:sz w:val="20"/>
                <w:szCs w:val="20"/>
                <w:lang w:val="en-GB"/>
              </w:rPr>
              <w:t>IT Project</w:t>
            </w:r>
          </w:p>
        </w:tc>
        <w:tc>
          <w:tcPr>
            <w:tcW w:w="3261" w:type="dxa"/>
            <w:tcBorders>
              <w:right w:val="single" w:sz="4" w:space="0" w:color="auto"/>
            </w:tcBorders>
          </w:tcPr>
          <w:p>
            <w:pPr>
              <w:pStyle w:val="Default"/>
              <w:spacing w:before="40" w:after="40"/>
              <w:jc w:val="center"/>
              <w:rPr>
                <w:noProof/>
                <w:color w:val="auto"/>
                <w:sz w:val="20"/>
                <w:szCs w:val="20"/>
                <w:lang w:val="en-GB"/>
              </w:rPr>
            </w:pP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Application &amp; Service Specifications</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Q2 2024</w:t>
            </w: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Technical System Specifications</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Q2 2024</w:t>
            </w: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b/>
                <w:noProof/>
                <w:color w:val="auto"/>
                <w:sz w:val="20"/>
                <w:szCs w:val="20"/>
                <w:lang w:val="en-GB"/>
              </w:rPr>
            </w:pPr>
            <w:r>
              <w:rPr>
                <w:b/>
                <w:noProof/>
                <w:color w:val="auto"/>
                <w:sz w:val="20"/>
                <w:szCs w:val="20"/>
                <w:lang w:val="en-GB"/>
              </w:rPr>
              <w:t>Construction Phase</w:t>
            </w:r>
          </w:p>
        </w:tc>
        <w:tc>
          <w:tcPr>
            <w:tcW w:w="3261" w:type="dxa"/>
            <w:tcBorders>
              <w:right w:val="single" w:sz="4" w:space="0" w:color="auto"/>
            </w:tcBorders>
          </w:tcPr>
          <w:p>
            <w:pPr>
              <w:pStyle w:val="Default"/>
              <w:spacing w:after="40"/>
              <w:jc w:val="center"/>
              <w:rPr>
                <w:noProof/>
                <w:color w:val="auto"/>
                <w:sz w:val="20"/>
                <w:szCs w:val="20"/>
                <w:lang w:val="en-GB"/>
              </w:rPr>
            </w:pP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Central services implementation</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Q3 2024</w:t>
            </w: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Service integration in National Systems</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From Q4 2024 onwards</w:t>
            </w: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National implementation</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From Q4 2024 onwards</w:t>
            </w: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b/>
                <w:noProof/>
                <w:color w:val="auto"/>
                <w:sz w:val="20"/>
                <w:szCs w:val="20"/>
                <w:lang w:val="en-GB"/>
              </w:rPr>
            </w:pPr>
            <w:r>
              <w:rPr>
                <w:b/>
                <w:noProof/>
                <w:color w:val="auto"/>
                <w:sz w:val="20"/>
                <w:szCs w:val="20"/>
                <w:lang w:val="en-GB"/>
              </w:rPr>
              <w:t>Transition Phase</w:t>
            </w:r>
          </w:p>
        </w:tc>
        <w:tc>
          <w:tcPr>
            <w:tcW w:w="3261" w:type="dxa"/>
            <w:tcBorders>
              <w:right w:val="single" w:sz="4" w:space="0" w:color="auto"/>
            </w:tcBorders>
          </w:tcPr>
          <w:p>
            <w:pPr>
              <w:pStyle w:val="Default"/>
              <w:spacing w:after="40"/>
              <w:jc w:val="center"/>
              <w:rPr>
                <w:noProof/>
                <w:color w:val="auto"/>
                <w:sz w:val="20"/>
                <w:szCs w:val="20"/>
                <w:lang w:val="en-GB"/>
              </w:rPr>
            </w:pP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Deploy and rollout</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Q4 2024</w:t>
            </w:r>
          </w:p>
        </w:tc>
      </w:tr>
      <w:tr>
        <w:tc>
          <w:tcPr>
            <w:tcW w:w="426" w:type="dxa"/>
            <w:tcBorders>
              <w:top w:val="nil"/>
              <w:bottom w:val="single" w:sz="4" w:space="0" w:color="auto"/>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Conformance tests</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From Q1 2025 onwards</w:t>
            </w:r>
          </w:p>
        </w:tc>
      </w:tr>
      <w:tr>
        <w:tc>
          <w:tcPr>
            <w:tcW w:w="426" w:type="dxa"/>
            <w:tcBorders>
              <w:bottom w:val="nil"/>
            </w:tcBorders>
          </w:tcPr>
          <w:p>
            <w:pPr>
              <w:pStyle w:val="Default"/>
              <w:spacing w:after="40"/>
              <w:jc w:val="both"/>
              <w:rPr>
                <w:noProof/>
                <w:color w:val="auto"/>
                <w:sz w:val="20"/>
                <w:szCs w:val="20"/>
                <w:lang w:val="en-GB"/>
              </w:rPr>
            </w:pPr>
            <w:r>
              <w:rPr>
                <w:noProof/>
                <w:color w:val="auto"/>
                <w:sz w:val="20"/>
                <w:szCs w:val="20"/>
                <w:lang w:val="en-GB"/>
              </w:rPr>
              <w:t>5</w:t>
            </w:r>
          </w:p>
        </w:tc>
        <w:tc>
          <w:tcPr>
            <w:tcW w:w="5244" w:type="dxa"/>
          </w:tcPr>
          <w:p>
            <w:pPr>
              <w:pStyle w:val="Default"/>
              <w:spacing w:after="40"/>
              <w:rPr>
                <w:b/>
                <w:noProof/>
                <w:color w:val="auto"/>
                <w:sz w:val="20"/>
                <w:szCs w:val="20"/>
                <w:lang w:val="en-GB"/>
              </w:rPr>
            </w:pPr>
            <w:r>
              <w:rPr>
                <w:b/>
                <w:noProof/>
                <w:color w:val="auto"/>
                <w:sz w:val="20"/>
                <w:szCs w:val="20"/>
                <w:lang w:val="en-GB"/>
              </w:rPr>
              <w:t>Operation</w:t>
            </w:r>
          </w:p>
        </w:tc>
        <w:tc>
          <w:tcPr>
            <w:tcW w:w="3261" w:type="dxa"/>
            <w:tcBorders>
              <w:right w:val="single" w:sz="4" w:space="0" w:color="auto"/>
            </w:tcBorders>
          </w:tcPr>
          <w:p>
            <w:pPr>
              <w:pStyle w:val="Default"/>
              <w:spacing w:after="40"/>
              <w:jc w:val="center"/>
              <w:rPr>
                <w:noProof/>
                <w:color w:val="auto"/>
                <w:sz w:val="20"/>
                <w:szCs w:val="20"/>
                <w:lang w:val="en-GB"/>
              </w:rPr>
            </w:pP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Commission, Member States administrations and Traders (NB: This is the Operations date for the Commission, MS will conformance test from Q2 2020)</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Q2 2025</w:t>
            </w:r>
          </w:p>
        </w:tc>
      </w:tr>
      <w:tr>
        <w:tc>
          <w:tcPr>
            <w:tcW w:w="426" w:type="dxa"/>
            <w:tcBorders>
              <w:top w:val="nil"/>
              <w:bottom w:val="single" w:sz="4" w:space="0" w:color="auto"/>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Non-EU Countries and non-EU traders (in case required)</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N/A</w:t>
            </w:r>
          </w:p>
        </w:tc>
      </w:tr>
      <w:tr>
        <w:tc>
          <w:tcPr>
            <w:tcW w:w="426" w:type="dxa"/>
            <w:tcBorders>
              <w:bottom w:val="nil"/>
            </w:tcBorders>
          </w:tcPr>
          <w:p>
            <w:pPr>
              <w:pStyle w:val="Default"/>
              <w:spacing w:after="40"/>
              <w:jc w:val="both"/>
              <w:rPr>
                <w:noProof/>
                <w:color w:val="auto"/>
                <w:sz w:val="20"/>
                <w:szCs w:val="20"/>
                <w:lang w:val="en-GB"/>
              </w:rPr>
            </w:pPr>
            <w:r>
              <w:rPr>
                <w:noProof/>
                <w:color w:val="auto"/>
                <w:sz w:val="20"/>
                <w:szCs w:val="20"/>
                <w:lang w:val="en-GB"/>
              </w:rPr>
              <w:t>6</w:t>
            </w:r>
          </w:p>
        </w:tc>
        <w:tc>
          <w:tcPr>
            <w:tcW w:w="5244" w:type="dxa"/>
          </w:tcPr>
          <w:p>
            <w:pPr>
              <w:pStyle w:val="Default"/>
              <w:spacing w:after="40"/>
              <w:rPr>
                <w:b/>
                <w:noProof/>
                <w:color w:val="auto"/>
                <w:sz w:val="20"/>
                <w:szCs w:val="20"/>
                <w:lang w:val="en-GB"/>
              </w:rPr>
            </w:pPr>
            <w:r>
              <w:rPr>
                <w:b/>
                <w:noProof/>
                <w:color w:val="auto"/>
                <w:sz w:val="20"/>
                <w:szCs w:val="20"/>
                <w:lang w:val="en-GB"/>
              </w:rPr>
              <w:t>Implementation support (training and communication)</w:t>
            </w:r>
          </w:p>
        </w:tc>
        <w:tc>
          <w:tcPr>
            <w:tcW w:w="3261" w:type="dxa"/>
            <w:tcBorders>
              <w:right w:val="single" w:sz="4" w:space="0" w:color="auto"/>
            </w:tcBorders>
          </w:tcPr>
          <w:p>
            <w:pPr>
              <w:pStyle w:val="Default"/>
              <w:spacing w:after="40"/>
              <w:jc w:val="center"/>
              <w:rPr>
                <w:noProof/>
                <w:color w:val="auto"/>
                <w:sz w:val="20"/>
                <w:szCs w:val="20"/>
                <w:lang w:val="en-GB"/>
              </w:rPr>
            </w:pPr>
          </w:p>
        </w:tc>
      </w:tr>
      <w:tr>
        <w:tc>
          <w:tcPr>
            <w:tcW w:w="426" w:type="dxa"/>
            <w:tcBorders>
              <w:top w:val="nil"/>
              <w:bottom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Centrally developed training and communication</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N/A</w:t>
            </w:r>
          </w:p>
        </w:tc>
      </w:tr>
      <w:tr>
        <w:tc>
          <w:tcPr>
            <w:tcW w:w="426" w:type="dxa"/>
            <w:tcBorders>
              <w:top w:val="nil"/>
            </w:tcBorders>
          </w:tcPr>
          <w:p>
            <w:pPr>
              <w:pStyle w:val="Default"/>
              <w:spacing w:after="40"/>
              <w:jc w:val="both"/>
              <w:rPr>
                <w:noProof/>
                <w:color w:val="auto"/>
                <w:sz w:val="20"/>
                <w:szCs w:val="20"/>
                <w:lang w:val="en-GB"/>
              </w:rPr>
            </w:pPr>
          </w:p>
        </w:tc>
        <w:tc>
          <w:tcPr>
            <w:tcW w:w="5244" w:type="dxa"/>
          </w:tcPr>
          <w:p>
            <w:pPr>
              <w:pStyle w:val="Default"/>
              <w:spacing w:after="40"/>
              <w:rPr>
                <w:noProof/>
                <w:color w:val="auto"/>
                <w:sz w:val="20"/>
                <w:szCs w:val="20"/>
                <w:lang w:val="en-GB"/>
              </w:rPr>
            </w:pPr>
            <w:r>
              <w:rPr>
                <w:noProof/>
                <w:color w:val="auto"/>
                <w:sz w:val="20"/>
                <w:szCs w:val="20"/>
                <w:lang w:val="en-GB"/>
              </w:rPr>
              <w:t>- National training and communication</w:t>
            </w:r>
          </w:p>
        </w:tc>
        <w:tc>
          <w:tcPr>
            <w:tcW w:w="3261" w:type="dxa"/>
            <w:tcBorders>
              <w:right w:val="single" w:sz="4" w:space="0" w:color="auto"/>
            </w:tcBorders>
          </w:tcPr>
          <w:p>
            <w:pPr>
              <w:pStyle w:val="Default"/>
              <w:spacing w:after="40"/>
              <w:jc w:val="center"/>
              <w:rPr>
                <w:noProof/>
                <w:color w:val="auto"/>
                <w:sz w:val="20"/>
                <w:szCs w:val="20"/>
                <w:lang w:val="en-GB"/>
              </w:rPr>
            </w:pPr>
            <w:r>
              <w:rPr>
                <w:noProof/>
                <w:color w:val="auto"/>
                <w:sz w:val="20"/>
                <w:szCs w:val="20"/>
                <w:lang w:val="en-GB"/>
              </w:rPr>
              <w:t>N/A</w:t>
            </w:r>
          </w:p>
        </w:tc>
      </w:tr>
    </w:tbl>
    <w:p>
      <w:pPr>
        <w:pStyle w:val="Default"/>
        <w:spacing w:before="240"/>
        <w:jc w:val="both"/>
        <w:rPr>
          <w:noProof/>
          <w:color w:val="auto"/>
          <w:sz w:val="20"/>
          <w:szCs w:val="20"/>
          <w:lang w:val="en-GB"/>
        </w:rPr>
      </w:pPr>
      <w:r>
        <w:rPr>
          <w:noProof/>
          <w:color w:val="auto"/>
          <w:sz w:val="20"/>
          <w:szCs w:val="20"/>
          <w:lang w:val="en-GB"/>
        </w:rPr>
        <w:t>*Current provisions refer to Regulation (EU) 2019/880</w:t>
      </w:r>
    </w:p>
    <w:p>
      <w:pPr>
        <w:pStyle w:val="Default"/>
        <w:spacing w:after="240"/>
        <w:jc w:val="both"/>
        <w:rPr>
          <w:noProof/>
          <w:color w:val="auto"/>
          <w:sz w:val="20"/>
          <w:szCs w:val="20"/>
          <w:lang w:val="en-GB"/>
        </w:rPr>
      </w:pPr>
      <w:r>
        <w:rPr>
          <w:noProof/>
          <w:color w:val="auto"/>
          <w:sz w:val="20"/>
          <w:szCs w:val="20"/>
          <w:lang w:val="en-GB"/>
        </w:rPr>
        <w:t>**Future provisions refer to the implementing provisions to be adopted according to Regulation (EU) 2019/880</w:t>
      </w:r>
    </w:p>
    <w:p>
      <w:pPr>
        <w:pStyle w:val="Default"/>
        <w:jc w:val="both"/>
        <w:rPr>
          <w:noProof/>
          <w:color w:val="auto"/>
          <w:sz w:val="20"/>
          <w:szCs w:val="20"/>
          <w:lang w:val="en-GB"/>
        </w:rPr>
      </w:pPr>
    </w:p>
    <w:p>
      <w:pPr>
        <w:jc w:val="center"/>
        <w:rPr>
          <w:b/>
          <w:noProof/>
          <w:sz w:val="24"/>
          <w:szCs w:val="24"/>
          <w:lang w:val="en-GB"/>
        </w:rPr>
        <w:sectPr>
          <w:headerReference w:type="even" r:id="rId19"/>
          <w:headerReference w:type="default" r:id="rId20"/>
          <w:footerReference w:type="even" r:id="rId21"/>
          <w:footerReference w:type="default" r:id="rId22"/>
          <w:headerReference w:type="first" r:id="rId23"/>
          <w:footerReference w:type="first" r:id="rId24"/>
          <w:pgSz w:w="11906" w:h="16838"/>
          <w:pgMar w:top="1135" w:right="1417" w:bottom="1135" w:left="1417" w:header="567" w:footer="454" w:gutter="0"/>
          <w:cols w:space="720"/>
          <w:docGrid w:linePitch="360"/>
        </w:sectPr>
      </w:pPr>
    </w:p>
    <w:p>
      <w:pPr>
        <w:pStyle w:val="Heading1"/>
        <w:spacing w:after="240"/>
        <w:jc w:val="center"/>
        <w:rPr>
          <w:noProof/>
        </w:rPr>
      </w:pPr>
      <w:bookmarkStart w:id="10" w:name="_Toc41655633"/>
      <w:r>
        <w:rPr>
          <w:noProof/>
        </w:rPr>
        <w:t>Annex II: Main project phases and critical milestones timeline</w:t>
      </w:r>
      <w:bookmarkEnd w:id="10"/>
    </w:p>
    <w:p>
      <w:pPr>
        <w:jc w:val="center"/>
        <w:rPr>
          <w:i/>
          <w:noProof/>
          <w:sz w:val="24"/>
          <w:szCs w:val="24"/>
          <w:lang w:val="en-GB"/>
        </w:rPr>
      </w:pPr>
      <w:r>
        <w:rPr>
          <w:noProof/>
          <w:lang w:val="en-GB" w:eastAsia="en-GB"/>
        </w:rPr>
        <w:drawing>
          <wp:inline distT="0" distB="0" distL="0" distR="0">
            <wp:extent cx="8955954" cy="470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005995" cy="4731641"/>
                    </a:xfrm>
                    <a:prstGeom prst="rect">
                      <a:avLst/>
                    </a:prstGeom>
                  </pic:spPr>
                </pic:pic>
              </a:graphicData>
            </a:graphic>
          </wp:inline>
        </w:drawing>
      </w:r>
    </w:p>
    <w:sectPr>
      <w:headerReference w:type="even" r:id="rId26"/>
      <w:headerReference w:type="default" r:id="rId27"/>
      <w:footerReference w:type="even" r:id="rId28"/>
      <w:footerReference w:type="default" r:id="rId29"/>
      <w:headerReference w:type="first" r:id="rId30"/>
      <w:footerReference w:type="first" r:id="rId31"/>
      <w:pgSz w:w="16838" w:h="11906"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561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37968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OJ L 151, 7.6.2019, p. 1–14</w:t>
      </w:r>
    </w:p>
  </w:footnote>
  <w:footnote w:id="3">
    <w:p>
      <w:pPr>
        <w:pStyle w:val="FootnoteText"/>
      </w:pPr>
      <w:r>
        <w:rPr>
          <w:rStyle w:val="FootnoteReference"/>
        </w:rPr>
        <w:footnoteRef/>
      </w:r>
      <w:r>
        <w:t xml:space="preserve"> The UNESCO Convention on Preventing and Prohibiting the Illicit Import, Export and Transfer of Ownership of Cultural Property, signed in Paris in 1970.</w:t>
      </w:r>
    </w:p>
  </w:footnote>
  <w:footnote w:id="4">
    <w:p>
      <w:pPr>
        <w:pStyle w:val="FootnoteText"/>
        <w:jc w:val="left"/>
        <w:rPr>
          <w:lang w:val="en-US"/>
        </w:rPr>
      </w:pPr>
      <w:r>
        <w:rPr>
          <w:rStyle w:val="FootnoteReference"/>
        </w:rPr>
        <w:footnoteRef/>
      </w:r>
      <w:r>
        <w:t xml:space="preserve"> </w:t>
      </w:r>
      <w:hyperlink r:id="rId1" w:history="1">
        <w:r>
          <w:rPr>
            <w:rStyle w:val="Hyperlink"/>
          </w:rPr>
          <w:t>https://ec.europa.eu/taxation_customs/general-information-customs/electronic-customs/eu-single-window-environment-for-customs_en</w:t>
        </w:r>
      </w:hyperlink>
      <w:r>
        <w:t xml:space="preserve"> </w:t>
      </w:r>
    </w:p>
  </w:footnote>
  <w:footnote w:id="5">
    <w:p>
      <w:pPr>
        <w:pStyle w:val="FootnoteText"/>
      </w:pPr>
      <w:r>
        <w:rPr>
          <w:rStyle w:val="FootnoteReference"/>
        </w:rPr>
        <w:footnoteRef/>
      </w:r>
      <w:r>
        <w:t xml:space="preserve"> The placement of goods under the following customs procedures is defined as ‘import’ in the Regulation: release for free circulation; storage in customs warehouses or free zones; temporary import; end use, including inward processing.</w:t>
      </w:r>
    </w:p>
  </w:footnote>
  <w:footnote w:id="6">
    <w:p>
      <w:pPr>
        <w:pStyle w:val="FootnoteText"/>
        <w:rPr>
          <w:lang w:val="en-US"/>
        </w:rPr>
      </w:pPr>
      <w:r>
        <w:rPr>
          <w:rStyle w:val="FootnoteReference"/>
        </w:rPr>
        <w:footnoteRef/>
      </w:r>
      <w:r>
        <w:t xml:space="preserve"> </w:t>
      </w:r>
      <w:r>
        <w:rPr>
          <w:lang w:val="en-US"/>
        </w:rPr>
        <w:t xml:space="preserve">See </w:t>
      </w:r>
      <w:hyperlink r:id="rId2" w:history="1">
        <w:r>
          <w:rPr>
            <w:rStyle w:val="Hyperlink"/>
          </w:rPr>
          <w:t>https://ec.europa.eu/taxation_customs/general-information-customs/electronic-customs_en</w:t>
        </w:r>
      </w:hyperlink>
      <w:r>
        <w:t>.</w:t>
      </w:r>
    </w:p>
  </w:footnote>
  <w:footnote w:id="7">
    <w:p>
      <w:pPr>
        <w:pStyle w:val="FootnoteText"/>
      </w:pPr>
      <w:r>
        <w:rPr>
          <w:rStyle w:val="FootnoteReference"/>
        </w:rPr>
        <w:footnoteRef/>
      </w:r>
      <w:r>
        <w:t xml:space="preserve"> Decision No 70/2008/EC of the European Parliament and of the Council of 15 January 2008 on a paperless customs environment for customs and trade, OJ 2008, Nº L23, p. 21.</w:t>
      </w:r>
    </w:p>
  </w:footnote>
  <w:footnote w:id="8">
    <w:p>
      <w:pPr>
        <w:pStyle w:val="FootnoteText"/>
      </w:pPr>
      <w:r>
        <w:rPr>
          <w:rStyle w:val="FootnoteReference"/>
        </w:rPr>
        <w:footnoteRef/>
      </w:r>
      <w:r>
        <w:t xml:space="preserve"> </w:t>
      </w:r>
      <w:hyperlink r:id="rId3" w:history="1">
        <w:r>
          <w:rPr>
            <w:rStyle w:val="Hyperlink"/>
          </w:rPr>
          <w:t>https://ec.europa.eu/taxation_customs/sites/taxation/files/2019_masp_annex3_en.pdf</w:t>
        </w:r>
      </w:hyperlink>
      <w:r>
        <w:t xml:space="preserve"> </w:t>
      </w:r>
    </w:p>
  </w:footnote>
  <w:footnote w:id="9">
    <w:p>
      <w:pPr>
        <w:pStyle w:val="FootnoteText"/>
      </w:pPr>
      <w:r>
        <w:rPr>
          <w:rStyle w:val="FootnoteReference"/>
        </w:rPr>
        <w:footnoteRef/>
      </w:r>
      <w:r>
        <w:t xml:space="preserve"> </w:t>
      </w:r>
      <w:hyperlink r:id="rId4" w:history="1">
        <w:r>
          <w:rPr>
            <w:rStyle w:val="Hyperlink"/>
          </w:rPr>
          <w:t>https://ec.europa.eu/taxation_customs/sites/taxation/files/2019_masp_annex4_en.pdf</w:t>
        </w:r>
      </w:hyperlink>
      <w:r>
        <w:t xml:space="preserve"> </w:t>
      </w:r>
    </w:p>
  </w:footnote>
  <w:footnote w:id="10">
    <w:p>
      <w:pPr>
        <w:pStyle w:val="FootnoteText"/>
      </w:pPr>
      <w:r>
        <w:rPr>
          <w:rStyle w:val="FootnoteReference"/>
        </w:rPr>
        <w:footnoteRef/>
      </w:r>
      <w:r>
        <w:t xml:space="preserve"> </w:t>
      </w:r>
      <w:hyperlink r:id="rId5" w:history="1">
        <w:r>
          <w:rPr>
            <w:rStyle w:val="Hyperlink"/>
          </w:rPr>
          <w:t>https://ec.europa.eu/taxation_customs/sites/taxation/files/2019_masp_annex5_en.pdf</w:t>
        </w:r>
      </w:hyperlink>
      <w:r>
        <w:t xml:space="preserve"> </w:t>
      </w:r>
    </w:p>
  </w:footnote>
  <w:footnote w:id="11">
    <w:p>
      <w:pPr>
        <w:pStyle w:val="FootnoteText"/>
      </w:pPr>
      <w:r>
        <w:rPr>
          <w:rStyle w:val="FootnoteReference"/>
        </w:rPr>
        <w:footnoteRef/>
      </w:r>
      <w:r>
        <w:t xml:space="preserve"> Council Regulation (EC) No 116/2009 of 18 December 2008 on the export of cultural goods (</w:t>
      </w:r>
      <w:r>
        <w:rPr>
          <w:iCs/>
        </w:rPr>
        <w:t>OJ L 39, 10.2.2009, p. 1–7)</w:t>
      </w:r>
    </w:p>
  </w:footnote>
  <w:footnote w:id="12">
    <w:p>
      <w:pPr>
        <w:pStyle w:val="FootnoteText"/>
        <w:rPr>
          <w:lang w:val="en-GB"/>
        </w:rPr>
      </w:pPr>
      <w:r>
        <w:rPr>
          <w:rStyle w:val="FootnoteReference"/>
          <w:lang w:val="en-GB"/>
        </w:rPr>
        <w:footnoteRef/>
      </w:r>
      <w:r>
        <w:rPr>
          <w:lang w:val="en-GB"/>
        </w:rPr>
        <w:t xml:space="preserve"> Before the creation of Expert Groups for the purposes of the Lisbon Treaty, these same discussions were taking place within the Committee of Regulation (EC) No 116/2009. The members of the Expert Group are mostly the same authorities that are meeting within that Regulation’s Committee.</w:t>
      </w:r>
    </w:p>
  </w:footnote>
  <w:footnote w:id="13">
    <w:p>
      <w:pPr>
        <w:pStyle w:val="FootnoteText"/>
        <w:rPr>
          <w:lang w:val="en-GB"/>
        </w:rPr>
      </w:pPr>
      <w:r>
        <w:rPr>
          <w:rStyle w:val="FootnoteReference"/>
          <w:lang w:val="en-GB"/>
        </w:rPr>
        <w:footnoteRef/>
      </w:r>
      <w:r>
        <w:rPr>
          <w:lang w:val="en-GB"/>
        </w:rPr>
        <w:t xml:space="preserve"> Such as the Union Customs Code (UCC) digitalisation exercise.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368"/>
    <w:multiLevelType w:val="hybridMultilevel"/>
    <w:tmpl w:val="A9D876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78EB"/>
    <w:multiLevelType w:val="hybridMultilevel"/>
    <w:tmpl w:val="658E5EBA"/>
    <w:lvl w:ilvl="0" w:tplc="F80A18B6">
      <w:numFmt w:val="bullet"/>
      <w:lvlText w:val=""/>
      <w:lvlJc w:val="left"/>
      <w:pPr>
        <w:ind w:left="1068" w:hanging="708"/>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60109AC"/>
    <w:multiLevelType w:val="hybridMultilevel"/>
    <w:tmpl w:val="666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22687"/>
    <w:multiLevelType w:val="hybridMultilevel"/>
    <w:tmpl w:val="858A5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D5E9A"/>
    <w:multiLevelType w:val="hybridMultilevel"/>
    <w:tmpl w:val="592A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E105F"/>
    <w:multiLevelType w:val="hybridMultilevel"/>
    <w:tmpl w:val="95960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E2A11E8"/>
    <w:multiLevelType w:val="hybridMultilevel"/>
    <w:tmpl w:val="9F6A1A70"/>
    <w:lvl w:ilvl="0" w:tplc="B7BAD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797B02"/>
    <w:multiLevelType w:val="hybridMultilevel"/>
    <w:tmpl w:val="734C8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69402D"/>
    <w:multiLevelType w:val="hybridMultilevel"/>
    <w:tmpl w:val="6BC86388"/>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9">
    <w:nsid w:val="1698063C"/>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9FB5F46"/>
    <w:multiLevelType w:val="hybridMultilevel"/>
    <w:tmpl w:val="1C96036C"/>
    <w:lvl w:ilvl="0" w:tplc="FEB2B44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B3F7B98"/>
    <w:multiLevelType w:val="hybridMultilevel"/>
    <w:tmpl w:val="81007638"/>
    <w:lvl w:ilvl="0" w:tplc="FEB2B44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1DA21475"/>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9E91AA8"/>
    <w:multiLevelType w:val="hybridMultilevel"/>
    <w:tmpl w:val="EC541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EB6492"/>
    <w:multiLevelType w:val="hybridMultilevel"/>
    <w:tmpl w:val="05BAF7E2"/>
    <w:lvl w:ilvl="0" w:tplc="168C3F4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DF82EF0"/>
    <w:multiLevelType w:val="hybridMultilevel"/>
    <w:tmpl w:val="C78E2476"/>
    <w:lvl w:ilvl="0" w:tplc="5A361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50F05"/>
    <w:multiLevelType w:val="multilevel"/>
    <w:tmpl w:val="8B187830"/>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50D7098"/>
    <w:multiLevelType w:val="hybridMultilevel"/>
    <w:tmpl w:val="B30A12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8BB1EAA"/>
    <w:multiLevelType w:val="hybridMultilevel"/>
    <w:tmpl w:val="B102101A"/>
    <w:lvl w:ilvl="0" w:tplc="E4E6F06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A116806"/>
    <w:multiLevelType w:val="multilevel"/>
    <w:tmpl w:val="F45A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8938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F315D7"/>
    <w:multiLevelType w:val="hybridMultilevel"/>
    <w:tmpl w:val="131A437C"/>
    <w:lvl w:ilvl="0" w:tplc="5A361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226D28"/>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nsid w:val="49F03D91"/>
    <w:multiLevelType w:val="hybridMultilevel"/>
    <w:tmpl w:val="239A4722"/>
    <w:lvl w:ilvl="0" w:tplc="080C0001">
      <w:start w:val="1"/>
      <w:numFmt w:val="bullet"/>
      <w:lvlText w:val=""/>
      <w:lvlJc w:val="left"/>
      <w:pPr>
        <w:ind w:left="776" w:hanging="360"/>
      </w:pPr>
      <w:rPr>
        <w:rFonts w:ascii="Symbol" w:hAnsi="Symbol" w:hint="default"/>
      </w:rPr>
    </w:lvl>
    <w:lvl w:ilvl="1" w:tplc="080C0003" w:tentative="1">
      <w:start w:val="1"/>
      <w:numFmt w:val="bullet"/>
      <w:lvlText w:val="o"/>
      <w:lvlJc w:val="left"/>
      <w:pPr>
        <w:ind w:left="1496" w:hanging="360"/>
      </w:pPr>
      <w:rPr>
        <w:rFonts w:ascii="Courier New" w:hAnsi="Courier New" w:cs="Courier New" w:hint="default"/>
      </w:rPr>
    </w:lvl>
    <w:lvl w:ilvl="2" w:tplc="080C0005" w:tentative="1">
      <w:start w:val="1"/>
      <w:numFmt w:val="bullet"/>
      <w:lvlText w:val=""/>
      <w:lvlJc w:val="left"/>
      <w:pPr>
        <w:ind w:left="2216" w:hanging="360"/>
      </w:pPr>
      <w:rPr>
        <w:rFonts w:ascii="Wingdings" w:hAnsi="Wingdings" w:hint="default"/>
      </w:rPr>
    </w:lvl>
    <w:lvl w:ilvl="3" w:tplc="080C0001" w:tentative="1">
      <w:start w:val="1"/>
      <w:numFmt w:val="bullet"/>
      <w:lvlText w:val=""/>
      <w:lvlJc w:val="left"/>
      <w:pPr>
        <w:ind w:left="2936" w:hanging="360"/>
      </w:pPr>
      <w:rPr>
        <w:rFonts w:ascii="Symbol" w:hAnsi="Symbol" w:hint="default"/>
      </w:rPr>
    </w:lvl>
    <w:lvl w:ilvl="4" w:tplc="080C0003" w:tentative="1">
      <w:start w:val="1"/>
      <w:numFmt w:val="bullet"/>
      <w:lvlText w:val="o"/>
      <w:lvlJc w:val="left"/>
      <w:pPr>
        <w:ind w:left="3656" w:hanging="360"/>
      </w:pPr>
      <w:rPr>
        <w:rFonts w:ascii="Courier New" w:hAnsi="Courier New" w:cs="Courier New" w:hint="default"/>
      </w:rPr>
    </w:lvl>
    <w:lvl w:ilvl="5" w:tplc="080C0005" w:tentative="1">
      <w:start w:val="1"/>
      <w:numFmt w:val="bullet"/>
      <w:lvlText w:val=""/>
      <w:lvlJc w:val="left"/>
      <w:pPr>
        <w:ind w:left="4376" w:hanging="360"/>
      </w:pPr>
      <w:rPr>
        <w:rFonts w:ascii="Wingdings" w:hAnsi="Wingdings" w:hint="default"/>
      </w:rPr>
    </w:lvl>
    <w:lvl w:ilvl="6" w:tplc="080C0001" w:tentative="1">
      <w:start w:val="1"/>
      <w:numFmt w:val="bullet"/>
      <w:lvlText w:val=""/>
      <w:lvlJc w:val="left"/>
      <w:pPr>
        <w:ind w:left="5096" w:hanging="360"/>
      </w:pPr>
      <w:rPr>
        <w:rFonts w:ascii="Symbol" w:hAnsi="Symbol" w:hint="default"/>
      </w:rPr>
    </w:lvl>
    <w:lvl w:ilvl="7" w:tplc="080C0003" w:tentative="1">
      <w:start w:val="1"/>
      <w:numFmt w:val="bullet"/>
      <w:lvlText w:val="o"/>
      <w:lvlJc w:val="left"/>
      <w:pPr>
        <w:ind w:left="5816" w:hanging="360"/>
      </w:pPr>
      <w:rPr>
        <w:rFonts w:ascii="Courier New" w:hAnsi="Courier New" w:cs="Courier New" w:hint="default"/>
      </w:rPr>
    </w:lvl>
    <w:lvl w:ilvl="8" w:tplc="080C0005" w:tentative="1">
      <w:start w:val="1"/>
      <w:numFmt w:val="bullet"/>
      <w:lvlText w:val=""/>
      <w:lvlJc w:val="left"/>
      <w:pPr>
        <w:ind w:left="6536" w:hanging="360"/>
      </w:pPr>
      <w:rPr>
        <w:rFonts w:ascii="Wingdings" w:hAnsi="Wingdings" w:hint="default"/>
      </w:rPr>
    </w:lvl>
  </w:abstractNum>
  <w:abstractNum w:abstractNumId="26">
    <w:nsid w:val="4A446A3C"/>
    <w:multiLevelType w:val="multilevel"/>
    <w:tmpl w:val="E1482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C175371"/>
    <w:multiLevelType w:val="hybridMultilevel"/>
    <w:tmpl w:val="D146FAF2"/>
    <w:lvl w:ilvl="0" w:tplc="08090001">
      <w:start w:val="1"/>
      <w:numFmt w:val="bullet"/>
      <w:lvlText w:val=""/>
      <w:lvlJc w:val="left"/>
      <w:pPr>
        <w:ind w:left="1428" w:hanging="360"/>
      </w:pPr>
      <w:rPr>
        <w:rFonts w:ascii="Symbol" w:hAnsi="Symbol"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8">
    <w:nsid w:val="4F053BD8"/>
    <w:multiLevelType w:val="hybridMultilevel"/>
    <w:tmpl w:val="F920F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519213DD"/>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1E164CF"/>
    <w:multiLevelType w:val="hybridMultilevel"/>
    <w:tmpl w:val="3F28704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24A36B5"/>
    <w:multiLevelType w:val="hybridMultilevel"/>
    <w:tmpl w:val="EA14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A21875"/>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5FF5A0C"/>
    <w:multiLevelType w:val="hybridMultilevel"/>
    <w:tmpl w:val="DF16F34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4">
    <w:nsid w:val="58F14F68"/>
    <w:multiLevelType w:val="hybridMultilevel"/>
    <w:tmpl w:val="29C6DC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516E47"/>
    <w:multiLevelType w:val="multilevel"/>
    <w:tmpl w:val="E14828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5B5F1970"/>
    <w:multiLevelType w:val="multilevel"/>
    <w:tmpl w:val="471683B4"/>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5C961ED9"/>
    <w:multiLevelType w:val="hybridMultilevel"/>
    <w:tmpl w:val="D3363B8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DFD773C"/>
    <w:multiLevelType w:val="hybridMultilevel"/>
    <w:tmpl w:val="0694B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FA629A5"/>
    <w:multiLevelType w:val="hybridMultilevel"/>
    <w:tmpl w:val="BEF660BE"/>
    <w:lvl w:ilvl="0" w:tplc="A154B0F8">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0">
    <w:nsid w:val="626D33AA"/>
    <w:multiLevelType w:val="hybridMultilevel"/>
    <w:tmpl w:val="6BE48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665B7CEA"/>
    <w:multiLevelType w:val="hybridMultilevel"/>
    <w:tmpl w:val="D3363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AAA58B2"/>
    <w:multiLevelType w:val="hybridMultilevel"/>
    <w:tmpl w:val="38D247EE"/>
    <w:lvl w:ilvl="0" w:tplc="DC3A21C8">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70D73057"/>
    <w:multiLevelType w:val="hybridMultilevel"/>
    <w:tmpl w:val="650E214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nsid w:val="71900421"/>
    <w:multiLevelType w:val="hybridMultilevel"/>
    <w:tmpl w:val="68528C9C"/>
    <w:lvl w:ilvl="0" w:tplc="A6AC7E6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A17039"/>
    <w:multiLevelType w:val="multilevel"/>
    <w:tmpl w:val="E148287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lang w:val="en-GB"/>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46">
    <w:nsid w:val="72AC132E"/>
    <w:multiLevelType w:val="hybridMultilevel"/>
    <w:tmpl w:val="17EABBC0"/>
    <w:lvl w:ilvl="0" w:tplc="9CA4E6FE">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7">
    <w:nsid w:val="7518646B"/>
    <w:multiLevelType w:val="hybridMultilevel"/>
    <w:tmpl w:val="53C8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1F320F"/>
    <w:multiLevelType w:val="hybridMultilevel"/>
    <w:tmpl w:val="F414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44"/>
  </w:num>
  <w:num w:numId="4">
    <w:abstractNumId w:val="3"/>
  </w:num>
  <w:num w:numId="5">
    <w:abstractNumId w:val="0"/>
  </w:num>
  <w:num w:numId="6">
    <w:abstractNumId w:val="30"/>
  </w:num>
  <w:num w:numId="7">
    <w:abstractNumId w:val="21"/>
  </w:num>
  <w:num w:numId="8">
    <w:abstractNumId w:val="35"/>
  </w:num>
  <w:num w:numId="9">
    <w:abstractNumId w:val="26"/>
  </w:num>
  <w:num w:numId="10">
    <w:abstractNumId w:val="45"/>
  </w:num>
  <w:num w:numId="11">
    <w:abstractNumId w:val="9"/>
  </w:num>
  <w:num w:numId="12">
    <w:abstractNumId w:val="18"/>
  </w:num>
  <w:num w:numId="13">
    <w:abstractNumId w:val="1"/>
  </w:num>
  <w:num w:numId="14">
    <w:abstractNumId w:val="2"/>
  </w:num>
  <w:num w:numId="15">
    <w:abstractNumId w:val="5"/>
  </w:num>
  <w:num w:numId="16">
    <w:abstractNumId w:val="38"/>
  </w:num>
  <w:num w:numId="17">
    <w:abstractNumId w:val="6"/>
  </w:num>
  <w:num w:numId="18">
    <w:abstractNumId w:val="4"/>
  </w:num>
  <w:num w:numId="19">
    <w:abstractNumId w:val="31"/>
  </w:num>
  <w:num w:numId="20">
    <w:abstractNumId w:val="48"/>
  </w:num>
  <w:num w:numId="21">
    <w:abstractNumId w:val="34"/>
  </w:num>
  <w:num w:numId="22">
    <w:abstractNumId w:val="28"/>
  </w:num>
  <w:num w:numId="23">
    <w:abstractNumId w:val="40"/>
  </w:num>
  <w:num w:numId="24">
    <w:abstractNumId w:val="36"/>
  </w:num>
  <w:num w:numId="25">
    <w:abstractNumId w:val="23"/>
  </w:num>
  <w:num w:numId="26">
    <w:abstractNumId w:val="29"/>
  </w:num>
  <w:num w:numId="27">
    <w:abstractNumId w:val="1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47"/>
  </w:num>
  <w:num w:numId="32">
    <w:abstractNumId w:val="15"/>
  </w:num>
  <w:num w:numId="33">
    <w:abstractNumId w:val="7"/>
  </w:num>
  <w:num w:numId="34">
    <w:abstractNumId w:val="46"/>
  </w:num>
  <w:num w:numId="35">
    <w:abstractNumId w:val="39"/>
  </w:num>
  <w:num w:numId="36">
    <w:abstractNumId w:val="41"/>
  </w:num>
  <w:num w:numId="37">
    <w:abstractNumId w:val="37"/>
  </w:num>
  <w:num w:numId="38">
    <w:abstractNumId w:val="32"/>
  </w:num>
  <w:num w:numId="39">
    <w:abstractNumId w:val="33"/>
  </w:num>
  <w:num w:numId="40">
    <w:abstractNumId w:val="8"/>
  </w:num>
  <w:num w:numId="41">
    <w:abstractNumId w:val="27"/>
  </w:num>
  <w:num w:numId="42">
    <w:abstractNumId w:val="42"/>
  </w:num>
  <w:num w:numId="43">
    <w:abstractNumId w:val="19"/>
  </w:num>
  <w:num w:numId="44">
    <w:abstractNumId w:val="25"/>
  </w:num>
  <w:num w:numId="45">
    <w:abstractNumId w:val="12"/>
  </w:num>
  <w:num w:numId="46">
    <w:abstractNumId w:val="10"/>
  </w:num>
  <w:num w:numId="47">
    <w:abstractNumId w:val="20"/>
  </w:num>
  <w:num w:numId="48">
    <w:abstractNumId w:val="43"/>
  </w:num>
  <w:num w:numId="49">
    <w:abstractNumId w:val="16"/>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EFC8F6-524F-4CE9-B25A-6544E6864572"/>
    <w:docVar w:name="LW_COVERPAGE_TYPE" w:val="1"/>
    <w:docVar w:name="LW_CROSSREFERENCE" w:val="&lt;UNUSED&gt;"/>
    <w:docVar w:name="LW_DocType" w:val="NORMAL"/>
    <w:docVar w:name="LW_EMISSION" w:val="30.7.2020"/>
    <w:docVar w:name="LW_EMISSION_ISODATE" w:val="2020-07-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ursuant to Article 14(3) of Regulation (EU) 2019/880 of the European Parliament and of the Council of  17 April 2019 on the introduction and  the import of cultural goods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lang w:val="en-IE"/>
    </w:rPr>
  </w:style>
  <w:style w:type="paragraph" w:styleId="Heading1">
    <w:name w:val="heading 1"/>
    <w:basedOn w:val="Normal"/>
    <w:next w:val="Normal"/>
    <w:link w:val="Heading1Char"/>
    <w:qFormat/>
    <w:pPr>
      <w:keepNext/>
      <w:keepLines/>
      <w:spacing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val="fr-FR"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val="fr-FR"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en-US"/>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en-IE"/>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en-GB"/>
    </w:rPr>
  </w:style>
  <w:style w:type="paragraph" w:styleId="Caption">
    <w:name w:val="caption"/>
    <w:basedOn w:val="Normal"/>
    <w:next w:val="Normal"/>
    <w:autoRedefine/>
    <w:uiPriority w:val="35"/>
    <w:unhideWhenUsed/>
    <w:qFormat/>
    <w:pPr>
      <w:keepNext/>
      <w:keepLines/>
      <w:spacing w:afterLines="120" w:after="288"/>
      <w:jc w:val="left"/>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en-GB"/>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en-GB"/>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GB"/>
    </w:rPr>
  </w:style>
  <w:style w:type="paragraph" w:styleId="BodyTextIndent">
    <w:name w:val="Body Text Indent"/>
    <w:basedOn w:val="Normal"/>
    <w:link w:val="BodyTextIndentChar"/>
    <w:uiPriority w:val="99"/>
    <w:unhideWhenUsed/>
    <w:pPr>
      <w:ind w:left="708"/>
    </w:pPr>
    <w:rPr>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en-US"/>
    </w:rPr>
  </w:style>
  <w:style w:type="paragraph" w:styleId="BodyText">
    <w:name w:val="Body Text"/>
    <w:basedOn w:val="Normal"/>
    <w:link w:val="BodyTextChar"/>
    <w:uiPriority w:val="99"/>
    <w:unhideWhenUsed/>
    <w:rPr>
      <w:i/>
      <w:color w:val="1F4E79" w:themeColor="accent1" w:themeShade="8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en-US"/>
    </w:rPr>
  </w:style>
  <w:style w:type="paragraph" w:styleId="Revision">
    <w:name w:val="Revision"/>
    <w:hidden/>
    <w:uiPriority w:val="99"/>
    <w:semiHidden/>
    <w:pPr>
      <w:spacing w:after="0" w:line="240" w:lineRule="auto"/>
    </w:pPr>
    <w:rPr>
      <w:rFonts w:ascii="Times New Roman" w:eastAsia="Times New Roman" w:hAnsi="Times New Roman" w:cs="Times New Roman"/>
      <w:lang w:val="en-GB"/>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en-GB"/>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en-GB"/>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en-GB"/>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8"/>
      </w:numPr>
      <w:spacing w:before="120"/>
    </w:pPr>
    <w:rPr>
      <w:rFonts w:eastAsiaTheme="minorHAnsi"/>
      <w:sz w:val="24"/>
    </w:rPr>
  </w:style>
  <w:style w:type="paragraph" w:customStyle="1" w:styleId="Point1number">
    <w:name w:val="Point 1 (number)"/>
    <w:basedOn w:val="Normal"/>
    <w:pPr>
      <w:numPr>
        <w:ilvl w:val="2"/>
        <w:numId w:val="28"/>
      </w:numPr>
      <w:spacing w:before="120"/>
    </w:pPr>
    <w:rPr>
      <w:rFonts w:eastAsiaTheme="minorHAnsi"/>
      <w:sz w:val="24"/>
    </w:rPr>
  </w:style>
  <w:style w:type="paragraph" w:customStyle="1" w:styleId="Point2number">
    <w:name w:val="Point 2 (number)"/>
    <w:basedOn w:val="Normal"/>
    <w:pPr>
      <w:numPr>
        <w:ilvl w:val="4"/>
        <w:numId w:val="28"/>
      </w:numPr>
      <w:spacing w:before="120"/>
    </w:pPr>
    <w:rPr>
      <w:rFonts w:eastAsiaTheme="minorHAnsi"/>
      <w:sz w:val="24"/>
    </w:rPr>
  </w:style>
  <w:style w:type="paragraph" w:customStyle="1" w:styleId="Point3number">
    <w:name w:val="Point 3 (number)"/>
    <w:basedOn w:val="Normal"/>
    <w:pPr>
      <w:numPr>
        <w:ilvl w:val="6"/>
        <w:numId w:val="28"/>
      </w:numPr>
      <w:spacing w:before="120"/>
    </w:pPr>
    <w:rPr>
      <w:rFonts w:eastAsiaTheme="minorHAnsi"/>
      <w:sz w:val="24"/>
    </w:rPr>
  </w:style>
  <w:style w:type="paragraph" w:customStyle="1" w:styleId="Point0letter">
    <w:name w:val="Point 0 (letter)"/>
    <w:basedOn w:val="Normal"/>
    <w:pPr>
      <w:numPr>
        <w:ilvl w:val="1"/>
        <w:numId w:val="28"/>
      </w:numPr>
      <w:spacing w:before="120"/>
    </w:pPr>
    <w:rPr>
      <w:rFonts w:eastAsiaTheme="minorHAnsi"/>
      <w:sz w:val="24"/>
    </w:rPr>
  </w:style>
  <w:style w:type="paragraph" w:customStyle="1" w:styleId="Point1letter">
    <w:name w:val="Point 1 (letter)"/>
    <w:basedOn w:val="Normal"/>
    <w:pPr>
      <w:numPr>
        <w:ilvl w:val="3"/>
        <w:numId w:val="28"/>
      </w:numPr>
      <w:spacing w:before="120"/>
    </w:pPr>
    <w:rPr>
      <w:rFonts w:eastAsiaTheme="minorHAnsi"/>
      <w:sz w:val="24"/>
    </w:rPr>
  </w:style>
  <w:style w:type="paragraph" w:customStyle="1" w:styleId="Point2letter">
    <w:name w:val="Point 2 (letter)"/>
    <w:basedOn w:val="Normal"/>
    <w:pPr>
      <w:numPr>
        <w:ilvl w:val="5"/>
        <w:numId w:val="28"/>
      </w:numPr>
      <w:spacing w:before="120"/>
    </w:pPr>
    <w:rPr>
      <w:rFonts w:eastAsiaTheme="minorHAnsi"/>
      <w:sz w:val="24"/>
    </w:rPr>
  </w:style>
  <w:style w:type="paragraph" w:customStyle="1" w:styleId="Point3letter">
    <w:name w:val="Point 3 (letter)"/>
    <w:basedOn w:val="Normal"/>
    <w:pPr>
      <w:numPr>
        <w:ilvl w:val="7"/>
        <w:numId w:val="28"/>
      </w:numPr>
      <w:spacing w:before="120"/>
    </w:pPr>
    <w:rPr>
      <w:rFonts w:eastAsiaTheme="minorHAnsi"/>
      <w:sz w:val="24"/>
    </w:rPr>
  </w:style>
  <w:style w:type="paragraph" w:customStyle="1" w:styleId="Point4letter">
    <w:name w:val="Point 4 (letter)"/>
    <w:basedOn w:val="Normal"/>
    <w:pPr>
      <w:numPr>
        <w:ilvl w:val="8"/>
        <w:numId w:val="28"/>
      </w:numPr>
      <w:spacing w:before="120"/>
    </w:pPr>
    <w:rPr>
      <w:rFonts w:eastAsiaTheme="minorHAnsi"/>
      <w:sz w:val="24"/>
    </w:rPr>
  </w:style>
  <w:style w:type="paragraph" w:customStyle="1" w:styleId="Bullet0">
    <w:name w:val="Bullet 0"/>
    <w:basedOn w:val="Normal"/>
    <w:pPr>
      <w:numPr>
        <w:numId w:val="30"/>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en-GB"/>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en-IE"/>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en-IE"/>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en-IE"/>
    </w:rPr>
  </w:style>
  <w:style w:type="paragraph" w:customStyle="1" w:styleId="Normal1">
    <w:name w:val="Normal1"/>
    <w:basedOn w:val="Normal"/>
    <w:pPr>
      <w:spacing w:before="100" w:beforeAutospacing="1" w:after="100" w:afterAutospacing="1"/>
      <w:jc w:val="left"/>
    </w:pPr>
    <w:rPr>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eastAsia="Times New Roman" w:hAnsi="Times New Roman" w:cs="Times New Roman"/>
      <w:lang w:val="en-IE"/>
    </w:rPr>
  </w:style>
  <w:style w:type="paragraph" w:styleId="Heading1">
    <w:name w:val="heading 1"/>
    <w:basedOn w:val="Normal"/>
    <w:next w:val="Normal"/>
    <w:link w:val="Heading1Char"/>
    <w:qFormat/>
    <w:pPr>
      <w:keepNext/>
      <w:keepLines/>
      <w:spacing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val="fr-FR"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val="fr-FR"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en-US"/>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en-IE"/>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en-GB"/>
    </w:rPr>
  </w:style>
  <w:style w:type="paragraph" w:styleId="Caption">
    <w:name w:val="caption"/>
    <w:basedOn w:val="Normal"/>
    <w:next w:val="Normal"/>
    <w:autoRedefine/>
    <w:uiPriority w:val="35"/>
    <w:unhideWhenUsed/>
    <w:qFormat/>
    <w:pPr>
      <w:keepNext/>
      <w:keepLines/>
      <w:spacing w:afterLines="120" w:after="288"/>
      <w:jc w:val="left"/>
    </w:pPr>
    <w:rPr>
      <w:i/>
      <w:iCs/>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en-GB"/>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lang w:val="en-US"/>
    </w:rPr>
  </w:style>
  <w:style w:type="paragraph" w:styleId="TOC1">
    <w:name w:val="toc 1"/>
    <w:basedOn w:val="Normal"/>
    <w:next w:val="Normal"/>
    <w:link w:val="TOC1Char"/>
    <w:autoRedefine/>
    <w:uiPriority w:val="39"/>
    <w:unhideWhenUsed/>
    <w:pPr>
      <w:tabs>
        <w:tab w:val="left" w:pos="440"/>
        <w:tab w:val="right" w:leader="dot" w:pos="9062"/>
      </w:tabs>
      <w:spacing w:after="0"/>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en-GB"/>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GB"/>
    </w:rPr>
  </w:style>
  <w:style w:type="paragraph" w:styleId="BodyTextIndent">
    <w:name w:val="Body Text Indent"/>
    <w:basedOn w:val="Normal"/>
    <w:link w:val="BodyTextIndentChar"/>
    <w:uiPriority w:val="99"/>
    <w:unhideWhenUsed/>
    <w:pPr>
      <w:ind w:left="708"/>
    </w:pPr>
    <w:rPr>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en-US"/>
    </w:rPr>
  </w:style>
  <w:style w:type="paragraph" w:styleId="BodyText">
    <w:name w:val="Body Text"/>
    <w:basedOn w:val="Normal"/>
    <w:link w:val="BodyTextChar"/>
    <w:uiPriority w:val="99"/>
    <w:unhideWhenUsed/>
    <w:rPr>
      <w:i/>
      <w:color w:val="1F4E79" w:themeColor="accent1" w:themeShade="8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en-US"/>
    </w:rPr>
  </w:style>
  <w:style w:type="paragraph" w:styleId="Revision">
    <w:name w:val="Revision"/>
    <w:hidden/>
    <w:uiPriority w:val="99"/>
    <w:semiHidden/>
    <w:pPr>
      <w:spacing w:after="0" w:line="240" w:lineRule="auto"/>
    </w:pPr>
    <w:rPr>
      <w:rFonts w:ascii="Times New Roman" w:eastAsia="Times New Roman" w:hAnsi="Times New Roman" w:cs="Times New Roman"/>
      <w:lang w:val="en-GB"/>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en-GB"/>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en-GB"/>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en-GB"/>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8"/>
      </w:numPr>
      <w:spacing w:before="120"/>
    </w:pPr>
    <w:rPr>
      <w:rFonts w:eastAsiaTheme="minorHAnsi"/>
      <w:sz w:val="24"/>
    </w:rPr>
  </w:style>
  <w:style w:type="paragraph" w:customStyle="1" w:styleId="Point1number">
    <w:name w:val="Point 1 (number)"/>
    <w:basedOn w:val="Normal"/>
    <w:pPr>
      <w:numPr>
        <w:ilvl w:val="2"/>
        <w:numId w:val="28"/>
      </w:numPr>
      <w:spacing w:before="120"/>
    </w:pPr>
    <w:rPr>
      <w:rFonts w:eastAsiaTheme="minorHAnsi"/>
      <w:sz w:val="24"/>
    </w:rPr>
  </w:style>
  <w:style w:type="paragraph" w:customStyle="1" w:styleId="Point2number">
    <w:name w:val="Point 2 (number)"/>
    <w:basedOn w:val="Normal"/>
    <w:pPr>
      <w:numPr>
        <w:ilvl w:val="4"/>
        <w:numId w:val="28"/>
      </w:numPr>
      <w:spacing w:before="120"/>
    </w:pPr>
    <w:rPr>
      <w:rFonts w:eastAsiaTheme="minorHAnsi"/>
      <w:sz w:val="24"/>
    </w:rPr>
  </w:style>
  <w:style w:type="paragraph" w:customStyle="1" w:styleId="Point3number">
    <w:name w:val="Point 3 (number)"/>
    <w:basedOn w:val="Normal"/>
    <w:pPr>
      <w:numPr>
        <w:ilvl w:val="6"/>
        <w:numId w:val="28"/>
      </w:numPr>
      <w:spacing w:before="120"/>
    </w:pPr>
    <w:rPr>
      <w:rFonts w:eastAsiaTheme="minorHAnsi"/>
      <w:sz w:val="24"/>
    </w:rPr>
  </w:style>
  <w:style w:type="paragraph" w:customStyle="1" w:styleId="Point0letter">
    <w:name w:val="Point 0 (letter)"/>
    <w:basedOn w:val="Normal"/>
    <w:pPr>
      <w:numPr>
        <w:ilvl w:val="1"/>
        <w:numId w:val="28"/>
      </w:numPr>
      <w:spacing w:before="120"/>
    </w:pPr>
    <w:rPr>
      <w:rFonts w:eastAsiaTheme="minorHAnsi"/>
      <w:sz w:val="24"/>
    </w:rPr>
  </w:style>
  <w:style w:type="paragraph" w:customStyle="1" w:styleId="Point1letter">
    <w:name w:val="Point 1 (letter)"/>
    <w:basedOn w:val="Normal"/>
    <w:pPr>
      <w:numPr>
        <w:ilvl w:val="3"/>
        <w:numId w:val="28"/>
      </w:numPr>
      <w:spacing w:before="120"/>
    </w:pPr>
    <w:rPr>
      <w:rFonts w:eastAsiaTheme="minorHAnsi"/>
      <w:sz w:val="24"/>
    </w:rPr>
  </w:style>
  <w:style w:type="paragraph" w:customStyle="1" w:styleId="Point2letter">
    <w:name w:val="Point 2 (letter)"/>
    <w:basedOn w:val="Normal"/>
    <w:pPr>
      <w:numPr>
        <w:ilvl w:val="5"/>
        <w:numId w:val="28"/>
      </w:numPr>
      <w:spacing w:before="120"/>
    </w:pPr>
    <w:rPr>
      <w:rFonts w:eastAsiaTheme="minorHAnsi"/>
      <w:sz w:val="24"/>
    </w:rPr>
  </w:style>
  <w:style w:type="paragraph" w:customStyle="1" w:styleId="Point3letter">
    <w:name w:val="Point 3 (letter)"/>
    <w:basedOn w:val="Normal"/>
    <w:pPr>
      <w:numPr>
        <w:ilvl w:val="7"/>
        <w:numId w:val="28"/>
      </w:numPr>
      <w:spacing w:before="120"/>
    </w:pPr>
    <w:rPr>
      <w:rFonts w:eastAsiaTheme="minorHAnsi"/>
      <w:sz w:val="24"/>
    </w:rPr>
  </w:style>
  <w:style w:type="paragraph" w:customStyle="1" w:styleId="Point4letter">
    <w:name w:val="Point 4 (letter)"/>
    <w:basedOn w:val="Normal"/>
    <w:pPr>
      <w:numPr>
        <w:ilvl w:val="8"/>
        <w:numId w:val="28"/>
      </w:numPr>
      <w:spacing w:before="120"/>
    </w:pPr>
    <w:rPr>
      <w:rFonts w:eastAsiaTheme="minorHAnsi"/>
      <w:sz w:val="24"/>
    </w:rPr>
  </w:style>
  <w:style w:type="paragraph" w:customStyle="1" w:styleId="Bullet0">
    <w:name w:val="Bullet 0"/>
    <w:basedOn w:val="Normal"/>
    <w:pPr>
      <w:numPr>
        <w:numId w:val="30"/>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Pr>
      <w:rFonts w:ascii="Times New Roman" w:eastAsia="Times New Roman" w:hAnsi="Times New Roman" w:cs="Times New Roman"/>
      <w:lang w:val="en-GB"/>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en-IE"/>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en-IE"/>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en-IE"/>
    </w:rPr>
  </w:style>
  <w:style w:type="paragraph" w:customStyle="1" w:styleId="Normal1">
    <w:name w:val="Normal1"/>
    <w:basedOn w:val="Normal"/>
    <w:pPr>
      <w:spacing w:before="100" w:beforeAutospacing="1" w:after="100" w:afterAutospacing="1"/>
      <w:jc w:val="left"/>
    </w:pPr>
    <w:rPr>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 w:id="39405885">
      <w:bodyDiv w:val="1"/>
      <w:marLeft w:val="0"/>
      <w:marRight w:val="0"/>
      <w:marTop w:val="0"/>
      <w:marBottom w:val="0"/>
      <w:divBdr>
        <w:top w:val="none" w:sz="0" w:space="0" w:color="auto"/>
        <w:left w:val="none" w:sz="0" w:space="0" w:color="auto"/>
        <w:bottom w:val="none" w:sz="0" w:space="0" w:color="auto"/>
        <w:right w:val="none" w:sz="0" w:space="0" w:color="auto"/>
      </w:divBdr>
    </w:div>
    <w:div w:id="41440263">
      <w:bodyDiv w:val="1"/>
      <w:marLeft w:val="0"/>
      <w:marRight w:val="0"/>
      <w:marTop w:val="0"/>
      <w:marBottom w:val="0"/>
      <w:divBdr>
        <w:top w:val="none" w:sz="0" w:space="0" w:color="auto"/>
        <w:left w:val="none" w:sz="0" w:space="0" w:color="auto"/>
        <w:bottom w:val="none" w:sz="0" w:space="0" w:color="auto"/>
        <w:right w:val="none" w:sz="0" w:space="0" w:color="auto"/>
      </w:divBdr>
    </w:div>
    <w:div w:id="46223573">
      <w:bodyDiv w:val="1"/>
      <w:marLeft w:val="0"/>
      <w:marRight w:val="0"/>
      <w:marTop w:val="0"/>
      <w:marBottom w:val="0"/>
      <w:divBdr>
        <w:top w:val="none" w:sz="0" w:space="0" w:color="auto"/>
        <w:left w:val="none" w:sz="0" w:space="0" w:color="auto"/>
        <w:bottom w:val="none" w:sz="0" w:space="0" w:color="auto"/>
        <w:right w:val="none" w:sz="0" w:space="0" w:color="auto"/>
      </w:divBdr>
    </w:div>
    <w:div w:id="69234408">
      <w:bodyDiv w:val="1"/>
      <w:marLeft w:val="0"/>
      <w:marRight w:val="0"/>
      <w:marTop w:val="0"/>
      <w:marBottom w:val="0"/>
      <w:divBdr>
        <w:top w:val="none" w:sz="0" w:space="0" w:color="auto"/>
        <w:left w:val="none" w:sz="0" w:space="0" w:color="auto"/>
        <w:bottom w:val="none" w:sz="0" w:space="0" w:color="auto"/>
        <w:right w:val="none" w:sz="0" w:space="0" w:color="auto"/>
      </w:divBdr>
    </w:div>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125509124">
      <w:bodyDiv w:val="1"/>
      <w:marLeft w:val="0"/>
      <w:marRight w:val="0"/>
      <w:marTop w:val="0"/>
      <w:marBottom w:val="0"/>
      <w:divBdr>
        <w:top w:val="none" w:sz="0" w:space="0" w:color="auto"/>
        <w:left w:val="none" w:sz="0" w:space="0" w:color="auto"/>
        <w:bottom w:val="none" w:sz="0" w:space="0" w:color="auto"/>
        <w:right w:val="none" w:sz="0" w:space="0" w:color="auto"/>
      </w:divBdr>
    </w:div>
    <w:div w:id="128674400">
      <w:bodyDiv w:val="1"/>
      <w:marLeft w:val="0"/>
      <w:marRight w:val="0"/>
      <w:marTop w:val="0"/>
      <w:marBottom w:val="0"/>
      <w:divBdr>
        <w:top w:val="none" w:sz="0" w:space="0" w:color="auto"/>
        <w:left w:val="none" w:sz="0" w:space="0" w:color="auto"/>
        <w:bottom w:val="none" w:sz="0" w:space="0" w:color="auto"/>
        <w:right w:val="none" w:sz="0" w:space="0" w:color="auto"/>
      </w:divBdr>
    </w:div>
    <w:div w:id="173686347">
      <w:bodyDiv w:val="1"/>
      <w:marLeft w:val="0"/>
      <w:marRight w:val="0"/>
      <w:marTop w:val="0"/>
      <w:marBottom w:val="0"/>
      <w:divBdr>
        <w:top w:val="none" w:sz="0" w:space="0" w:color="auto"/>
        <w:left w:val="none" w:sz="0" w:space="0" w:color="auto"/>
        <w:bottom w:val="none" w:sz="0" w:space="0" w:color="auto"/>
        <w:right w:val="none" w:sz="0" w:space="0" w:color="auto"/>
      </w:divBdr>
    </w:div>
    <w:div w:id="179442405">
      <w:bodyDiv w:val="1"/>
      <w:marLeft w:val="0"/>
      <w:marRight w:val="0"/>
      <w:marTop w:val="0"/>
      <w:marBottom w:val="0"/>
      <w:divBdr>
        <w:top w:val="none" w:sz="0" w:space="0" w:color="auto"/>
        <w:left w:val="none" w:sz="0" w:space="0" w:color="auto"/>
        <w:bottom w:val="none" w:sz="0" w:space="0" w:color="auto"/>
        <w:right w:val="none" w:sz="0" w:space="0" w:color="auto"/>
      </w:divBdr>
    </w:div>
    <w:div w:id="215556001">
      <w:bodyDiv w:val="1"/>
      <w:marLeft w:val="0"/>
      <w:marRight w:val="0"/>
      <w:marTop w:val="0"/>
      <w:marBottom w:val="0"/>
      <w:divBdr>
        <w:top w:val="none" w:sz="0" w:space="0" w:color="auto"/>
        <w:left w:val="none" w:sz="0" w:space="0" w:color="auto"/>
        <w:bottom w:val="none" w:sz="0" w:space="0" w:color="auto"/>
        <w:right w:val="none" w:sz="0" w:space="0" w:color="auto"/>
      </w:divBdr>
    </w:div>
    <w:div w:id="216283358">
      <w:bodyDiv w:val="1"/>
      <w:marLeft w:val="0"/>
      <w:marRight w:val="0"/>
      <w:marTop w:val="0"/>
      <w:marBottom w:val="0"/>
      <w:divBdr>
        <w:top w:val="none" w:sz="0" w:space="0" w:color="auto"/>
        <w:left w:val="none" w:sz="0" w:space="0" w:color="auto"/>
        <w:bottom w:val="none" w:sz="0" w:space="0" w:color="auto"/>
        <w:right w:val="none" w:sz="0" w:space="0" w:color="auto"/>
      </w:divBdr>
    </w:div>
    <w:div w:id="246959811">
      <w:bodyDiv w:val="1"/>
      <w:marLeft w:val="0"/>
      <w:marRight w:val="0"/>
      <w:marTop w:val="0"/>
      <w:marBottom w:val="0"/>
      <w:divBdr>
        <w:top w:val="none" w:sz="0" w:space="0" w:color="auto"/>
        <w:left w:val="none" w:sz="0" w:space="0" w:color="auto"/>
        <w:bottom w:val="none" w:sz="0" w:space="0" w:color="auto"/>
        <w:right w:val="none" w:sz="0" w:space="0" w:color="auto"/>
      </w:divBdr>
    </w:div>
    <w:div w:id="273220357">
      <w:bodyDiv w:val="1"/>
      <w:marLeft w:val="0"/>
      <w:marRight w:val="0"/>
      <w:marTop w:val="0"/>
      <w:marBottom w:val="0"/>
      <w:divBdr>
        <w:top w:val="none" w:sz="0" w:space="0" w:color="auto"/>
        <w:left w:val="none" w:sz="0" w:space="0" w:color="auto"/>
        <w:bottom w:val="none" w:sz="0" w:space="0" w:color="auto"/>
        <w:right w:val="none" w:sz="0" w:space="0" w:color="auto"/>
      </w:divBdr>
    </w:div>
    <w:div w:id="273633673">
      <w:bodyDiv w:val="1"/>
      <w:marLeft w:val="0"/>
      <w:marRight w:val="0"/>
      <w:marTop w:val="0"/>
      <w:marBottom w:val="0"/>
      <w:divBdr>
        <w:top w:val="none" w:sz="0" w:space="0" w:color="auto"/>
        <w:left w:val="none" w:sz="0" w:space="0" w:color="auto"/>
        <w:bottom w:val="none" w:sz="0" w:space="0" w:color="auto"/>
        <w:right w:val="none" w:sz="0" w:space="0" w:color="auto"/>
      </w:divBdr>
    </w:div>
    <w:div w:id="300889682">
      <w:bodyDiv w:val="1"/>
      <w:marLeft w:val="0"/>
      <w:marRight w:val="0"/>
      <w:marTop w:val="0"/>
      <w:marBottom w:val="0"/>
      <w:divBdr>
        <w:top w:val="none" w:sz="0" w:space="0" w:color="auto"/>
        <w:left w:val="none" w:sz="0" w:space="0" w:color="auto"/>
        <w:bottom w:val="none" w:sz="0" w:space="0" w:color="auto"/>
        <w:right w:val="none" w:sz="0" w:space="0" w:color="auto"/>
      </w:divBdr>
    </w:div>
    <w:div w:id="338582174">
      <w:bodyDiv w:val="1"/>
      <w:marLeft w:val="0"/>
      <w:marRight w:val="0"/>
      <w:marTop w:val="0"/>
      <w:marBottom w:val="0"/>
      <w:divBdr>
        <w:top w:val="none" w:sz="0" w:space="0" w:color="auto"/>
        <w:left w:val="none" w:sz="0" w:space="0" w:color="auto"/>
        <w:bottom w:val="none" w:sz="0" w:space="0" w:color="auto"/>
        <w:right w:val="none" w:sz="0" w:space="0" w:color="auto"/>
      </w:divBdr>
    </w:div>
    <w:div w:id="353767465">
      <w:bodyDiv w:val="1"/>
      <w:marLeft w:val="0"/>
      <w:marRight w:val="0"/>
      <w:marTop w:val="0"/>
      <w:marBottom w:val="0"/>
      <w:divBdr>
        <w:top w:val="none" w:sz="0" w:space="0" w:color="auto"/>
        <w:left w:val="none" w:sz="0" w:space="0" w:color="auto"/>
        <w:bottom w:val="none" w:sz="0" w:space="0" w:color="auto"/>
        <w:right w:val="none" w:sz="0" w:space="0" w:color="auto"/>
      </w:divBdr>
    </w:div>
    <w:div w:id="360086075">
      <w:bodyDiv w:val="1"/>
      <w:marLeft w:val="0"/>
      <w:marRight w:val="0"/>
      <w:marTop w:val="0"/>
      <w:marBottom w:val="0"/>
      <w:divBdr>
        <w:top w:val="none" w:sz="0" w:space="0" w:color="auto"/>
        <w:left w:val="none" w:sz="0" w:space="0" w:color="auto"/>
        <w:bottom w:val="none" w:sz="0" w:space="0" w:color="auto"/>
        <w:right w:val="none" w:sz="0" w:space="0" w:color="auto"/>
      </w:divBdr>
    </w:div>
    <w:div w:id="375667053">
      <w:bodyDiv w:val="1"/>
      <w:marLeft w:val="0"/>
      <w:marRight w:val="0"/>
      <w:marTop w:val="0"/>
      <w:marBottom w:val="0"/>
      <w:divBdr>
        <w:top w:val="none" w:sz="0" w:space="0" w:color="auto"/>
        <w:left w:val="none" w:sz="0" w:space="0" w:color="auto"/>
        <w:bottom w:val="none" w:sz="0" w:space="0" w:color="auto"/>
        <w:right w:val="none" w:sz="0" w:space="0" w:color="auto"/>
      </w:divBdr>
    </w:div>
    <w:div w:id="381027208">
      <w:bodyDiv w:val="1"/>
      <w:marLeft w:val="0"/>
      <w:marRight w:val="0"/>
      <w:marTop w:val="0"/>
      <w:marBottom w:val="0"/>
      <w:divBdr>
        <w:top w:val="none" w:sz="0" w:space="0" w:color="auto"/>
        <w:left w:val="none" w:sz="0" w:space="0" w:color="auto"/>
        <w:bottom w:val="none" w:sz="0" w:space="0" w:color="auto"/>
        <w:right w:val="none" w:sz="0" w:space="0" w:color="auto"/>
      </w:divBdr>
    </w:div>
    <w:div w:id="381028459">
      <w:bodyDiv w:val="1"/>
      <w:marLeft w:val="0"/>
      <w:marRight w:val="0"/>
      <w:marTop w:val="0"/>
      <w:marBottom w:val="0"/>
      <w:divBdr>
        <w:top w:val="none" w:sz="0" w:space="0" w:color="auto"/>
        <w:left w:val="none" w:sz="0" w:space="0" w:color="auto"/>
        <w:bottom w:val="none" w:sz="0" w:space="0" w:color="auto"/>
        <w:right w:val="none" w:sz="0" w:space="0" w:color="auto"/>
      </w:divBdr>
    </w:div>
    <w:div w:id="391347144">
      <w:bodyDiv w:val="1"/>
      <w:marLeft w:val="0"/>
      <w:marRight w:val="0"/>
      <w:marTop w:val="0"/>
      <w:marBottom w:val="0"/>
      <w:divBdr>
        <w:top w:val="none" w:sz="0" w:space="0" w:color="auto"/>
        <w:left w:val="none" w:sz="0" w:space="0" w:color="auto"/>
        <w:bottom w:val="none" w:sz="0" w:space="0" w:color="auto"/>
        <w:right w:val="none" w:sz="0" w:space="0" w:color="auto"/>
      </w:divBdr>
    </w:div>
    <w:div w:id="391461724">
      <w:bodyDiv w:val="1"/>
      <w:marLeft w:val="0"/>
      <w:marRight w:val="0"/>
      <w:marTop w:val="0"/>
      <w:marBottom w:val="0"/>
      <w:divBdr>
        <w:top w:val="none" w:sz="0" w:space="0" w:color="auto"/>
        <w:left w:val="none" w:sz="0" w:space="0" w:color="auto"/>
        <w:bottom w:val="none" w:sz="0" w:space="0" w:color="auto"/>
        <w:right w:val="none" w:sz="0" w:space="0" w:color="auto"/>
      </w:divBdr>
    </w:div>
    <w:div w:id="391855611">
      <w:bodyDiv w:val="1"/>
      <w:marLeft w:val="0"/>
      <w:marRight w:val="0"/>
      <w:marTop w:val="0"/>
      <w:marBottom w:val="0"/>
      <w:divBdr>
        <w:top w:val="none" w:sz="0" w:space="0" w:color="auto"/>
        <w:left w:val="none" w:sz="0" w:space="0" w:color="auto"/>
        <w:bottom w:val="none" w:sz="0" w:space="0" w:color="auto"/>
        <w:right w:val="none" w:sz="0" w:space="0" w:color="auto"/>
      </w:divBdr>
    </w:div>
    <w:div w:id="402072426">
      <w:bodyDiv w:val="1"/>
      <w:marLeft w:val="0"/>
      <w:marRight w:val="0"/>
      <w:marTop w:val="0"/>
      <w:marBottom w:val="0"/>
      <w:divBdr>
        <w:top w:val="none" w:sz="0" w:space="0" w:color="auto"/>
        <w:left w:val="none" w:sz="0" w:space="0" w:color="auto"/>
        <w:bottom w:val="none" w:sz="0" w:space="0" w:color="auto"/>
        <w:right w:val="none" w:sz="0" w:space="0" w:color="auto"/>
      </w:divBdr>
    </w:div>
    <w:div w:id="424886214">
      <w:bodyDiv w:val="1"/>
      <w:marLeft w:val="0"/>
      <w:marRight w:val="0"/>
      <w:marTop w:val="0"/>
      <w:marBottom w:val="0"/>
      <w:divBdr>
        <w:top w:val="none" w:sz="0" w:space="0" w:color="auto"/>
        <w:left w:val="none" w:sz="0" w:space="0" w:color="auto"/>
        <w:bottom w:val="none" w:sz="0" w:space="0" w:color="auto"/>
        <w:right w:val="none" w:sz="0" w:space="0" w:color="auto"/>
      </w:divBdr>
    </w:div>
    <w:div w:id="438140846">
      <w:bodyDiv w:val="1"/>
      <w:marLeft w:val="0"/>
      <w:marRight w:val="0"/>
      <w:marTop w:val="0"/>
      <w:marBottom w:val="0"/>
      <w:divBdr>
        <w:top w:val="none" w:sz="0" w:space="0" w:color="auto"/>
        <w:left w:val="none" w:sz="0" w:space="0" w:color="auto"/>
        <w:bottom w:val="none" w:sz="0" w:space="0" w:color="auto"/>
        <w:right w:val="none" w:sz="0" w:space="0" w:color="auto"/>
      </w:divBdr>
    </w:div>
    <w:div w:id="467356868">
      <w:bodyDiv w:val="1"/>
      <w:marLeft w:val="0"/>
      <w:marRight w:val="0"/>
      <w:marTop w:val="0"/>
      <w:marBottom w:val="0"/>
      <w:divBdr>
        <w:top w:val="none" w:sz="0" w:space="0" w:color="auto"/>
        <w:left w:val="none" w:sz="0" w:space="0" w:color="auto"/>
        <w:bottom w:val="none" w:sz="0" w:space="0" w:color="auto"/>
        <w:right w:val="none" w:sz="0" w:space="0" w:color="auto"/>
      </w:divBdr>
    </w:div>
    <w:div w:id="474563754">
      <w:bodyDiv w:val="1"/>
      <w:marLeft w:val="0"/>
      <w:marRight w:val="0"/>
      <w:marTop w:val="0"/>
      <w:marBottom w:val="0"/>
      <w:divBdr>
        <w:top w:val="none" w:sz="0" w:space="0" w:color="auto"/>
        <w:left w:val="none" w:sz="0" w:space="0" w:color="auto"/>
        <w:bottom w:val="none" w:sz="0" w:space="0" w:color="auto"/>
        <w:right w:val="none" w:sz="0" w:space="0" w:color="auto"/>
      </w:divBdr>
    </w:div>
    <w:div w:id="500971705">
      <w:bodyDiv w:val="1"/>
      <w:marLeft w:val="0"/>
      <w:marRight w:val="0"/>
      <w:marTop w:val="0"/>
      <w:marBottom w:val="0"/>
      <w:divBdr>
        <w:top w:val="none" w:sz="0" w:space="0" w:color="auto"/>
        <w:left w:val="none" w:sz="0" w:space="0" w:color="auto"/>
        <w:bottom w:val="none" w:sz="0" w:space="0" w:color="auto"/>
        <w:right w:val="none" w:sz="0" w:space="0" w:color="auto"/>
      </w:divBdr>
    </w:div>
    <w:div w:id="507721970">
      <w:bodyDiv w:val="1"/>
      <w:marLeft w:val="0"/>
      <w:marRight w:val="0"/>
      <w:marTop w:val="0"/>
      <w:marBottom w:val="0"/>
      <w:divBdr>
        <w:top w:val="none" w:sz="0" w:space="0" w:color="auto"/>
        <w:left w:val="none" w:sz="0" w:space="0" w:color="auto"/>
        <w:bottom w:val="none" w:sz="0" w:space="0" w:color="auto"/>
        <w:right w:val="none" w:sz="0" w:space="0" w:color="auto"/>
      </w:divBdr>
    </w:div>
    <w:div w:id="508495590">
      <w:bodyDiv w:val="1"/>
      <w:marLeft w:val="0"/>
      <w:marRight w:val="0"/>
      <w:marTop w:val="0"/>
      <w:marBottom w:val="0"/>
      <w:divBdr>
        <w:top w:val="none" w:sz="0" w:space="0" w:color="auto"/>
        <w:left w:val="none" w:sz="0" w:space="0" w:color="auto"/>
        <w:bottom w:val="none" w:sz="0" w:space="0" w:color="auto"/>
        <w:right w:val="none" w:sz="0" w:space="0" w:color="auto"/>
      </w:divBdr>
    </w:div>
    <w:div w:id="517155993">
      <w:bodyDiv w:val="1"/>
      <w:marLeft w:val="0"/>
      <w:marRight w:val="0"/>
      <w:marTop w:val="0"/>
      <w:marBottom w:val="0"/>
      <w:divBdr>
        <w:top w:val="none" w:sz="0" w:space="0" w:color="auto"/>
        <w:left w:val="none" w:sz="0" w:space="0" w:color="auto"/>
        <w:bottom w:val="none" w:sz="0" w:space="0" w:color="auto"/>
        <w:right w:val="none" w:sz="0" w:space="0" w:color="auto"/>
      </w:divBdr>
    </w:div>
    <w:div w:id="520626793">
      <w:bodyDiv w:val="1"/>
      <w:marLeft w:val="0"/>
      <w:marRight w:val="0"/>
      <w:marTop w:val="0"/>
      <w:marBottom w:val="0"/>
      <w:divBdr>
        <w:top w:val="none" w:sz="0" w:space="0" w:color="auto"/>
        <w:left w:val="none" w:sz="0" w:space="0" w:color="auto"/>
        <w:bottom w:val="none" w:sz="0" w:space="0" w:color="auto"/>
        <w:right w:val="none" w:sz="0" w:space="0" w:color="auto"/>
      </w:divBdr>
    </w:div>
    <w:div w:id="538935076">
      <w:bodyDiv w:val="1"/>
      <w:marLeft w:val="0"/>
      <w:marRight w:val="0"/>
      <w:marTop w:val="0"/>
      <w:marBottom w:val="0"/>
      <w:divBdr>
        <w:top w:val="none" w:sz="0" w:space="0" w:color="auto"/>
        <w:left w:val="none" w:sz="0" w:space="0" w:color="auto"/>
        <w:bottom w:val="none" w:sz="0" w:space="0" w:color="auto"/>
        <w:right w:val="none" w:sz="0" w:space="0" w:color="auto"/>
      </w:divBdr>
    </w:div>
    <w:div w:id="583222993">
      <w:bodyDiv w:val="1"/>
      <w:marLeft w:val="0"/>
      <w:marRight w:val="0"/>
      <w:marTop w:val="0"/>
      <w:marBottom w:val="0"/>
      <w:divBdr>
        <w:top w:val="none" w:sz="0" w:space="0" w:color="auto"/>
        <w:left w:val="none" w:sz="0" w:space="0" w:color="auto"/>
        <w:bottom w:val="none" w:sz="0" w:space="0" w:color="auto"/>
        <w:right w:val="none" w:sz="0" w:space="0" w:color="auto"/>
      </w:divBdr>
    </w:div>
    <w:div w:id="616525560">
      <w:bodyDiv w:val="1"/>
      <w:marLeft w:val="0"/>
      <w:marRight w:val="0"/>
      <w:marTop w:val="0"/>
      <w:marBottom w:val="0"/>
      <w:divBdr>
        <w:top w:val="none" w:sz="0" w:space="0" w:color="auto"/>
        <w:left w:val="none" w:sz="0" w:space="0" w:color="auto"/>
        <w:bottom w:val="none" w:sz="0" w:space="0" w:color="auto"/>
        <w:right w:val="none" w:sz="0" w:space="0" w:color="auto"/>
      </w:divBdr>
    </w:div>
    <w:div w:id="643780754">
      <w:bodyDiv w:val="1"/>
      <w:marLeft w:val="0"/>
      <w:marRight w:val="0"/>
      <w:marTop w:val="0"/>
      <w:marBottom w:val="0"/>
      <w:divBdr>
        <w:top w:val="none" w:sz="0" w:space="0" w:color="auto"/>
        <w:left w:val="none" w:sz="0" w:space="0" w:color="auto"/>
        <w:bottom w:val="none" w:sz="0" w:space="0" w:color="auto"/>
        <w:right w:val="none" w:sz="0" w:space="0" w:color="auto"/>
      </w:divBdr>
    </w:div>
    <w:div w:id="681854053">
      <w:bodyDiv w:val="1"/>
      <w:marLeft w:val="0"/>
      <w:marRight w:val="0"/>
      <w:marTop w:val="0"/>
      <w:marBottom w:val="0"/>
      <w:divBdr>
        <w:top w:val="none" w:sz="0" w:space="0" w:color="auto"/>
        <w:left w:val="none" w:sz="0" w:space="0" w:color="auto"/>
        <w:bottom w:val="none" w:sz="0" w:space="0" w:color="auto"/>
        <w:right w:val="none" w:sz="0" w:space="0" w:color="auto"/>
      </w:divBdr>
    </w:div>
    <w:div w:id="711072526">
      <w:bodyDiv w:val="1"/>
      <w:marLeft w:val="0"/>
      <w:marRight w:val="0"/>
      <w:marTop w:val="0"/>
      <w:marBottom w:val="0"/>
      <w:divBdr>
        <w:top w:val="none" w:sz="0" w:space="0" w:color="auto"/>
        <w:left w:val="none" w:sz="0" w:space="0" w:color="auto"/>
        <w:bottom w:val="none" w:sz="0" w:space="0" w:color="auto"/>
        <w:right w:val="none" w:sz="0" w:space="0" w:color="auto"/>
      </w:divBdr>
    </w:div>
    <w:div w:id="740256637">
      <w:bodyDiv w:val="1"/>
      <w:marLeft w:val="0"/>
      <w:marRight w:val="0"/>
      <w:marTop w:val="0"/>
      <w:marBottom w:val="0"/>
      <w:divBdr>
        <w:top w:val="none" w:sz="0" w:space="0" w:color="auto"/>
        <w:left w:val="none" w:sz="0" w:space="0" w:color="auto"/>
        <w:bottom w:val="none" w:sz="0" w:space="0" w:color="auto"/>
        <w:right w:val="none" w:sz="0" w:space="0" w:color="auto"/>
      </w:divBdr>
    </w:div>
    <w:div w:id="764544174">
      <w:bodyDiv w:val="1"/>
      <w:marLeft w:val="0"/>
      <w:marRight w:val="0"/>
      <w:marTop w:val="0"/>
      <w:marBottom w:val="0"/>
      <w:divBdr>
        <w:top w:val="none" w:sz="0" w:space="0" w:color="auto"/>
        <w:left w:val="none" w:sz="0" w:space="0" w:color="auto"/>
        <w:bottom w:val="none" w:sz="0" w:space="0" w:color="auto"/>
        <w:right w:val="none" w:sz="0" w:space="0" w:color="auto"/>
      </w:divBdr>
    </w:div>
    <w:div w:id="773521544">
      <w:bodyDiv w:val="1"/>
      <w:marLeft w:val="0"/>
      <w:marRight w:val="0"/>
      <w:marTop w:val="0"/>
      <w:marBottom w:val="0"/>
      <w:divBdr>
        <w:top w:val="none" w:sz="0" w:space="0" w:color="auto"/>
        <w:left w:val="none" w:sz="0" w:space="0" w:color="auto"/>
        <w:bottom w:val="none" w:sz="0" w:space="0" w:color="auto"/>
        <w:right w:val="none" w:sz="0" w:space="0" w:color="auto"/>
      </w:divBdr>
    </w:div>
    <w:div w:id="774134777">
      <w:bodyDiv w:val="1"/>
      <w:marLeft w:val="0"/>
      <w:marRight w:val="0"/>
      <w:marTop w:val="0"/>
      <w:marBottom w:val="0"/>
      <w:divBdr>
        <w:top w:val="none" w:sz="0" w:space="0" w:color="auto"/>
        <w:left w:val="none" w:sz="0" w:space="0" w:color="auto"/>
        <w:bottom w:val="none" w:sz="0" w:space="0" w:color="auto"/>
        <w:right w:val="none" w:sz="0" w:space="0" w:color="auto"/>
      </w:divBdr>
    </w:div>
    <w:div w:id="782069169">
      <w:bodyDiv w:val="1"/>
      <w:marLeft w:val="0"/>
      <w:marRight w:val="0"/>
      <w:marTop w:val="0"/>
      <w:marBottom w:val="0"/>
      <w:divBdr>
        <w:top w:val="none" w:sz="0" w:space="0" w:color="auto"/>
        <w:left w:val="none" w:sz="0" w:space="0" w:color="auto"/>
        <w:bottom w:val="none" w:sz="0" w:space="0" w:color="auto"/>
        <w:right w:val="none" w:sz="0" w:space="0" w:color="auto"/>
      </w:divBdr>
    </w:div>
    <w:div w:id="794106337">
      <w:bodyDiv w:val="1"/>
      <w:marLeft w:val="0"/>
      <w:marRight w:val="0"/>
      <w:marTop w:val="0"/>
      <w:marBottom w:val="0"/>
      <w:divBdr>
        <w:top w:val="none" w:sz="0" w:space="0" w:color="auto"/>
        <w:left w:val="none" w:sz="0" w:space="0" w:color="auto"/>
        <w:bottom w:val="none" w:sz="0" w:space="0" w:color="auto"/>
        <w:right w:val="none" w:sz="0" w:space="0" w:color="auto"/>
      </w:divBdr>
    </w:div>
    <w:div w:id="795221902">
      <w:bodyDiv w:val="1"/>
      <w:marLeft w:val="0"/>
      <w:marRight w:val="0"/>
      <w:marTop w:val="0"/>
      <w:marBottom w:val="0"/>
      <w:divBdr>
        <w:top w:val="none" w:sz="0" w:space="0" w:color="auto"/>
        <w:left w:val="none" w:sz="0" w:space="0" w:color="auto"/>
        <w:bottom w:val="none" w:sz="0" w:space="0" w:color="auto"/>
        <w:right w:val="none" w:sz="0" w:space="0" w:color="auto"/>
      </w:divBdr>
    </w:div>
    <w:div w:id="808402325">
      <w:bodyDiv w:val="1"/>
      <w:marLeft w:val="0"/>
      <w:marRight w:val="0"/>
      <w:marTop w:val="0"/>
      <w:marBottom w:val="0"/>
      <w:divBdr>
        <w:top w:val="none" w:sz="0" w:space="0" w:color="auto"/>
        <w:left w:val="none" w:sz="0" w:space="0" w:color="auto"/>
        <w:bottom w:val="none" w:sz="0" w:space="0" w:color="auto"/>
        <w:right w:val="none" w:sz="0" w:space="0" w:color="auto"/>
      </w:divBdr>
    </w:div>
    <w:div w:id="860554764">
      <w:bodyDiv w:val="1"/>
      <w:marLeft w:val="0"/>
      <w:marRight w:val="0"/>
      <w:marTop w:val="0"/>
      <w:marBottom w:val="0"/>
      <w:divBdr>
        <w:top w:val="none" w:sz="0" w:space="0" w:color="auto"/>
        <w:left w:val="none" w:sz="0" w:space="0" w:color="auto"/>
        <w:bottom w:val="none" w:sz="0" w:space="0" w:color="auto"/>
        <w:right w:val="none" w:sz="0" w:space="0" w:color="auto"/>
      </w:divBdr>
    </w:div>
    <w:div w:id="866216474">
      <w:bodyDiv w:val="1"/>
      <w:marLeft w:val="0"/>
      <w:marRight w:val="0"/>
      <w:marTop w:val="0"/>
      <w:marBottom w:val="0"/>
      <w:divBdr>
        <w:top w:val="none" w:sz="0" w:space="0" w:color="auto"/>
        <w:left w:val="none" w:sz="0" w:space="0" w:color="auto"/>
        <w:bottom w:val="none" w:sz="0" w:space="0" w:color="auto"/>
        <w:right w:val="none" w:sz="0" w:space="0" w:color="auto"/>
      </w:divBdr>
    </w:div>
    <w:div w:id="872032502">
      <w:bodyDiv w:val="1"/>
      <w:marLeft w:val="0"/>
      <w:marRight w:val="0"/>
      <w:marTop w:val="0"/>
      <w:marBottom w:val="0"/>
      <w:divBdr>
        <w:top w:val="none" w:sz="0" w:space="0" w:color="auto"/>
        <w:left w:val="none" w:sz="0" w:space="0" w:color="auto"/>
        <w:bottom w:val="none" w:sz="0" w:space="0" w:color="auto"/>
        <w:right w:val="none" w:sz="0" w:space="0" w:color="auto"/>
      </w:divBdr>
    </w:div>
    <w:div w:id="878594307">
      <w:bodyDiv w:val="1"/>
      <w:marLeft w:val="0"/>
      <w:marRight w:val="0"/>
      <w:marTop w:val="0"/>
      <w:marBottom w:val="0"/>
      <w:divBdr>
        <w:top w:val="none" w:sz="0" w:space="0" w:color="auto"/>
        <w:left w:val="none" w:sz="0" w:space="0" w:color="auto"/>
        <w:bottom w:val="none" w:sz="0" w:space="0" w:color="auto"/>
        <w:right w:val="none" w:sz="0" w:space="0" w:color="auto"/>
      </w:divBdr>
    </w:div>
    <w:div w:id="920800271">
      <w:bodyDiv w:val="1"/>
      <w:marLeft w:val="0"/>
      <w:marRight w:val="0"/>
      <w:marTop w:val="0"/>
      <w:marBottom w:val="0"/>
      <w:divBdr>
        <w:top w:val="none" w:sz="0" w:space="0" w:color="auto"/>
        <w:left w:val="none" w:sz="0" w:space="0" w:color="auto"/>
        <w:bottom w:val="none" w:sz="0" w:space="0" w:color="auto"/>
        <w:right w:val="none" w:sz="0" w:space="0" w:color="auto"/>
      </w:divBdr>
    </w:div>
    <w:div w:id="934286155">
      <w:bodyDiv w:val="1"/>
      <w:marLeft w:val="0"/>
      <w:marRight w:val="0"/>
      <w:marTop w:val="0"/>
      <w:marBottom w:val="0"/>
      <w:divBdr>
        <w:top w:val="none" w:sz="0" w:space="0" w:color="auto"/>
        <w:left w:val="none" w:sz="0" w:space="0" w:color="auto"/>
        <w:bottom w:val="none" w:sz="0" w:space="0" w:color="auto"/>
        <w:right w:val="none" w:sz="0" w:space="0" w:color="auto"/>
      </w:divBdr>
    </w:div>
    <w:div w:id="940721734">
      <w:bodyDiv w:val="1"/>
      <w:marLeft w:val="0"/>
      <w:marRight w:val="0"/>
      <w:marTop w:val="0"/>
      <w:marBottom w:val="0"/>
      <w:divBdr>
        <w:top w:val="none" w:sz="0" w:space="0" w:color="auto"/>
        <w:left w:val="none" w:sz="0" w:space="0" w:color="auto"/>
        <w:bottom w:val="none" w:sz="0" w:space="0" w:color="auto"/>
        <w:right w:val="none" w:sz="0" w:space="0" w:color="auto"/>
      </w:divBdr>
    </w:div>
    <w:div w:id="942763171">
      <w:bodyDiv w:val="1"/>
      <w:marLeft w:val="0"/>
      <w:marRight w:val="0"/>
      <w:marTop w:val="0"/>
      <w:marBottom w:val="0"/>
      <w:divBdr>
        <w:top w:val="none" w:sz="0" w:space="0" w:color="auto"/>
        <w:left w:val="none" w:sz="0" w:space="0" w:color="auto"/>
        <w:bottom w:val="none" w:sz="0" w:space="0" w:color="auto"/>
        <w:right w:val="none" w:sz="0" w:space="0" w:color="auto"/>
      </w:divBdr>
    </w:div>
    <w:div w:id="989213099">
      <w:bodyDiv w:val="1"/>
      <w:marLeft w:val="0"/>
      <w:marRight w:val="0"/>
      <w:marTop w:val="0"/>
      <w:marBottom w:val="0"/>
      <w:divBdr>
        <w:top w:val="none" w:sz="0" w:space="0" w:color="auto"/>
        <w:left w:val="none" w:sz="0" w:space="0" w:color="auto"/>
        <w:bottom w:val="none" w:sz="0" w:space="0" w:color="auto"/>
        <w:right w:val="none" w:sz="0" w:space="0" w:color="auto"/>
      </w:divBdr>
    </w:div>
    <w:div w:id="994335906">
      <w:bodyDiv w:val="1"/>
      <w:marLeft w:val="0"/>
      <w:marRight w:val="0"/>
      <w:marTop w:val="0"/>
      <w:marBottom w:val="0"/>
      <w:divBdr>
        <w:top w:val="none" w:sz="0" w:space="0" w:color="auto"/>
        <w:left w:val="none" w:sz="0" w:space="0" w:color="auto"/>
        <w:bottom w:val="none" w:sz="0" w:space="0" w:color="auto"/>
        <w:right w:val="none" w:sz="0" w:space="0" w:color="auto"/>
      </w:divBdr>
    </w:div>
    <w:div w:id="1001087235">
      <w:bodyDiv w:val="1"/>
      <w:marLeft w:val="0"/>
      <w:marRight w:val="0"/>
      <w:marTop w:val="0"/>
      <w:marBottom w:val="0"/>
      <w:divBdr>
        <w:top w:val="none" w:sz="0" w:space="0" w:color="auto"/>
        <w:left w:val="none" w:sz="0" w:space="0" w:color="auto"/>
        <w:bottom w:val="none" w:sz="0" w:space="0" w:color="auto"/>
        <w:right w:val="none" w:sz="0" w:space="0" w:color="auto"/>
      </w:divBdr>
    </w:div>
    <w:div w:id="1014964886">
      <w:bodyDiv w:val="1"/>
      <w:marLeft w:val="0"/>
      <w:marRight w:val="0"/>
      <w:marTop w:val="0"/>
      <w:marBottom w:val="0"/>
      <w:divBdr>
        <w:top w:val="none" w:sz="0" w:space="0" w:color="auto"/>
        <w:left w:val="none" w:sz="0" w:space="0" w:color="auto"/>
        <w:bottom w:val="none" w:sz="0" w:space="0" w:color="auto"/>
        <w:right w:val="none" w:sz="0" w:space="0" w:color="auto"/>
      </w:divBdr>
    </w:div>
    <w:div w:id="1086879811">
      <w:bodyDiv w:val="1"/>
      <w:marLeft w:val="0"/>
      <w:marRight w:val="0"/>
      <w:marTop w:val="0"/>
      <w:marBottom w:val="0"/>
      <w:divBdr>
        <w:top w:val="none" w:sz="0" w:space="0" w:color="auto"/>
        <w:left w:val="none" w:sz="0" w:space="0" w:color="auto"/>
        <w:bottom w:val="none" w:sz="0" w:space="0" w:color="auto"/>
        <w:right w:val="none" w:sz="0" w:space="0" w:color="auto"/>
      </w:divBdr>
    </w:div>
    <w:div w:id="1093668664">
      <w:bodyDiv w:val="1"/>
      <w:marLeft w:val="0"/>
      <w:marRight w:val="0"/>
      <w:marTop w:val="0"/>
      <w:marBottom w:val="0"/>
      <w:divBdr>
        <w:top w:val="none" w:sz="0" w:space="0" w:color="auto"/>
        <w:left w:val="none" w:sz="0" w:space="0" w:color="auto"/>
        <w:bottom w:val="none" w:sz="0" w:space="0" w:color="auto"/>
        <w:right w:val="none" w:sz="0" w:space="0" w:color="auto"/>
      </w:divBdr>
      <w:divsChild>
        <w:div w:id="938679733">
          <w:marLeft w:val="547"/>
          <w:marRight w:val="0"/>
          <w:marTop w:val="106"/>
          <w:marBottom w:val="0"/>
          <w:divBdr>
            <w:top w:val="none" w:sz="0" w:space="0" w:color="auto"/>
            <w:left w:val="none" w:sz="0" w:space="0" w:color="auto"/>
            <w:bottom w:val="none" w:sz="0" w:space="0" w:color="auto"/>
            <w:right w:val="none" w:sz="0" w:space="0" w:color="auto"/>
          </w:divBdr>
        </w:div>
        <w:div w:id="520509835">
          <w:marLeft w:val="547"/>
          <w:marRight w:val="0"/>
          <w:marTop w:val="106"/>
          <w:marBottom w:val="0"/>
          <w:divBdr>
            <w:top w:val="none" w:sz="0" w:space="0" w:color="auto"/>
            <w:left w:val="none" w:sz="0" w:space="0" w:color="auto"/>
            <w:bottom w:val="none" w:sz="0" w:space="0" w:color="auto"/>
            <w:right w:val="none" w:sz="0" w:space="0" w:color="auto"/>
          </w:divBdr>
        </w:div>
      </w:divsChild>
    </w:div>
    <w:div w:id="1102919688">
      <w:bodyDiv w:val="1"/>
      <w:marLeft w:val="0"/>
      <w:marRight w:val="0"/>
      <w:marTop w:val="0"/>
      <w:marBottom w:val="0"/>
      <w:divBdr>
        <w:top w:val="none" w:sz="0" w:space="0" w:color="auto"/>
        <w:left w:val="none" w:sz="0" w:space="0" w:color="auto"/>
        <w:bottom w:val="none" w:sz="0" w:space="0" w:color="auto"/>
        <w:right w:val="none" w:sz="0" w:space="0" w:color="auto"/>
      </w:divBdr>
    </w:div>
    <w:div w:id="1115907127">
      <w:bodyDiv w:val="1"/>
      <w:marLeft w:val="0"/>
      <w:marRight w:val="0"/>
      <w:marTop w:val="0"/>
      <w:marBottom w:val="0"/>
      <w:divBdr>
        <w:top w:val="none" w:sz="0" w:space="0" w:color="auto"/>
        <w:left w:val="none" w:sz="0" w:space="0" w:color="auto"/>
        <w:bottom w:val="none" w:sz="0" w:space="0" w:color="auto"/>
        <w:right w:val="none" w:sz="0" w:space="0" w:color="auto"/>
      </w:divBdr>
    </w:div>
    <w:div w:id="1123767620">
      <w:bodyDiv w:val="1"/>
      <w:marLeft w:val="0"/>
      <w:marRight w:val="0"/>
      <w:marTop w:val="0"/>
      <w:marBottom w:val="0"/>
      <w:divBdr>
        <w:top w:val="none" w:sz="0" w:space="0" w:color="auto"/>
        <w:left w:val="none" w:sz="0" w:space="0" w:color="auto"/>
        <w:bottom w:val="none" w:sz="0" w:space="0" w:color="auto"/>
        <w:right w:val="none" w:sz="0" w:space="0" w:color="auto"/>
      </w:divBdr>
    </w:div>
    <w:div w:id="1169324151">
      <w:bodyDiv w:val="1"/>
      <w:marLeft w:val="0"/>
      <w:marRight w:val="0"/>
      <w:marTop w:val="0"/>
      <w:marBottom w:val="0"/>
      <w:divBdr>
        <w:top w:val="none" w:sz="0" w:space="0" w:color="auto"/>
        <w:left w:val="none" w:sz="0" w:space="0" w:color="auto"/>
        <w:bottom w:val="none" w:sz="0" w:space="0" w:color="auto"/>
        <w:right w:val="none" w:sz="0" w:space="0" w:color="auto"/>
      </w:divBdr>
    </w:div>
    <w:div w:id="1179925462">
      <w:bodyDiv w:val="1"/>
      <w:marLeft w:val="0"/>
      <w:marRight w:val="0"/>
      <w:marTop w:val="0"/>
      <w:marBottom w:val="0"/>
      <w:divBdr>
        <w:top w:val="none" w:sz="0" w:space="0" w:color="auto"/>
        <w:left w:val="none" w:sz="0" w:space="0" w:color="auto"/>
        <w:bottom w:val="none" w:sz="0" w:space="0" w:color="auto"/>
        <w:right w:val="none" w:sz="0" w:space="0" w:color="auto"/>
      </w:divBdr>
    </w:div>
    <w:div w:id="1194466450">
      <w:bodyDiv w:val="1"/>
      <w:marLeft w:val="0"/>
      <w:marRight w:val="0"/>
      <w:marTop w:val="0"/>
      <w:marBottom w:val="0"/>
      <w:divBdr>
        <w:top w:val="none" w:sz="0" w:space="0" w:color="auto"/>
        <w:left w:val="none" w:sz="0" w:space="0" w:color="auto"/>
        <w:bottom w:val="none" w:sz="0" w:space="0" w:color="auto"/>
        <w:right w:val="none" w:sz="0" w:space="0" w:color="auto"/>
      </w:divBdr>
    </w:div>
    <w:div w:id="1246721698">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352292837">
              <w:marLeft w:val="0"/>
              <w:marRight w:val="0"/>
              <w:marTop w:val="150"/>
              <w:marBottom w:val="0"/>
              <w:divBdr>
                <w:top w:val="none" w:sz="0" w:space="0" w:color="auto"/>
                <w:left w:val="none" w:sz="0" w:space="0" w:color="auto"/>
                <w:bottom w:val="none" w:sz="0" w:space="0" w:color="auto"/>
                <w:right w:val="none" w:sz="0" w:space="0" w:color="auto"/>
              </w:divBdr>
              <w:divsChild>
                <w:div w:id="1030107645">
                  <w:marLeft w:val="-225"/>
                  <w:marRight w:val="-225"/>
                  <w:marTop w:val="0"/>
                  <w:marBottom w:val="0"/>
                  <w:divBdr>
                    <w:top w:val="none" w:sz="0" w:space="0" w:color="auto"/>
                    <w:left w:val="none" w:sz="0" w:space="0" w:color="auto"/>
                    <w:bottom w:val="none" w:sz="0" w:space="0" w:color="auto"/>
                    <w:right w:val="none" w:sz="0" w:space="0" w:color="auto"/>
                  </w:divBdr>
                  <w:divsChild>
                    <w:div w:id="957299281">
                      <w:marLeft w:val="0"/>
                      <w:marRight w:val="0"/>
                      <w:marTop w:val="0"/>
                      <w:marBottom w:val="0"/>
                      <w:divBdr>
                        <w:top w:val="none" w:sz="0" w:space="0" w:color="auto"/>
                        <w:left w:val="none" w:sz="0" w:space="0" w:color="auto"/>
                        <w:bottom w:val="none" w:sz="0" w:space="0" w:color="auto"/>
                        <w:right w:val="none" w:sz="0" w:space="0" w:color="auto"/>
                      </w:divBdr>
                      <w:divsChild>
                        <w:div w:id="2077897880">
                          <w:marLeft w:val="-225"/>
                          <w:marRight w:val="-225"/>
                          <w:marTop w:val="0"/>
                          <w:marBottom w:val="0"/>
                          <w:divBdr>
                            <w:top w:val="none" w:sz="0" w:space="0" w:color="auto"/>
                            <w:left w:val="none" w:sz="0" w:space="0" w:color="auto"/>
                            <w:bottom w:val="none" w:sz="0" w:space="0" w:color="auto"/>
                            <w:right w:val="none" w:sz="0" w:space="0" w:color="auto"/>
                          </w:divBdr>
                          <w:divsChild>
                            <w:div w:id="1741172806">
                              <w:marLeft w:val="0"/>
                              <w:marRight w:val="0"/>
                              <w:marTop w:val="0"/>
                              <w:marBottom w:val="0"/>
                              <w:divBdr>
                                <w:top w:val="none" w:sz="0" w:space="0" w:color="auto"/>
                                <w:left w:val="none" w:sz="0" w:space="0" w:color="auto"/>
                                <w:bottom w:val="none" w:sz="0" w:space="0" w:color="auto"/>
                                <w:right w:val="none" w:sz="0" w:space="0" w:color="auto"/>
                              </w:divBdr>
                              <w:divsChild>
                                <w:div w:id="1806578611">
                                  <w:marLeft w:val="0"/>
                                  <w:marRight w:val="0"/>
                                  <w:marTop w:val="0"/>
                                  <w:marBottom w:val="0"/>
                                  <w:divBdr>
                                    <w:top w:val="none" w:sz="0" w:space="0" w:color="auto"/>
                                    <w:left w:val="none" w:sz="0" w:space="0" w:color="auto"/>
                                    <w:bottom w:val="none" w:sz="0" w:space="0" w:color="auto"/>
                                    <w:right w:val="none" w:sz="0" w:space="0" w:color="auto"/>
                                  </w:divBdr>
                                  <w:divsChild>
                                    <w:div w:id="969212874">
                                      <w:marLeft w:val="0"/>
                                      <w:marRight w:val="0"/>
                                      <w:marTop w:val="0"/>
                                      <w:marBottom w:val="0"/>
                                      <w:divBdr>
                                        <w:top w:val="none" w:sz="0" w:space="0" w:color="auto"/>
                                        <w:left w:val="none" w:sz="0" w:space="0" w:color="auto"/>
                                        <w:bottom w:val="none" w:sz="0" w:space="0" w:color="auto"/>
                                        <w:right w:val="none" w:sz="0" w:space="0" w:color="auto"/>
                                      </w:divBdr>
                                      <w:divsChild>
                                        <w:div w:id="198323545">
                                          <w:marLeft w:val="0"/>
                                          <w:marRight w:val="0"/>
                                          <w:marTop w:val="0"/>
                                          <w:marBottom w:val="0"/>
                                          <w:divBdr>
                                            <w:top w:val="none" w:sz="0" w:space="0" w:color="auto"/>
                                            <w:left w:val="none" w:sz="0" w:space="0" w:color="auto"/>
                                            <w:bottom w:val="none" w:sz="0" w:space="0" w:color="auto"/>
                                            <w:right w:val="none" w:sz="0" w:space="0" w:color="auto"/>
                                          </w:divBdr>
                                          <w:divsChild>
                                            <w:div w:id="1549101003">
                                              <w:marLeft w:val="0"/>
                                              <w:marRight w:val="0"/>
                                              <w:marTop w:val="0"/>
                                              <w:marBottom w:val="0"/>
                                              <w:divBdr>
                                                <w:top w:val="none" w:sz="0" w:space="0" w:color="auto"/>
                                                <w:left w:val="none" w:sz="0" w:space="0" w:color="auto"/>
                                                <w:bottom w:val="none" w:sz="0" w:space="0" w:color="auto"/>
                                                <w:right w:val="none" w:sz="0" w:space="0" w:color="auto"/>
                                              </w:divBdr>
                                              <w:divsChild>
                                                <w:div w:id="2043240113">
                                                  <w:marLeft w:val="0"/>
                                                  <w:marRight w:val="0"/>
                                                  <w:marTop w:val="0"/>
                                                  <w:marBottom w:val="0"/>
                                                  <w:divBdr>
                                                    <w:top w:val="none" w:sz="0" w:space="0" w:color="auto"/>
                                                    <w:left w:val="none" w:sz="0" w:space="0" w:color="auto"/>
                                                    <w:bottom w:val="none" w:sz="0" w:space="0" w:color="auto"/>
                                                    <w:right w:val="none" w:sz="0" w:space="0" w:color="auto"/>
                                                  </w:divBdr>
                                                  <w:divsChild>
                                                    <w:div w:id="1479611453">
                                                      <w:marLeft w:val="0"/>
                                                      <w:marRight w:val="0"/>
                                                      <w:marTop w:val="0"/>
                                                      <w:marBottom w:val="0"/>
                                                      <w:divBdr>
                                                        <w:top w:val="none" w:sz="0" w:space="0" w:color="auto"/>
                                                        <w:left w:val="none" w:sz="0" w:space="0" w:color="auto"/>
                                                        <w:bottom w:val="none" w:sz="0" w:space="0" w:color="auto"/>
                                                        <w:right w:val="none" w:sz="0" w:space="0" w:color="auto"/>
                                                      </w:divBdr>
                                                      <w:divsChild>
                                                        <w:div w:id="1336226378">
                                                          <w:marLeft w:val="0"/>
                                                          <w:marRight w:val="0"/>
                                                          <w:marTop w:val="0"/>
                                                          <w:marBottom w:val="0"/>
                                                          <w:divBdr>
                                                            <w:top w:val="none" w:sz="0" w:space="0" w:color="auto"/>
                                                            <w:left w:val="none" w:sz="0" w:space="0" w:color="auto"/>
                                                            <w:bottom w:val="none" w:sz="0" w:space="0" w:color="auto"/>
                                                            <w:right w:val="none" w:sz="0" w:space="0" w:color="auto"/>
                                                          </w:divBdr>
                                                          <w:divsChild>
                                                            <w:div w:id="251857689">
                                                              <w:marLeft w:val="0"/>
                                                              <w:marRight w:val="0"/>
                                                              <w:marTop w:val="0"/>
                                                              <w:marBottom w:val="0"/>
                                                              <w:divBdr>
                                                                <w:top w:val="none" w:sz="0" w:space="0" w:color="auto"/>
                                                                <w:left w:val="none" w:sz="0" w:space="0" w:color="auto"/>
                                                                <w:bottom w:val="none" w:sz="0" w:space="0" w:color="auto"/>
                                                                <w:right w:val="none" w:sz="0" w:space="0" w:color="auto"/>
                                                              </w:divBdr>
                                                              <w:divsChild>
                                                                <w:div w:id="1059982741">
                                                                  <w:marLeft w:val="0"/>
                                                                  <w:marRight w:val="0"/>
                                                                  <w:marTop w:val="0"/>
                                                                  <w:marBottom w:val="0"/>
                                                                  <w:divBdr>
                                                                    <w:top w:val="none" w:sz="0" w:space="0" w:color="auto"/>
                                                                    <w:left w:val="none" w:sz="0" w:space="0" w:color="auto"/>
                                                                    <w:bottom w:val="none" w:sz="0" w:space="0" w:color="auto"/>
                                                                    <w:right w:val="none" w:sz="0" w:space="0" w:color="auto"/>
                                                                  </w:divBdr>
                                                                  <w:divsChild>
                                                                    <w:div w:id="1109661726">
                                                                      <w:marLeft w:val="0"/>
                                                                      <w:marRight w:val="0"/>
                                                                      <w:marTop w:val="0"/>
                                                                      <w:marBottom w:val="0"/>
                                                                      <w:divBdr>
                                                                        <w:top w:val="none" w:sz="0" w:space="0" w:color="auto"/>
                                                                        <w:left w:val="none" w:sz="0" w:space="0" w:color="auto"/>
                                                                        <w:bottom w:val="none" w:sz="0" w:space="0" w:color="auto"/>
                                                                        <w:right w:val="none" w:sz="0" w:space="0" w:color="auto"/>
                                                                      </w:divBdr>
                                                                      <w:divsChild>
                                                                        <w:div w:id="2103842422">
                                                                          <w:marLeft w:val="0"/>
                                                                          <w:marRight w:val="0"/>
                                                                          <w:marTop w:val="0"/>
                                                                          <w:marBottom w:val="0"/>
                                                                          <w:divBdr>
                                                                            <w:top w:val="none" w:sz="0" w:space="0" w:color="auto"/>
                                                                            <w:left w:val="none" w:sz="0" w:space="0" w:color="auto"/>
                                                                            <w:bottom w:val="none" w:sz="0" w:space="0" w:color="auto"/>
                                                                            <w:right w:val="none" w:sz="0" w:space="0" w:color="auto"/>
                                                                          </w:divBdr>
                                                                          <w:divsChild>
                                                                            <w:div w:id="932981903">
                                                                              <w:marLeft w:val="0"/>
                                                                              <w:marRight w:val="0"/>
                                                                              <w:marTop w:val="0"/>
                                                                              <w:marBottom w:val="0"/>
                                                                              <w:divBdr>
                                                                                <w:top w:val="none" w:sz="0" w:space="0" w:color="auto"/>
                                                                                <w:left w:val="none" w:sz="0" w:space="0" w:color="auto"/>
                                                                                <w:bottom w:val="none" w:sz="0" w:space="0" w:color="auto"/>
                                                                                <w:right w:val="none" w:sz="0" w:space="0" w:color="auto"/>
                                                                              </w:divBdr>
                                                                              <w:divsChild>
                                                                                <w:div w:id="782917193">
                                                                                  <w:marLeft w:val="0"/>
                                                                                  <w:marRight w:val="0"/>
                                                                                  <w:marTop w:val="0"/>
                                                                                  <w:marBottom w:val="0"/>
                                                                                  <w:divBdr>
                                                                                    <w:top w:val="none" w:sz="0" w:space="0" w:color="auto"/>
                                                                                    <w:left w:val="none" w:sz="0" w:space="0" w:color="auto"/>
                                                                                    <w:bottom w:val="none" w:sz="0" w:space="0" w:color="auto"/>
                                                                                    <w:right w:val="none" w:sz="0" w:space="0" w:color="auto"/>
                                                                                  </w:divBdr>
                                                                                  <w:divsChild>
                                                                                    <w:div w:id="1449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232890">
      <w:bodyDiv w:val="1"/>
      <w:marLeft w:val="0"/>
      <w:marRight w:val="0"/>
      <w:marTop w:val="0"/>
      <w:marBottom w:val="0"/>
      <w:divBdr>
        <w:top w:val="none" w:sz="0" w:space="0" w:color="auto"/>
        <w:left w:val="none" w:sz="0" w:space="0" w:color="auto"/>
        <w:bottom w:val="none" w:sz="0" w:space="0" w:color="auto"/>
        <w:right w:val="none" w:sz="0" w:space="0" w:color="auto"/>
      </w:divBdr>
    </w:div>
    <w:div w:id="1259406917">
      <w:bodyDiv w:val="1"/>
      <w:marLeft w:val="0"/>
      <w:marRight w:val="0"/>
      <w:marTop w:val="0"/>
      <w:marBottom w:val="0"/>
      <w:divBdr>
        <w:top w:val="none" w:sz="0" w:space="0" w:color="auto"/>
        <w:left w:val="none" w:sz="0" w:space="0" w:color="auto"/>
        <w:bottom w:val="none" w:sz="0" w:space="0" w:color="auto"/>
        <w:right w:val="none" w:sz="0" w:space="0" w:color="auto"/>
      </w:divBdr>
    </w:div>
    <w:div w:id="1259483845">
      <w:bodyDiv w:val="1"/>
      <w:marLeft w:val="0"/>
      <w:marRight w:val="0"/>
      <w:marTop w:val="0"/>
      <w:marBottom w:val="0"/>
      <w:divBdr>
        <w:top w:val="none" w:sz="0" w:space="0" w:color="auto"/>
        <w:left w:val="none" w:sz="0" w:space="0" w:color="auto"/>
        <w:bottom w:val="none" w:sz="0" w:space="0" w:color="auto"/>
        <w:right w:val="none" w:sz="0" w:space="0" w:color="auto"/>
      </w:divBdr>
    </w:div>
    <w:div w:id="1261452746">
      <w:bodyDiv w:val="1"/>
      <w:marLeft w:val="0"/>
      <w:marRight w:val="0"/>
      <w:marTop w:val="0"/>
      <w:marBottom w:val="0"/>
      <w:divBdr>
        <w:top w:val="none" w:sz="0" w:space="0" w:color="auto"/>
        <w:left w:val="none" w:sz="0" w:space="0" w:color="auto"/>
        <w:bottom w:val="none" w:sz="0" w:space="0" w:color="auto"/>
        <w:right w:val="none" w:sz="0" w:space="0" w:color="auto"/>
      </w:divBdr>
    </w:div>
    <w:div w:id="1269240913">
      <w:bodyDiv w:val="1"/>
      <w:marLeft w:val="0"/>
      <w:marRight w:val="0"/>
      <w:marTop w:val="0"/>
      <w:marBottom w:val="0"/>
      <w:divBdr>
        <w:top w:val="none" w:sz="0" w:space="0" w:color="auto"/>
        <w:left w:val="none" w:sz="0" w:space="0" w:color="auto"/>
        <w:bottom w:val="none" w:sz="0" w:space="0" w:color="auto"/>
        <w:right w:val="none" w:sz="0" w:space="0" w:color="auto"/>
      </w:divBdr>
    </w:div>
    <w:div w:id="1271742466">
      <w:bodyDiv w:val="1"/>
      <w:marLeft w:val="0"/>
      <w:marRight w:val="0"/>
      <w:marTop w:val="0"/>
      <w:marBottom w:val="0"/>
      <w:divBdr>
        <w:top w:val="none" w:sz="0" w:space="0" w:color="auto"/>
        <w:left w:val="none" w:sz="0" w:space="0" w:color="auto"/>
        <w:bottom w:val="none" w:sz="0" w:space="0" w:color="auto"/>
        <w:right w:val="none" w:sz="0" w:space="0" w:color="auto"/>
      </w:divBdr>
    </w:div>
    <w:div w:id="1287660576">
      <w:bodyDiv w:val="1"/>
      <w:marLeft w:val="0"/>
      <w:marRight w:val="0"/>
      <w:marTop w:val="0"/>
      <w:marBottom w:val="0"/>
      <w:divBdr>
        <w:top w:val="none" w:sz="0" w:space="0" w:color="auto"/>
        <w:left w:val="none" w:sz="0" w:space="0" w:color="auto"/>
        <w:bottom w:val="none" w:sz="0" w:space="0" w:color="auto"/>
        <w:right w:val="none" w:sz="0" w:space="0" w:color="auto"/>
      </w:divBdr>
    </w:div>
    <w:div w:id="1288664444">
      <w:bodyDiv w:val="1"/>
      <w:marLeft w:val="0"/>
      <w:marRight w:val="0"/>
      <w:marTop w:val="0"/>
      <w:marBottom w:val="0"/>
      <w:divBdr>
        <w:top w:val="none" w:sz="0" w:space="0" w:color="auto"/>
        <w:left w:val="none" w:sz="0" w:space="0" w:color="auto"/>
        <w:bottom w:val="none" w:sz="0" w:space="0" w:color="auto"/>
        <w:right w:val="none" w:sz="0" w:space="0" w:color="auto"/>
      </w:divBdr>
    </w:div>
    <w:div w:id="1307510025">
      <w:bodyDiv w:val="1"/>
      <w:marLeft w:val="0"/>
      <w:marRight w:val="0"/>
      <w:marTop w:val="0"/>
      <w:marBottom w:val="0"/>
      <w:divBdr>
        <w:top w:val="none" w:sz="0" w:space="0" w:color="auto"/>
        <w:left w:val="none" w:sz="0" w:space="0" w:color="auto"/>
        <w:bottom w:val="none" w:sz="0" w:space="0" w:color="auto"/>
        <w:right w:val="none" w:sz="0" w:space="0" w:color="auto"/>
      </w:divBdr>
    </w:div>
    <w:div w:id="1316059750">
      <w:bodyDiv w:val="1"/>
      <w:marLeft w:val="0"/>
      <w:marRight w:val="0"/>
      <w:marTop w:val="0"/>
      <w:marBottom w:val="0"/>
      <w:divBdr>
        <w:top w:val="none" w:sz="0" w:space="0" w:color="auto"/>
        <w:left w:val="none" w:sz="0" w:space="0" w:color="auto"/>
        <w:bottom w:val="none" w:sz="0" w:space="0" w:color="auto"/>
        <w:right w:val="none" w:sz="0" w:space="0" w:color="auto"/>
      </w:divBdr>
    </w:div>
    <w:div w:id="1331517735">
      <w:bodyDiv w:val="1"/>
      <w:marLeft w:val="0"/>
      <w:marRight w:val="0"/>
      <w:marTop w:val="0"/>
      <w:marBottom w:val="0"/>
      <w:divBdr>
        <w:top w:val="none" w:sz="0" w:space="0" w:color="auto"/>
        <w:left w:val="none" w:sz="0" w:space="0" w:color="auto"/>
        <w:bottom w:val="none" w:sz="0" w:space="0" w:color="auto"/>
        <w:right w:val="none" w:sz="0" w:space="0" w:color="auto"/>
      </w:divBdr>
    </w:div>
    <w:div w:id="1331760159">
      <w:bodyDiv w:val="1"/>
      <w:marLeft w:val="0"/>
      <w:marRight w:val="0"/>
      <w:marTop w:val="0"/>
      <w:marBottom w:val="0"/>
      <w:divBdr>
        <w:top w:val="none" w:sz="0" w:space="0" w:color="auto"/>
        <w:left w:val="none" w:sz="0" w:space="0" w:color="auto"/>
        <w:bottom w:val="none" w:sz="0" w:space="0" w:color="auto"/>
        <w:right w:val="none" w:sz="0" w:space="0" w:color="auto"/>
      </w:divBdr>
    </w:div>
    <w:div w:id="1339847313">
      <w:bodyDiv w:val="1"/>
      <w:marLeft w:val="0"/>
      <w:marRight w:val="0"/>
      <w:marTop w:val="0"/>
      <w:marBottom w:val="0"/>
      <w:divBdr>
        <w:top w:val="none" w:sz="0" w:space="0" w:color="auto"/>
        <w:left w:val="none" w:sz="0" w:space="0" w:color="auto"/>
        <w:bottom w:val="none" w:sz="0" w:space="0" w:color="auto"/>
        <w:right w:val="none" w:sz="0" w:space="0" w:color="auto"/>
      </w:divBdr>
    </w:div>
    <w:div w:id="1353385050">
      <w:bodyDiv w:val="1"/>
      <w:marLeft w:val="0"/>
      <w:marRight w:val="0"/>
      <w:marTop w:val="0"/>
      <w:marBottom w:val="0"/>
      <w:divBdr>
        <w:top w:val="none" w:sz="0" w:space="0" w:color="auto"/>
        <w:left w:val="none" w:sz="0" w:space="0" w:color="auto"/>
        <w:bottom w:val="none" w:sz="0" w:space="0" w:color="auto"/>
        <w:right w:val="none" w:sz="0" w:space="0" w:color="auto"/>
      </w:divBdr>
    </w:div>
    <w:div w:id="1357466432">
      <w:bodyDiv w:val="1"/>
      <w:marLeft w:val="0"/>
      <w:marRight w:val="0"/>
      <w:marTop w:val="0"/>
      <w:marBottom w:val="0"/>
      <w:divBdr>
        <w:top w:val="none" w:sz="0" w:space="0" w:color="auto"/>
        <w:left w:val="none" w:sz="0" w:space="0" w:color="auto"/>
        <w:bottom w:val="none" w:sz="0" w:space="0" w:color="auto"/>
        <w:right w:val="none" w:sz="0" w:space="0" w:color="auto"/>
      </w:divBdr>
    </w:div>
    <w:div w:id="1357845743">
      <w:bodyDiv w:val="1"/>
      <w:marLeft w:val="0"/>
      <w:marRight w:val="0"/>
      <w:marTop w:val="0"/>
      <w:marBottom w:val="0"/>
      <w:divBdr>
        <w:top w:val="none" w:sz="0" w:space="0" w:color="auto"/>
        <w:left w:val="none" w:sz="0" w:space="0" w:color="auto"/>
        <w:bottom w:val="none" w:sz="0" w:space="0" w:color="auto"/>
        <w:right w:val="none" w:sz="0" w:space="0" w:color="auto"/>
      </w:divBdr>
    </w:div>
    <w:div w:id="1367607827">
      <w:bodyDiv w:val="1"/>
      <w:marLeft w:val="0"/>
      <w:marRight w:val="0"/>
      <w:marTop w:val="0"/>
      <w:marBottom w:val="0"/>
      <w:divBdr>
        <w:top w:val="none" w:sz="0" w:space="0" w:color="auto"/>
        <w:left w:val="none" w:sz="0" w:space="0" w:color="auto"/>
        <w:bottom w:val="none" w:sz="0" w:space="0" w:color="auto"/>
        <w:right w:val="none" w:sz="0" w:space="0" w:color="auto"/>
      </w:divBdr>
    </w:div>
    <w:div w:id="1368288418">
      <w:bodyDiv w:val="1"/>
      <w:marLeft w:val="0"/>
      <w:marRight w:val="0"/>
      <w:marTop w:val="0"/>
      <w:marBottom w:val="0"/>
      <w:divBdr>
        <w:top w:val="none" w:sz="0" w:space="0" w:color="auto"/>
        <w:left w:val="none" w:sz="0" w:space="0" w:color="auto"/>
        <w:bottom w:val="none" w:sz="0" w:space="0" w:color="auto"/>
        <w:right w:val="none" w:sz="0" w:space="0" w:color="auto"/>
      </w:divBdr>
    </w:div>
    <w:div w:id="1376274795">
      <w:bodyDiv w:val="1"/>
      <w:marLeft w:val="0"/>
      <w:marRight w:val="0"/>
      <w:marTop w:val="0"/>
      <w:marBottom w:val="0"/>
      <w:divBdr>
        <w:top w:val="none" w:sz="0" w:space="0" w:color="auto"/>
        <w:left w:val="none" w:sz="0" w:space="0" w:color="auto"/>
        <w:bottom w:val="none" w:sz="0" w:space="0" w:color="auto"/>
        <w:right w:val="none" w:sz="0" w:space="0" w:color="auto"/>
      </w:divBdr>
    </w:div>
    <w:div w:id="1394961087">
      <w:bodyDiv w:val="1"/>
      <w:marLeft w:val="0"/>
      <w:marRight w:val="0"/>
      <w:marTop w:val="0"/>
      <w:marBottom w:val="0"/>
      <w:divBdr>
        <w:top w:val="none" w:sz="0" w:space="0" w:color="auto"/>
        <w:left w:val="none" w:sz="0" w:space="0" w:color="auto"/>
        <w:bottom w:val="none" w:sz="0" w:space="0" w:color="auto"/>
        <w:right w:val="none" w:sz="0" w:space="0" w:color="auto"/>
      </w:divBdr>
    </w:div>
    <w:div w:id="1433624444">
      <w:bodyDiv w:val="1"/>
      <w:marLeft w:val="0"/>
      <w:marRight w:val="0"/>
      <w:marTop w:val="0"/>
      <w:marBottom w:val="0"/>
      <w:divBdr>
        <w:top w:val="none" w:sz="0" w:space="0" w:color="auto"/>
        <w:left w:val="none" w:sz="0" w:space="0" w:color="auto"/>
        <w:bottom w:val="none" w:sz="0" w:space="0" w:color="auto"/>
        <w:right w:val="none" w:sz="0" w:space="0" w:color="auto"/>
      </w:divBdr>
    </w:div>
    <w:div w:id="1454054350">
      <w:bodyDiv w:val="1"/>
      <w:marLeft w:val="0"/>
      <w:marRight w:val="0"/>
      <w:marTop w:val="0"/>
      <w:marBottom w:val="0"/>
      <w:divBdr>
        <w:top w:val="none" w:sz="0" w:space="0" w:color="auto"/>
        <w:left w:val="none" w:sz="0" w:space="0" w:color="auto"/>
        <w:bottom w:val="none" w:sz="0" w:space="0" w:color="auto"/>
        <w:right w:val="none" w:sz="0" w:space="0" w:color="auto"/>
      </w:divBdr>
    </w:div>
    <w:div w:id="1461387732">
      <w:bodyDiv w:val="1"/>
      <w:marLeft w:val="0"/>
      <w:marRight w:val="0"/>
      <w:marTop w:val="0"/>
      <w:marBottom w:val="0"/>
      <w:divBdr>
        <w:top w:val="none" w:sz="0" w:space="0" w:color="auto"/>
        <w:left w:val="none" w:sz="0" w:space="0" w:color="auto"/>
        <w:bottom w:val="none" w:sz="0" w:space="0" w:color="auto"/>
        <w:right w:val="none" w:sz="0" w:space="0" w:color="auto"/>
      </w:divBdr>
      <w:divsChild>
        <w:div w:id="2016683633">
          <w:marLeft w:val="547"/>
          <w:marRight w:val="0"/>
          <w:marTop w:val="106"/>
          <w:marBottom w:val="0"/>
          <w:divBdr>
            <w:top w:val="none" w:sz="0" w:space="0" w:color="auto"/>
            <w:left w:val="none" w:sz="0" w:space="0" w:color="auto"/>
            <w:bottom w:val="none" w:sz="0" w:space="0" w:color="auto"/>
            <w:right w:val="none" w:sz="0" w:space="0" w:color="auto"/>
          </w:divBdr>
        </w:div>
        <w:div w:id="535851522">
          <w:marLeft w:val="547"/>
          <w:marRight w:val="0"/>
          <w:marTop w:val="106"/>
          <w:marBottom w:val="0"/>
          <w:divBdr>
            <w:top w:val="none" w:sz="0" w:space="0" w:color="auto"/>
            <w:left w:val="none" w:sz="0" w:space="0" w:color="auto"/>
            <w:bottom w:val="none" w:sz="0" w:space="0" w:color="auto"/>
            <w:right w:val="none" w:sz="0" w:space="0" w:color="auto"/>
          </w:divBdr>
        </w:div>
      </w:divsChild>
    </w:div>
    <w:div w:id="1469588636">
      <w:bodyDiv w:val="1"/>
      <w:marLeft w:val="0"/>
      <w:marRight w:val="0"/>
      <w:marTop w:val="0"/>
      <w:marBottom w:val="0"/>
      <w:divBdr>
        <w:top w:val="none" w:sz="0" w:space="0" w:color="auto"/>
        <w:left w:val="none" w:sz="0" w:space="0" w:color="auto"/>
        <w:bottom w:val="none" w:sz="0" w:space="0" w:color="auto"/>
        <w:right w:val="none" w:sz="0" w:space="0" w:color="auto"/>
      </w:divBdr>
    </w:div>
    <w:div w:id="1498351389">
      <w:bodyDiv w:val="1"/>
      <w:marLeft w:val="0"/>
      <w:marRight w:val="0"/>
      <w:marTop w:val="0"/>
      <w:marBottom w:val="0"/>
      <w:divBdr>
        <w:top w:val="none" w:sz="0" w:space="0" w:color="auto"/>
        <w:left w:val="none" w:sz="0" w:space="0" w:color="auto"/>
        <w:bottom w:val="none" w:sz="0" w:space="0" w:color="auto"/>
        <w:right w:val="none" w:sz="0" w:space="0" w:color="auto"/>
      </w:divBdr>
    </w:div>
    <w:div w:id="1512136359">
      <w:bodyDiv w:val="1"/>
      <w:marLeft w:val="0"/>
      <w:marRight w:val="0"/>
      <w:marTop w:val="0"/>
      <w:marBottom w:val="0"/>
      <w:divBdr>
        <w:top w:val="none" w:sz="0" w:space="0" w:color="auto"/>
        <w:left w:val="none" w:sz="0" w:space="0" w:color="auto"/>
        <w:bottom w:val="none" w:sz="0" w:space="0" w:color="auto"/>
        <w:right w:val="none" w:sz="0" w:space="0" w:color="auto"/>
      </w:divBdr>
    </w:div>
    <w:div w:id="1520267814">
      <w:bodyDiv w:val="1"/>
      <w:marLeft w:val="0"/>
      <w:marRight w:val="0"/>
      <w:marTop w:val="0"/>
      <w:marBottom w:val="0"/>
      <w:divBdr>
        <w:top w:val="none" w:sz="0" w:space="0" w:color="auto"/>
        <w:left w:val="none" w:sz="0" w:space="0" w:color="auto"/>
        <w:bottom w:val="none" w:sz="0" w:space="0" w:color="auto"/>
        <w:right w:val="none" w:sz="0" w:space="0" w:color="auto"/>
      </w:divBdr>
    </w:div>
    <w:div w:id="1524248579">
      <w:bodyDiv w:val="1"/>
      <w:marLeft w:val="0"/>
      <w:marRight w:val="0"/>
      <w:marTop w:val="0"/>
      <w:marBottom w:val="0"/>
      <w:divBdr>
        <w:top w:val="none" w:sz="0" w:space="0" w:color="auto"/>
        <w:left w:val="none" w:sz="0" w:space="0" w:color="auto"/>
        <w:bottom w:val="none" w:sz="0" w:space="0" w:color="auto"/>
        <w:right w:val="none" w:sz="0" w:space="0" w:color="auto"/>
      </w:divBdr>
      <w:divsChild>
        <w:div w:id="1860852001">
          <w:marLeft w:val="547"/>
          <w:marRight w:val="0"/>
          <w:marTop w:val="106"/>
          <w:marBottom w:val="0"/>
          <w:divBdr>
            <w:top w:val="none" w:sz="0" w:space="0" w:color="auto"/>
            <w:left w:val="none" w:sz="0" w:space="0" w:color="auto"/>
            <w:bottom w:val="none" w:sz="0" w:space="0" w:color="auto"/>
            <w:right w:val="none" w:sz="0" w:space="0" w:color="auto"/>
          </w:divBdr>
        </w:div>
        <w:div w:id="1412854427">
          <w:marLeft w:val="547"/>
          <w:marRight w:val="0"/>
          <w:marTop w:val="106"/>
          <w:marBottom w:val="0"/>
          <w:divBdr>
            <w:top w:val="none" w:sz="0" w:space="0" w:color="auto"/>
            <w:left w:val="none" w:sz="0" w:space="0" w:color="auto"/>
            <w:bottom w:val="none" w:sz="0" w:space="0" w:color="auto"/>
            <w:right w:val="none" w:sz="0" w:space="0" w:color="auto"/>
          </w:divBdr>
        </w:div>
      </w:divsChild>
    </w:div>
    <w:div w:id="1530530401">
      <w:bodyDiv w:val="1"/>
      <w:marLeft w:val="0"/>
      <w:marRight w:val="0"/>
      <w:marTop w:val="0"/>
      <w:marBottom w:val="0"/>
      <w:divBdr>
        <w:top w:val="none" w:sz="0" w:space="0" w:color="auto"/>
        <w:left w:val="none" w:sz="0" w:space="0" w:color="auto"/>
        <w:bottom w:val="none" w:sz="0" w:space="0" w:color="auto"/>
        <w:right w:val="none" w:sz="0" w:space="0" w:color="auto"/>
      </w:divBdr>
    </w:div>
    <w:div w:id="1535926676">
      <w:bodyDiv w:val="1"/>
      <w:marLeft w:val="0"/>
      <w:marRight w:val="0"/>
      <w:marTop w:val="0"/>
      <w:marBottom w:val="0"/>
      <w:divBdr>
        <w:top w:val="none" w:sz="0" w:space="0" w:color="auto"/>
        <w:left w:val="none" w:sz="0" w:space="0" w:color="auto"/>
        <w:bottom w:val="none" w:sz="0" w:space="0" w:color="auto"/>
        <w:right w:val="none" w:sz="0" w:space="0" w:color="auto"/>
      </w:divBdr>
    </w:div>
    <w:div w:id="1548178286">
      <w:bodyDiv w:val="1"/>
      <w:marLeft w:val="0"/>
      <w:marRight w:val="0"/>
      <w:marTop w:val="0"/>
      <w:marBottom w:val="0"/>
      <w:divBdr>
        <w:top w:val="none" w:sz="0" w:space="0" w:color="auto"/>
        <w:left w:val="none" w:sz="0" w:space="0" w:color="auto"/>
        <w:bottom w:val="none" w:sz="0" w:space="0" w:color="auto"/>
        <w:right w:val="none" w:sz="0" w:space="0" w:color="auto"/>
      </w:divBdr>
      <w:divsChild>
        <w:div w:id="626858195">
          <w:marLeft w:val="0"/>
          <w:marRight w:val="0"/>
          <w:marTop w:val="0"/>
          <w:marBottom w:val="0"/>
          <w:divBdr>
            <w:top w:val="none" w:sz="0" w:space="0" w:color="auto"/>
            <w:left w:val="none" w:sz="0" w:space="0" w:color="auto"/>
            <w:bottom w:val="none" w:sz="0" w:space="0" w:color="auto"/>
            <w:right w:val="none" w:sz="0" w:space="0" w:color="auto"/>
          </w:divBdr>
        </w:div>
        <w:div w:id="114519907">
          <w:marLeft w:val="0"/>
          <w:marRight w:val="0"/>
          <w:marTop w:val="0"/>
          <w:marBottom w:val="0"/>
          <w:divBdr>
            <w:top w:val="none" w:sz="0" w:space="0" w:color="auto"/>
            <w:left w:val="none" w:sz="0" w:space="0" w:color="auto"/>
            <w:bottom w:val="none" w:sz="0" w:space="0" w:color="auto"/>
            <w:right w:val="none" w:sz="0" w:space="0" w:color="auto"/>
          </w:divBdr>
        </w:div>
        <w:div w:id="1102459356">
          <w:marLeft w:val="0"/>
          <w:marRight w:val="0"/>
          <w:marTop w:val="0"/>
          <w:marBottom w:val="0"/>
          <w:divBdr>
            <w:top w:val="none" w:sz="0" w:space="0" w:color="auto"/>
            <w:left w:val="none" w:sz="0" w:space="0" w:color="auto"/>
            <w:bottom w:val="none" w:sz="0" w:space="0" w:color="auto"/>
            <w:right w:val="none" w:sz="0" w:space="0" w:color="auto"/>
          </w:divBdr>
        </w:div>
      </w:divsChild>
    </w:div>
    <w:div w:id="1557399060">
      <w:bodyDiv w:val="1"/>
      <w:marLeft w:val="0"/>
      <w:marRight w:val="0"/>
      <w:marTop w:val="0"/>
      <w:marBottom w:val="0"/>
      <w:divBdr>
        <w:top w:val="none" w:sz="0" w:space="0" w:color="auto"/>
        <w:left w:val="none" w:sz="0" w:space="0" w:color="auto"/>
        <w:bottom w:val="none" w:sz="0" w:space="0" w:color="auto"/>
        <w:right w:val="none" w:sz="0" w:space="0" w:color="auto"/>
      </w:divBdr>
    </w:div>
    <w:div w:id="1560285420">
      <w:bodyDiv w:val="1"/>
      <w:marLeft w:val="0"/>
      <w:marRight w:val="0"/>
      <w:marTop w:val="0"/>
      <w:marBottom w:val="0"/>
      <w:divBdr>
        <w:top w:val="none" w:sz="0" w:space="0" w:color="auto"/>
        <w:left w:val="none" w:sz="0" w:space="0" w:color="auto"/>
        <w:bottom w:val="none" w:sz="0" w:space="0" w:color="auto"/>
        <w:right w:val="none" w:sz="0" w:space="0" w:color="auto"/>
      </w:divBdr>
    </w:div>
    <w:div w:id="1575820163">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590918609">
      <w:bodyDiv w:val="1"/>
      <w:marLeft w:val="0"/>
      <w:marRight w:val="0"/>
      <w:marTop w:val="0"/>
      <w:marBottom w:val="0"/>
      <w:divBdr>
        <w:top w:val="none" w:sz="0" w:space="0" w:color="auto"/>
        <w:left w:val="none" w:sz="0" w:space="0" w:color="auto"/>
        <w:bottom w:val="none" w:sz="0" w:space="0" w:color="auto"/>
        <w:right w:val="none" w:sz="0" w:space="0" w:color="auto"/>
      </w:divBdr>
    </w:div>
    <w:div w:id="1591622068">
      <w:bodyDiv w:val="1"/>
      <w:marLeft w:val="0"/>
      <w:marRight w:val="0"/>
      <w:marTop w:val="0"/>
      <w:marBottom w:val="0"/>
      <w:divBdr>
        <w:top w:val="none" w:sz="0" w:space="0" w:color="auto"/>
        <w:left w:val="none" w:sz="0" w:space="0" w:color="auto"/>
        <w:bottom w:val="none" w:sz="0" w:space="0" w:color="auto"/>
        <w:right w:val="none" w:sz="0" w:space="0" w:color="auto"/>
      </w:divBdr>
    </w:div>
    <w:div w:id="1612711689">
      <w:bodyDiv w:val="1"/>
      <w:marLeft w:val="0"/>
      <w:marRight w:val="0"/>
      <w:marTop w:val="0"/>
      <w:marBottom w:val="0"/>
      <w:divBdr>
        <w:top w:val="none" w:sz="0" w:space="0" w:color="auto"/>
        <w:left w:val="none" w:sz="0" w:space="0" w:color="auto"/>
        <w:bottom w:val="none" w:sz="0" w:space="0" w:color="auto"/>
        <w:right w:val="none" w:sz="0" w:space="0" w:color="auto"/>
      </w:divBdr>
    </w:div>
    <w:div w:id="1642535064">
      <w:bodyDiv w:val="1"/>
      <w:marLeft w:val="0"/>
      <w:marRight w:val="0"/>
      <w:marTop w:val="0"/>
      <w:marBottom w:val="0"/>
      <w:divBdr>
        <w:top w:val="none" w:sz="0" w:space="0" w:color="auto"/>
        <w:left w:val="none" w:sz="0" w:space="0" w:color="auto"/>
        <w:bottom w:val="none" w:sz="0" w:space="0" w:color="auto"/>
        <w:right w:val="none" w:sz="0" w:space="0" w:color="auto"/>
      </w:divBdr>
    </w:div>
    <w:div w:id="1655601921">
      <w:bodyDiv w:val="1"/>
      <w:marLeft w:val="0"/>
      <w:marRight w:val="0"/>
      <w:marTop w:val="0"/>
      <w:marBottom w:val="0"/>
      <w:divBdr>
        <w:top w:val="none" w:sz="0" w:space="0" w:color="auto"/>
        <w:left w:val="none" w:sz="0" w:space="0" w:color="auto"/>
        <w:bottom w:val="none" w:sz="0" w:space="0" w:color="auto"/>
        <w:right w:val="none" w:sz="0" w:space="0" w:color="auto"/>
      </w:divBdr>
    </w:div>
    <w:div w:id="1740206544">
      <w:bodyDiv w:val="1"/>
      <w:marLeft w:val="0"/>
      <w:marRight w:val="0"/>
      <w:marTop w:val="0"/>
      <w:marBottom w:val="0"/>
      <w:divBdr>
        <w:top w:val="none" w:sz="0" w:space="0" w:color="auto"/>
        <w:left w:val="none" w:sz="0" w:space="0" w:color="auto"/>
        <w:bottom w:val="none" w:sz="0" w:space="0" w:color="auto"/>
        <w:right w:val="none" w:sz="0" w:space="0" w:color="auto"/>
      </w:divBdr>
    </w:div>
    <w:div w:id="1753088075">
      <w:bodyDiv w:val="1"/>
      <w:marLeft w:val="0"/>
      <w:marRight w:val="0"/>
      <w:marTop w:val="0"/>
      <w:marBottom w:val="0"/>
      <w:divBdr>
        <w:top w:val="none" w:sz="0" w:space="0" w:color="auto"/>
        <w:left w:val="none" w:sz="0" w:space="0" w:color="auto"/>
        <w:bottom w:val="none" w:sz="0" w:space="0" w:color="auto"/>
        <w:right w:val="none" w:sz="0" w:space="0" w:color="auto"/>
      </w:divBdr>
    </w:div>
    <w:div w:id="1768190773">
      <w:bodyDiv w:val="1"/>
      <w:marLeft w:val="0"/>
      <w:marRight w:val="0"/>
      <w:marTop w:val="0"/>
      <w:marBottom w:val="0"/>
      <w:divBdr>
        <w:top w:val="none" w:sz="0" w:space="0" w:color="auto"/>
        <w:left w:val="none" w:sz="0" w:space="0" w:color="auto"/>
        <w:bottom w:val="none" w:sz="0" w:space="0" w:color="auto"/>
        <w:right w:val="none" w:sz="0" w:space="0" w:color="auto"/>
      </w:divBdr>
    </w:div>
    <w:div w:id="1768427568">
      <w:bodyDiv w:val="1"/>
      <w:marLeft w:val="0"/>
      <w:marRight w:val="0"/>
      <w:marTop w:val="0"/>
      <w:marBottom w:val="0"/>
      <w:divBdr>
        <w:top w:val="none" w:sz="0" w:space="0" w:color="auto"/>
        <w:left w:val="none" w:sz="0" w:space="0" w:color="auto"/>
        <w:bottom w:val="none" w:sz="0" w:space="0" w:color="auto"/>
        <w:right w:val="none" w:sz="0" w:space="0" w:color="auto"/>
      </w:divBdr>
    </w:div>
    <w:div w:id="1770465118">
      <w:bodyDiv w:val="1"/>
      <w:marLeft w:val="0"/>
      <w:marRight w:val="0"/>
      <w:marTop w:val="0"/>
      <w:marBottom w:val="0"/>
      <w:divBdr>
        <w:top w:val="none" w:sz="0" w:space="0" w:color="auto"/>
        <w:left w:val="none" w:sz="0" w:space="0" w:color="auto"/>
        <w:bottom w:val="none" w:sz="0" w:space="0" w:color="auto"/>
        <w:right w:val="none" w:sz="0" w:space="0" w:color="auto"/>
      </w:divBdr>
    </w:div>
    <w:div w:id="180449682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19492551">
      <w:bodyDiv w:val="1"/>
      <w:marLeft w:val="0"/>
      <w:marRight w:val="0"/>
      <w:marTop w:val="0"/>
      <w:marBottom w:val="0"/>
      <w:divBdr>
        <w:top w:val="none" w:sz="0" w:space="0" w:color="auto"/>
        <w:left w:val="none" w:sz="0" w:space="0" w:color="auto"/>
        <w:bottom w:val="none" w:sz="0" w:space="0" w:color="auto"/>
        <w:right w:val="none" w:sz="0" w:space="0" w:color="auto"/>
      </w:divBdr>
    </w:div>
    <w:div w:id="1828278397">
      <w:bodyDiv w:val="1"/>
      <w:marLeft w:val="0"/>
      <w:marRight w:val="0"/>
      <w:marTop w:val="0"/>
      <w:marBottom w:val="0"/>
      <w:divBdr>
        <w:top w:val="none" w:sz="0" w:space="0" w:color="auto"/>
        <w:left w:val="none" w:sz="0" w:space="0" w:color="auto"/>
        <w:bottom w:val="none" w:sz="0" w:space="0" w:color="auto"/>
        <w:right w:val="none" w:sz="0" w:space="0" w:color="auto"/>
      </w:divBdr>
    </w:div>
    <w:div w:id="1865626959">
      <w:bodyDiv w:val="1"/>
      <w:marLeft w:val="0"/>
      <w:marRight w:val="0"/>
      <w:marTop w:val="0"/>
      <w:marBottom w:val="0"/>
      <w:divBdr>
        <w:top w:val="none" w:sz="0" w:space="0" w:color="auto"/>
        <w:left w:val="none" w:sz="0" w:space="0" w:color="auto"/>
        <w:bottom w:val="none" w:sz="0" w:space="0" w:color="auto"/>
        <w:right w:val="none" w:sz="0" w:space="0" w:color="auto"/>
      </w:divBdr>
    </w:div>
    <w:div w:id="1877430017">
      <w:bodyDiv w:val="1"/>
      <w:marLeft w:val="0"/>
      <w:marRight w:val="0"/>
      <w:marTop w:val="0"/>
      <w:marBottom w:val="0"/>
      <w:divBdr>
        <w:top w:val="none" w:sz="0" w:space="0" w:color="auto"/>
        <w:left w:val="none" w:sz="0" w:space="0" w:color="auto"/>
        <w:bottom w:val="none" w:sz="0" w:space="0" w:color="auto"/>
        <w:right w:val="none" w:sz="0" w:space="0" w:color="auto"/>
      </w:divBdr>
    </w:div>
    <w:div w:id="1881165698">
      <w:bodyDiv w:val="1"/>
      <w:marLeft w:val="0"/>
      <w:marRight w:val="0"/>
      <w:marTop w:val="0"/>
      <w:marBottom w:val="0"/>
      <w:divBdr>
        <w:top w:val="none" w:sz="0" w:space="0" w:color="auto"/>
        <w:left w:val="none" w:sz="0" w:space="0" w:color="auto"/>
        <w:bottom w:val="none" w:sz="0" w:space="0" w:color="auto"/>
        <w:right w:val="none" w:sz="0" w:space="0" w:color="auto"/>
      </w:divBdr>
    </w:div>
    <w:div w:id="1894415873">
      <w:bodyDiv w:val="1"/>
      <w:marLeft w:val="0"/>
      <w:marRight w:val="0"/>
      <w:marTop w:val="0"/>
      <w:marBottom w:val="0"/>
      <w:divBdr>
        <w:top w:val="none" w:sz="0" w:space="0" w:color="auto"/>
        <w:left w:val="none" w:sz="0" w:space="0" w:color="auto"/>
        <w:bottom w:val="none" w:sz="0" w:space="0" w:color="auto"/>
        <w:right w:val="none" w:sz="0" w:space="0" w:color="auto"/>
      </w:divBdr>
    </w:div>
    <w:div w:id="1899777906">
      <w:bodyDiv w:val="1"/>
      <w:marLeft w:val="0"/>
      <w:marRight w:val="0"/>
      <w:marTop w:val="0"/>
      <w:marBottom w:val="0"/>
      <w:divBdr>
        <w:top w:val="none" w:sz="0" w:space="0" w:color="auto"/>
        <w:left w:val="none" w:sz="0" w:space="0" w:color="auto"/>
        <w:bottom w:val="none" w:sz="0" w:space="0" w:color="auto"/>
        <w:right w:val="none" w:sz="0" w:space="0" w:color="auto"/>
      </w:divBdr>
    </w:div>
    <w:div w:id="1907832670">
      <w:bodyDiv w:val="1"/>
      <w:marLeft w:val="0"/>
      <w:marRight w:val="0"/>
      <w:marTop w:val="0"/>
      <w:marBottom w:val="0"/>
      <w:divBdr>
        <w:top w:val="none" w:sz="0" w:space="0" w:color="auto"/>
        <w:left w:val="none" w:sz="0" w:space="0" w:color="auto"/>
        <w:bottom w:val="none" w:sz="0" w:space="0" w:color="auto"/>
        <w:right w:val="none" w:sz="0" w:space="0" w:color="auto"/>
      </w:divBdr>
    </w:div>
    <w:div w:id="1935749120">
      <w:bodyDiv w:val="1"/>
      <w:marLeft w:val="0"/>
      <w:marRight w:val="0"/>
      <w:marTop w:val="0"/>
      <w:marBottom w:val="0"/>
      <w:divBdr>
        <w:top w:val="none" w:sz="0" w:space="0" w:color="auto"/>
        <w:left w:val="none" w:sz="0" w:space="0" w:color="auto"/>
        <w:bottom w:val="none" w:sz="0" w:space="0" w:color="auto"/>
        <w:right w:val="none" w:sz="0" w:space="0" w:color="auto"/>
      </w:divBdr>
    </w:div>
    <w:div w:id="1967275778">
      <w:bodyDiv w:val="1"/>
      <w:marLeft w:val="0"/>
      <w:marRight w:val="0"/>
      <w:marTop w:val="0"/>
      <w:marBottom w:val="0"/>
      <w:divBdr>
        <w:top w:val="none" w:sz="0" w:space="0" w:color="auto"/>
        <w:left w:val="none" w:sz="0" w:space="0" w:color="auto"/>
        <w:bottom w:val="none" w:sz="0" w:space="0" w:color="auto"/>
        <w:right w:val="none" w:sz="0" w:space="0" w:color="auto"/>
      </w:divBdr>
    </w:div>
    <w:div w:id="1977711707">
      <w:bodyDiv w:val="1"/>
      <w:marLeft w:val="0"/>
      <w:marRight w:val="0"/>
      <w:marTop w:val="0"/>
      <w:marBottom w:val="0"/>
      <w:divBdr>
        <w:top w:val="none" w:sz="0" w:space="0" w:color="auto"/>
        <w:left w:val="none" w:sz="0" w:space="0" w:color="auto"/>
        <w:bottom w:val="none" w:sz="0" w:space="0" w:color="auto"/>
        <w:right w:val="none" w:sz="0" w:space="0" w:color="auto"/>
      </w:divBdr>
    </w:div>
    <w:div w:id="1984845510">
      <w:bodyDiv w:val="1"/>
      <w:marLeft w:val="0"/>
      <w:marRight w:val="0"/>
      <w:marTop w:val="0"/>
      <w:marBottom w:val="0"/>
      <w:divBdr>
        <w:top w:val="none" w:sz="0" w:space="0" w:color="auto"/>
        <w:left w:val="none" w:sz="0" w:space="0" w:color="auto"/>
        <w:bottom w:val="none" w:sz="0" w:space="0" w:color="auto"/>
        <w:right w:val="none" w:sz="0" w:space="0" w:color="auto"/>
      </w:divBdr>
    </w:div>
    <w:div w:id="1997345448">
      <w:bodyDiv w:val="1"/>
      <w:marLeft w:val="0"/>
      <w:marRight w:val="0"/>
      <w:marTop w:val="0"/>
      <w:marBottom w:val="0"/>
      <w:divBdr>
        <w:top w:val="none" w:sz="0" w:space="0" w:color="auto"/>
        <w:left w:val="none" w:sz="0" w:space="0" w:color="auto"/>
        <w:bottom w:val="none" w:sz="0" w:space="0" w:color="auto"/>
        <w:right w:val="none" w:sz="0" w:space="0" w:color="auto"/>
      </w:divBdr>
    </w:div>
    <w:div w:id="2003073205">
      <w:bodyDiv w:val="1"/>
      <w:marLeft w:val="0"/>
      <w:marRight w:val="0"/>
      <w:marTop w:val="0"/>
      <w:marBottom w:val="0"/>
      <w:divBdr>
        <w:top w:val="none" w:sz="0" w:space="0" w:color="auto"/>
        <w:left w:val="none" w:sz="0" w:space="0" w:color="auto"/>
        <w:bottom w:val="none" w:sz="0" w:space="0" w:color="auto"/>
        <w:right w:val="none" w:sz="0" w:space="0" w:color="auto"/>
      </w:divBdr>
    </w:div>
    <w:div w:id="2027906852">
      <w:bodyDiv w:val="1"/>
      <w:marLeft w:val="0"/>
      <w:marRight w:val="0"/>
      <w:marTop w:val="0"/>
      <w:marBottom w:val="0"/>
      <w:divBdr>
        <w:top w:val="none" w:sz="0" w:space="0" w:color="auto"/>
        <w:left w:val="none" w:sz="0" w:space="0" w:color="auto"/>
        <w:bottom w:val="none" w:sz="0" w:space="0" w:color="auto"/>
        <w:right w:val="none" w:sz="0" w:space="0" w:color="auto"/>
      </w:divBdr>
    </w:div>
    <w:div w:id="2029410748">
      <w:bodyDiv w:val="1"/>
      <w:marLeft w:val="0"/>
      <w:marRight w:val="0"/>
      <w:marTop w:val="0"/>
      <w:marBottom w:val="0"/>
      <w:divBdr>
        <w:top w:val="none" w:sz="0" w:space="0" w:color="auto"/>
        <w:left w:val="none" w:sz="0" w:space="0" w:color="auto"/>
        <w:bottom w:val="none" w:sz="0" w:space="0" w:color="auto"/>
        <w:right w:val="none" w:sz="0" w:space="0" w:color="auto"/>
      </w:divBdr>
    </w:div>
    <w:div w:id="2041128785">
      <w:bodyDiv w:val="1"/>
      <w:marLeft w:val="0"/>
      <w:marRight w:val="0"/>
      <w:marTop w:val="0"/>
      <w:marBottom w:val="0"/>
      <w:divBdr>
        <w:top w:val="none" w:sz="0" w:space="0" w:color="auto"/>
        <w:left w:val="none" w:sz="0" w:space="0" w:color="auto"/>
        <w:bottom w:val="none" w:sz="0" w:space="0" w:color="auto"/>
        <w:right w:val="none" w:sz="0" w:space="0" w:color="auto"/>
      </w:divBdr>
    </w:div>
    <w:div w:id="2057387678">
      <w:bodyDiv w:val="1"/>
      <w:marLeft w:val="0"/>
      <w:marRight w:val="0"/>
      <w:marTop w:val="0"/>
      <w:marBottom w:val="0"/>
      <w:divBdr>
        <w:top w:val="none" w:sz="0" w:space="0" w:color="auto"/>
        <w:left w:val="none" w:sz="0" w:space="0" w:color="auto"/>
        <w:bottom w:val="none" w:sz="0" w:space="0" w:color="auto"/>
        <w:right w:val="none" w:sz="0" w:space="0" w:color="auto"/>
      </w:divBdr>
    </w:div>
    <w:div w:id="2058435391">
      <w:bodyDiv w:val="1"/>
      <w:marLeft w:val="0"/>
      <w:marRight w:val="0"/>
      <w:marTop w:val="0"/>
      <w:marBottom w:val="0"/>
      <w:divBdr>
        <w:top w:val="none" w:sz="0" w:space="0" w:color="auto"/>
        <w:left w:val="none" w:sz="0" w:space="0" w:color="auto"/>
        <w:bottom w:val="none" w:sz="0" w:space="0" w:color="auto"/>
        <w:right w:val="none" w:sz="0" w:space="0" w:color="auto"/>
      </w:divBdr>
    </w:div>
    <w:div w:id="2059282736">
      <w:bodyDiv w:val="1"/>
      <w:marLeft w:val="0"/>
      <w:marRight w:val="0"/>
      <w:marTop w:val="0"/>
      <w:marBottom w:val="0"/>
      <w:divBdr>
        <w:top w:val="none" w:sz="0" w:space="0" w:color="auto"/>
        <w:left w:val="none" w:sz="0" w:space="0" w:color="auto"/>
        <w:bottom w:val="none" w:sz="0" w:space="0" w:color="auto"/>
        <w:right w:val="none" w:sz="0" w:space="0" w:color="auto"/>
      </w:divBdr>
    </w:div>
    <w:div w:id="2074961612">
      <w:bodyDiv w:val="1"/>
      <w:marLeft w:val="0"/>
      <w:marRight w:val="0"/>
      <w:marTop w:val="0"/>
      <w:marBottom w:val="0"/>
      <w:divBdr>
        <w:top w:val="none" w:sz="0" w:space="0" w:color="auto"/>
        <w:left w:val="none" w:sz="0" w:space="0" w:color="auto"/>
        <w:bottom w:val="none" w:sz="0" w:space="0" w:color="auto"/>
        <w:right w:val="none" w:sz="0" w:space="0" w:color="auto"/>
      </w:divBdr>
    </w:div>
    <w:div w:id="2135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axation_customs/sites/taxation/files/2019_masp_annex3_en.pdf" TargetMode="External"/><Relationship Id="rId2" Type="http://schemas.openxmlformats.org/officeDocument/2006/relationships/hyperlink" Target="https://ec.europa.eu/taxation_customs/general-information-customs/electronic-customs_en" TargetMode="External"/><Relationship Id="rId1" Type="http://schemas.openxmlformats.org/officeDocument/2006/relationships/hyperlink" Target="https://ec.europa.eu/taxation_customs/general-information-customs/electronic-customs/eu-single-window-environment-for-customs_en" TargetMode="External"/><Relationship Id="rId5" Type="http://schemas.openxmlformats.org/officeDocument/2006/relationships/hyperlink" Target="https://ec.europa.eu/taxation_customs/sites/taxation/files/2019_masp_annex5_en.pdf" TargetMode="External"/><Relationship Id="rId4" Type="http://schemas.openxmlformats.org/officeDocument/2006/relationships/hyperlink" Target="https://ec.europa.eu/taxation_customs/sites/taxation/files/2019_masp_annex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ADDC396B85D904E92F5615562E9313A" ma:contentTypeVersion="1" ma:contentTypeDescription="Create a new document in this library." ma:contentTypeScope="" ma:versionID="41610979dae67ca59bc7b3201bdf4b2f">
  <xsd:schema xmlns:xsd="http://www.w3.org/2001/XMLSchema" xmlns:xs="http://www.w3.org/2001/XMLSchema" xmlns:p="http://schemas.microsoft.com/office/2006/metadata/properties" xmlns:ns3="ee61229a-0255-4ac7-abd5-704bb744f295" targetNamespace="http://schemas.microsoft.com/office/2006/metadata/properties" ma:root="true" ma:fieldsID="feb4c37c898c22219bb8e4773d7682d8" ns3:_="">
    <xsd:import namespace="ee61229a-0255-4ac7-abd5-704bb744f29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1229a-0255-4ac7-abd5-704bb744f29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ee61229a-0255-4ac7-abd5-704bb744f295">Draft</EC_Collab_Status>
    <EC_Collab_Reference xmlns="ee61229a-0255-4ac7-abd5-704bb744f295" xsi:nil="true"/>
    <EC_Collab_DocumentLanguage xmlns="ee61229a-0255-4ac7-abd5-704bb744f295">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E046-9DBF-450B-8C59-1BE6D1810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1229a-0255-4ac7-abd5-704bb744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83596-A31E-4AD8-8B22-E48CB2EE9970}">
  <ds:schemaRefs>
    <ds:schemaRef ds:uri="http://schemas.microsoft.com/sharepoint/v3/contenttype/forms"/>
  </ds:schemaRefs>
</ds:datastoreItem>
</file>

<file path=customXml/itemProps3.xml><?xml version="1.0" encoding="utf-8"?>
<ds:datastoreItem xmlns:ds="http://schemas.openxmlformats.org/officeDocument/2006/customXml" ds:itemID="{39012EC0-A174-4988-8D5D-D2DDED93842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e61229a-0255-4ac7-abd5-704bb744f29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1A9979F-4B7E-444C-BAEF-41764E5C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4192</Words>
  <Characters>22806</Characters>
  <Application>Microsoft Office Word</Application>
  <DocSecurity>0</DocSecurity>
  <Lines>518</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2019-10-30T13:41:00Z</cp:lastPrinted>
  <dcterms:created xsi:type="dcterms:W3CDTF">2020-06-24T15:36:00Z</dcterms:created>
  <dcterms:modified xsi:type="dcterms:W3CDTF">2020-07-23T09:49:00Z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Filename">
    <vt:lpwstr>QA4-SfR-DLV-9.9.1.30-04-UCC WP Annual Progress Report 2019 v0.10.docx</vt:lpwstr>
  </property>
  <property fmtid="{D5CDD505-2E9C-101B-9397-08002B2CF9AE}" pid="3" name="QCNumber">
    <vt:lpwstr>QA4-QA4 SC03 RfA30-DLV-9.9.1.30-04_0002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7.0, Build 20190717</vt:lpwstr>
  </property>
  <property fmtid="{D5CDD505-2E9C-101B-9397-08002B2CF9AE}" pid="10" name="Created using">
    <vt:lpwstr>LW 7.0, Build 20190717</vt:lpwstr>
  </property>
  <property fmtid="{D5CDD505-2E9C-101B-9397-08002B2CF9AE}" pid="11" name="_DocHome">
    <vt:i4>1059251394</vt:i4>
  </property>
  <property fmtid="{D5CDD505-2E9C-101B-9397-08002B2CF9AE}" pid="12" name="_LW_INVALIDATED__LW_INVALIDATED__LW_INVALIDATED__LW_INVALIDATED__LW_INVALIDATED_ContentTypeId">
    <vt:lpwstr>0x010100258AA79CEB83498886A3A08681123250001ADDC396B85D904E92F5615562E9313A</vt:lpwstr>
  </property>
</Properties>
</file>