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02" w:rsidRDefault="00A9056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F6EE1A-53F7-45B4-BBCD-08E18B34B3A0" style="width:451.2pt;height:429.6pt">
            <v:imagedata r:id="rId8" o:title=""/>
          </v:shape>
        </w:pict>
      </w:r>
    </w:p>
    <w:bookmarkEnd w:id="0"/>
    <w:p w:rsidR="00996002" w:rsidRDefault="00996002">
      <w:pPr>
        <w:rPr>
          <w:noProof/>
        </w:rPr>
        <w:sectPr w:rsidR="0099600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96002" w:rsidRDefault="00996002">
      <w:pPr>
        <w:pStyle w:val="TOCHeading"/>
        <w:rPr>
          <w:rFonts w:eastAsiaTheme="minorHAnsi" w:cstheme="minorBidi"/>
          <w:b w:val="0"/>
          <w:smallCaps w:val="0"/>
          <w:noProof/>
          <w:color w:val="auto"/>
          <w:sz w:val="24"/>
          <w:szCs w:val="22"/>
          <w:lang w:val="en-GB"/>
        </w:rPr>
      </w:pPr>
    </w:p>
    <w:sdt>
      <w:sdtPr>
        <w:rPr>
          <w:rFonts w:eastAsiaTheme="minorHAnsi" w:cstheme="minorBidi"/>
          <w:b w:val="0"/>
          <w:smallCaps w:val="0"/>
          <w:noProof/>
          <w:color w:val="auto"/>
          <w:sz w:val="24"/>
          <w:szCs w:val="22"/>
        </w:rPr>
        <w:id w:val="-255520447"/>
        <w:docPartObj>
          <w:docPartGallery w:val="Table of Contents"/>
          <w:docPartUnique/>
        </w:docPartObj>
      </w:sdtPr>
      <w:sdtEndPr>
        <w:rPr>
          <w:bCs/>
        </w:rPr>
      </w:sdtEndPr>
      <w:sdtContent>
        <w:p w:rsidR="00996002" w:rsidRDefault="00A90561">
          <w:pPr>
            <w:pStyle w:val="TOCHeading"/>
            <w:rPr>
              <w:noProof/>
            </w:rPr>
          </w:pPr>
          <w:r>
            <w:rPr>
              <w:noProof/>
            </w:rPr>
            <w:t>Съдържание</w:t>
          </w:r>
        </w:p>
        <w:p w:rsidR="00996002" w:rsidRDefault="00A90561">
          <w:pPr>
            <w:pStyle w:val="TOC1"/>
            <w:tabs>
              <w:tab w:val="right" w:leader="dot" w:pos="9062"/>
            </w:tabs>
            <w:rPr>
              <w:rFonts w:asciiTheme="minorHAnsi" w:eastAsiaTheme="minorEastAsia" w:hAnsiTheme="minorHAnsi"/>
              <w:noProof/>
              <w:sz w:val="22"/>
              <w:lang w:val="en-US"/>
            </w:rPr>
          </w:pPr>
          <w:r>
            <w:rPr>
              <w:noProof/>
            </w:rPr>
            <w:fldChar w:fldCharType="begin"/>
          </w:r>
          <w:r>
            <w:rPr>
              <w:noProof/>
            </w:rPr>
            <w:instrText xml:space="preserve"> TOC \o "1-3" \h \z \u </w:instrText>
          </w:r>
          <w:r>
            <w:rPr>
              <w:noProof/>
            </w:rPr>
            <w:fldChar w:fldCharType="separate"/>
          </w:r>
          <w:hyperlink w:anchor="_Toc46822129" w:history="1">
            <w:r>
              <w:rPr>
                <w:rStyle w:val="Hyperlink"/>
                <w:noProof/>
              </w:rPr>
              <w:t>1. Въведение</w:t>
            </w:r>
            <w:r>
              <w:rPr>
                <w:noProof/>
                <w:webHidden/>
              </w:rPr>
              <w:tab/>
            </w:r>
            <w:r>
              <w:rPr>
                <w:noProof/>
                <w:webHidden/>
              </w:rPr>
              <w:fldChar w:fldCharType="begin"/>
            </w:r>
            <w:r>
              <w:rPr>
                <w:noProof/>
                <w:webHidden/>
              </w:rPr>
              <w:instrText xml:space="preserve"> PAGEREF _Toc46822129 \h </w:instrText>
            </w:r>
            <w:r>
              <w:rPr>
                <w:noProof/>
                <w:webHidden/>
              </w:rPr>
            </w:r>
            <w:r>
              <w:rPr>
                <w:noProof/>
                <w:webHidden/>
              </w:rPr>
              <w:fldChar w:fldCharType="separate"/>
            </w:r>
            <w:r>
              <w:rPr>
                <w:noProof/>
                <w:webHidden/>
              </w:rPr>
              <w:t>2</w:t>
            </w:r>
            <w:r>
              <w:rPr>
                <w:noProof/>
                <w:webHidden/>
              </w:rPr>
              <w:fldChar w:fldCharType="end"/>
            </w:r>
          </w:hyperlink>
        </w:p>
        <w:p w:rsidR="00996002" w:rsidRDefault="00A90561">
          <w:pPr>
            <w:pStyle w:val="TOC1"/>
            <w:tabs>
              <w:tab w:val="right" w:leader="dot" w:pos="9062"/>
            </w:tabs>
            <w:rPr>
              <w:rFonts w:asciiTheme="minorHAnsi" w:eastAsiaTheme="minorEastAsia" w:hAnsiTheme="minorHAnsi"/>
              <w:noProof/>
              <w:sz w:val="22"/>
              <w:lang w:val="en-US"/>
            </w:rPr>
          </w:pPr>
          <w:hyperlink w:anchor="_Toc46822130" w:history="1">
            <w:r>
              <w:rPr>
                <w:rStyle w:val="Hyperlink"/>
                <w:noProof/>
              </w:rPr>
              <w:t>2. Оперативен контекст</w:t>
            </w:r>
            <w:r>
              <w:rPr>
                <w:noProof/>
                <w:webHidden/>
              </w:rPr>
              <w:tab/>
            </w:r>
            <w:r>
              <w:rPr>
                <w:noProof/>
                <w:webHidden/>
              </w:rPr>
              <w:fldChar w:fldCharType="begin"/>
            </w:r>
            <w:r>
              <w:rPr>
                <w:noProof/>
                <w:webHidden/>
              </w:rPr>
              <w:instrText xml:space="preserve"> PAGEREF _Toc46822130 \h </w:instrText>
            </w:r>
            <w:r>
              <w:rPr>
                <w:noProof/>
                <w:webHidden/>
              </w:rPr>
            </w:r>
            <w:r>
              <w:rPr>
                <w:noProof/>
                <w:webHidden/>
              </w:rPr>
              <w:fldChar w:fldCharType="separate"/>
            </w:r>
            <w:r>
              <w:rPr>
                <w:noProof/>
                <w:webHidden/>
              </w:rPr>
              <w:t>2</w:t>
            </w:r>
            <w:r>
              <w:rPr>
                <w:noProof/>
                <w:webHidden/>
              </w:rPr>
              <w:fldChar w:fldCharType="end"/>
            </w:r>
          </w:hyperlink>
        </w:p>
        <w:p w:rsidR="00996002" w:rsidRDefault="00A90561">
          <w:pPr>
            <w:pStyle w:val="TOC1"/>
            <w:tabs>
              <w:tab w:val="right" w:leader="dot" w:pos="9062"/>
            </w:tabs>
            <w:rPr>
              <w:rFonts w:asciiTheme="minorHAnsi" w:eastAsiaTheme="minorEastAsia" w:hAnsiTheme="minorHAnsi"/>
              <w:noProof/>
              <w:sz w:val="22"/>
              <w:lang w:val="en-US"/>
            </w:rPr>
          </w:pPr>
          <w:hyperlink w:anchor="_Toc46822131" w:history="1">
            <w:r>
              <w:rPr>
                <w:rStyle w:val="Hyperlink"/>
                <w:noProof/>
              </w:rPr>
              <w:t>3. Управлени</w:t>
            </w:r>
            <w:r>
              <w:rPr>
                <w:rStyle w:val="Hyperlink"/>
                <w:noProof/>
              </w:rPr>
              <w:t>е на Гаранционния фонд на ЕФУР през 2019 г.</w:t>
            </w:r>
            <w:r>
              <w:rPr>
                <w:noProof/>
                <w:webHidden/>
              </w:rPr>
              <w:tab/>
            </w:r>
            <w:r>
              <w:rPr>
                <w:noProof/>
                <w:webHidden/>
              </w:rPr>
              <w:fldChar w:fldCharType="begin"/>
            </w:r>
            <w:r>
              <w:rPr>
                <w:noProof/>
                <w:webHidden/>
              </w:rPr>
              <w:instrText xml:space="preserve"> PAGEREF _Toc46822131 \h </w:instrText>
            </w:r>
            <w:r>
              <w:rPr>
                <w:noProof/>
                <w:webHidden/>
              </w:rPr>
            </w:r>
            <w:r>
              <w:rPr>
                <w:noProof/>
                <w:webHidden/>
              </w:rPr>
              <w:fldChar w:fldCharType="separate"/>
            </w:r>
            <w:r>
              <w:rPr>
                <w:noProof/>
                <w:webHidden/>
              </w:rPr>
              <w:t>3</w:t>
            </w:r>
            <w:r>
              <w:rPr>
                <w:noProof/>
                <w:webHidden/>
              </w:rPr>
              <w:fldChar w:fldCharType="end"/>
            </w:r>
          </w:hyperlink>
        </w:p>
        <w:p w:rsidR="00996002" w:rsidRDefault="00A90561">
          <w:pPr>
            <w:pStyle w:val="TOC2"/>
            <w:tabs>
              <w:tab w:val="right" w:leader="dot" w:pos="9062"/>
            </w:tabs>
            <w:rPr>
              <w:rFonts w:asciiTheme="minorHAnsi" w:eastAsiaTheme="minorEastAsia" w:hAnsiTheme="minorHAnsi"/>
              <w:noProof/>
              <w:sz w:val="22"/>
              <w:lang w:val="en-US"/>
            </w:rPr>
          </w:pPr>
          <w:hyperlink w:anchor="_Toc46822132" w:history="1">
            <w:r>
              <w:rPr>
                <w:rStyle w:val="Hyperlink"/>
                <w:noProof/>
              </w:rPr>
              <w:t>3.1. Финансово управление</w:t>
            </w:r>
            <w:r>
              <w:rPr>
                <w:noProof/>
                <w:webHidden/>
              </w:rPr>
              <w:tab/>
            </w:r>
            <w:r>
              <w:rPr>
                <w:noProof/>
                <w:webHidden/>
              </w:rPr>
              <w:fldChar w:fldCharType="begin"/>
            </w:r>
            <w:r>
              <w:rPr>
                <w:noProof/>
                <w:webHidden/>
              </w:rPr>
              <w:instrText xml:space="preserve"> PAGEREF _Toc46822132 \h </w:instrText>
            </w:r>
            <w:r>
              <w:rPr>
                <w:noProof/>
                <w:webHidden/>
              </w:rPr>
            </w:r>
            <w:r>
              <w:rPr>
                <w:noProof/>
                <w:webHidden/>
              </w:rPr>
              <w:fldChar w:fldCharType="separate"/>
            </w:r>
            <w:r>
              <w:rPr>
                <w:noProof/>
                <w:webHidden/>
              </w:rPr>
              <w:t>3</w:t>
            </w:r>
            <w:r>
              <w:rPr>
                <w:noProof/>
                <w:webHidden/>
              </w:rPr>
              <w:fldChar w:fldCharType="end"/>
            </w:r>
          </w:hyperlink>
        </w:p>
        <w:p w:rsidR="00996002" w:rsidRDefault="00A90561">
          <w:pPr>
            <w:pStyle w:val="TOC2"/>
            <w:tabs>
              <w:tab w:val="right" w:leader="dot" w:pos="9062"/>
            </w:tabs>
            <w:rPr>
              <w:rFonts w:asciiTheme="minorHAnsi" w:eastAsiaTheme="minorEastAsia" w:hAnsiTheme="minorHAnsi"/>
              <w:noProof/>
              <w:sz w:val="22"/>
              <w:lang w:val="en-US"/>
            </w:rPr>
          </w:pPr>
          <w:hyperlink w:anchor="_Toc46822133" w:history="1">
            <w:r>
              <w:rPr>
                <w:rStyle w:val="Hyperlink"/>
                <w:noProof/>
              </w:rPr>
              <w:t>3.2. Състав на портфей</w:t>
            </w:r>
            <w:bookmarkStart w:id="1" w:name="_GoBack"/>
            <w:bookmarkEnd w:id="1"/>
            <w:r>
              <w:rPr>
                <w:rStyle w:val="Hyperlink"/>
                <w:noProof/>
              </w:rPr>
              <w:t>ла и негови ключови характеристики</w:t>
            </w:r>
            <w:r>
              <w:rPr>
                <w:noProof/>
                <w:webHidden/>
              </w:rPr>
              <w:tab/>
            </w:r>
            <w:r>
              <w:rPr>
                <w:noProof/>
                <w:webHidden/>
              </w:rPr>
              <w:fldChar w:fldCharType="begin"/>
            </w:r>
            <w:r>
              <w:rPr>
                <w:noProof/>
                <w:webHidden/>
              </w:rPr>
              <w:instrText xml:space="preserve"> PAGEREF _Toc46822133 \h </w:instrText>
            </w:r>
            <w:r>
              <w:rPr>
                <w:noProof/>
                <w:webHidden/>
              </w:rPr>
            </w:r>
            <w:r>
              <w:rPr>
                <w:noProof/>
                <w:webHidden/>
              </w:rPr>
              <w:fldChar w:fldCharType="separate"/>
            </w:r>
            <w:r>
              <w:rPr>
                <w:noProof/>
                <w:webHidden/>
              </w:rPr>
              <w:t>3</w:t>
            </w:r>
            <w:r>
              <w:rPr>
                <w:noProof/>
                <w:webHidden/>
              </w:rPr>
              <w:fldChar w:fldCharType="end"/>
            </w:r>
          </w:hyperlink>
        </w:p>
        <w:p w:rsidR="00996002" w:rsidRDefault="00A90561">
          <w:pPr>
            <w:pStyle w:val="TOC2"/>
            <w:tabs>
              <w:tab w:val="right" w:leader="dot" w:pos="9062"/>
            </w:tabs>
            <w:rPr>
              <w:rFonts w:asciiTheme="minorHAnsi" w:eastAsiaTheme="minorEastAsia" w:hAnsiTheme="minorHAnsi"/>
              <w:noProof/>
              <w:sz w:val="22"/>
              <w:lang w:val="en-US"/>
            </w:rPr>
          </w:pPr>
          <w:hyperlink w:anchor="_Toc46822134" w:history="1">
            <w:r>
              <w:rPr>
                <w:rStyle w:val="Hyperlink"/>
                <w:noProof/>
              </w:rPr>
              <w:t>3.3. Резултати</w:t>
            </w:r>
            <w:r>
              <w:rPr>
                <w:noProof/>
                <w:webHidden/>
              </w:rPr>
              <w:tab/>
            </w:r>
            <w:r>
              <w:rPr>
                <w:noProof/>
                <w:webHidden/>
              </w:rPr>
              <w:fldChar w:fldCharType="begin"/>
            </w:r>
            <w:r>
              <w:rPr>
                <w:noProof/>
                <w:webHidden/>
              </w:rPr>
              <w:instrText xml:space="preserve"> PAGEREF _Toc46822134 \h </w:instrText>
            </w:r>
            <w:r>
              <w:rPr>
                <w:noProof/>
                <w:webHidden/>
              </w:rPr>
            </w:r>
            <w:r>
              <w:rPr>
                <w:noProof/>
                <w:webHidden/>
              </w:rPr>
              <w:fldChar w:fldCharType="separate"/>
            </w:r>
            <w:r>
              <w:rPr>
                <w:noProof/>
                <w:webHidden/>
              </w:rPr>
              <w:t>4</w:t>
            </w:r>
            <w:r>
              <w:rPr>
                <w:noProof/>
                <w:webHidden/>
              </w:rPr>
              <w:fldChar w:fldCharType="end"/>
            </w:r>
          </w:hyperlink>
        </w:p>
        <w:p w:rsidR="00996002" w:rsidRDefault="00A90561">
          <w:pPr>
            <w:pStyle w:val="TOC1"/>
            <w:tabs>
              <w:tab w:val="right" w:leader="dot" w:pos="9062"/>
            </w:tabs>
            <w:rPr>
              <w:rFonts w:asciiTheme="minorHAnsi" w:eastAsiaTheme="minorEastAsia" w:hAnsiTheme="minorHAnsi"/>
              <w:noProof/>
              <w:sz w:val="22"/>
              <w:lang w:val="en-US"/>
            </w:rPr>
          </w:pPr>
          <w:hyperlink w:anchor="_Toc46822135" w:history="1">
            <w:r>
              <w:rPr>
                <w:rStyle w:val="Hyperlink"/>
                <w:noProof/>
              </w:rPr>
              <w:t>4. Финансови отчети</w:t>
            </w:r>
            <w:r>
              <w:rPr>
                <w:noProof/>
                <w:webHidden/>
              </w:rPr>
              <w:tab/>
            </w:r>
            <w:r>
              <w:rPr>
                <w:noProof/>
                <w:webHidden/>
              </w:rPr>
              <w:fldChar w:fldCharType="begin"/>
            </w:r>
            <w:r>
              <w:rPr>
                <w:noProof/>
                <w:webHidden/>
              </w:rPr>
              <w:instrText xml:space="preserve"> PAGEREF _Toc46822135 \h </w:instrText>
            </w:r>
            <w:r>
              <w:rPr>
                <w:noProof/>
                <w:webHidden/>
              </w:rPr>
            </w:r>
            <w:r>
              <w:rPr>
                <w:noProof/>
                <w:webHidden/>
              </w:rPr>
              <w:fldChar w:fldCharType="separate"/>
            </w:r>
            <w:r>
              <w:rPr>
                <w:noProof/>
                <w:webHidden/>
              </w:rPr>
              <w:t>5</w:t>
            </w:r>
            <w:r>
              <w:rPr>
                <w:noProof/>
                <w:webHidden/>
              </w:rPr>
              <w:fldChar w:fldCharType="end"/>
            </w:r>
          </w:hyperlink>
        </w:p>
        <w:p w:rsidR="00996002" w:rsidRDefault="00A90561">
          <w:pPr>
            <w:pStyle w:val="TOC2"/>
            <w:tabs>
              <w:tab w:val="right" w:leader="dot" w:pos="9062"/>
            </w:tabs>
            <w:rPr>
              <w:rFonts w:asciiTheme="minorHAnsi" w:eastAsiaTheme="minorEastAsia" w:hAnsiTheme="minorHAnsi"/>
              <w:noProof/>
              <w:sz w:val="22"/>
              <w:lang w:val="en-US"/>
            </w:rPr>
          </w:pPr>
          <w:hyperlink w:anchor="_Toc46822136" w:history="1">
            <w:r>
              <w:rPr>
                <w:rStyle w:val="Hyperlink"/>
                <w:noProof/>
              </w:rPr>
              <w:t>4.1. Финансови отчети на Гаранционния фонд на ЕФУР до 31 декември 2019 г.</w:t>
            </w:r>
            <w:r>
              <w:rPr>
                <w:noProof/>
                <w:webHidden/>
              </w:rPr>
              <w:tab/>
            </w:r>
            <w:r>
              <w:rPr>
                <w:noProof/>
                <w:webHidden/>
              </w:rPr>
              <w:fldChar w:fldCharType="begin"/>
            </w:r>
            <w:r>
              <w:rPr>
                <w:noProof/>
                <w:webHidden/>
              </w:rPr>
              <w:instrText xml:space="preserve"> PAGEREF _Toc46822136 \h </w:instrText>
            </w:r>
            <w:r>
              <w:rPr>
                <w:noProof/>
                <w:webHidden/>
              </w:rPr>
            </w:r>
            <w:r>
              <w:rPr>
                <w:noProof/>
                <w:webHidden/>
              </w:rPr>
              <w:fldChar w:fldCharType="separate"/>
            </w:r>
            <w:r>
              <w:rPr>
                <w:noProof/>
                <w:webHidden/>
              </w:rPr>
              <w:t>5</w:t>
            </w:r>
            <w:r>
              <w:rPr>
                <w:noProof/>
                <w:webHidden/>
              </w:rPr>
              <w:fldChar w:fldCharType="end"/>
            </w:r>
          </w:hyperlink>
        </w:p>
        <w:p w:rsidR="00996002" w:rsidRDefault="00A90561">
          <w:pPr>
            <w:pStyle w:val="TOC2"/>
            <w:tabs>
              <w:tab w:val="right" w:leader="dot" w:pos="9062"/>
            </w:tabs>
            <w:rPr>
              <w:rFonts w:asciiTheme="minorHAnsi" w:eastAsiaTheme="minorEastAsia" w:hAnsiTheme="minorHAnsi"/>
              <w:noProof/>
              <w:sz w:val="22"/>
              <w:lang w:val="en-US"/>
            </w:rPr>
          </w:pPr>
          <w:hyperlink w:anchor="_Toc46822137" w:history="1">
            <w:r>
              <w:rPr>
                <w:rStyle w:val="Hyperlink"/>
                <w:noProof/>
              </w:rPr>
              <w:t>4,2. Обезпечаване</w:t>
            </w:r>
            <w:r>
              <w:rPr>
                <w:noProof/>
                <w:webHidden/>
              </w:rPr>
              <w:tab/>
            </w:r>
            <w:r>
              <w:rPr>
                <w:noProof/>
                <w:webHidden/>
              </w:rPr>
              <w:fldChar w:fldCharType="begin"/>
            </w:r>
            <w:r>
              <w:rPr>
                <w:noProof/>
                <w:webHidden/>
              </w:rPr>
              <w:instrText xml:space="preserve"> PAGEREF _Toc46822137 \h </w:instrText>
            </w:r>
            <w:r>
              <w:rPr>
                <w:noProof/>
                <w:webHidden/>
              </w:rPr>
            </w:r>
            <w:r>
              <w:rPr>
                <w:noProof/>
                <w:webHidden/>
              </w:rPr>
              <w:fldChar w:fldCharType="separate"/>
            </w:r>
            <w:r>
              <w:rPr>
                <w:noProof/>
                <w:webHidden/>
              </w:rPr>
              <w:t>8</w:t>
            </w:r>
            <w:r>
              <w:rPr>
                <w:noProof/>
                <w:webHidden/>
              </w:rPr>
              <w:fldChar w:fldCharType="end"/>
            </w:r>
          </w:hyperlink>
        </w:p>
        <w:p w:rsidR="00996002" w:rsidRDefault="00A90561">
          <w:pPr>
            <w:pStyle w:val="TOC1"/>
            <w:tabs>
              <w:tab w:val="right" w:leader="dot" w:pos="9062"/>
            </w:tabs>
            <w:rPr>
              <w:rFonts w:asciiTheme="minorHAnsi" w:eastAsiaTheme="minorEastAsia" w:hAnsiTheme="minorHAnsi"/>
              <w:noProof/>
              <w:sz w:val="22"/>
              <w:lang w:val="en-US"/>
            </w:rPr>
          </w:pPr>
          <w:hyperlink w:anchor="_Toc46822138" w:history="1">
            <w:r>
              <w:rPr>
                <w:rStyle w:val="Hyperlink"/>
                <w:noProof/>
              </w:rPr>
              <w:t xml:space="preserve">5. Оценка на </w:t>
            </w:r>
            <w:r>
              <w:rPr>
                <w:rStyle w:val="Hyperlink"/>
                <w:noProof/>
              </w:rPr>
              <w:t>това доколко са подходящи целевият размер и равнището на Гаранционния фонд на ЕФУР</w:t>
            </w:r>
            <w:r>
              <w:rPr>
                <w:noProof/>
                <w:webHidden/>
              </w:rPr>
              <w:tab/>
            </w:r>
            <w:r>
              <w:rPr>
                <w:noProof/>
                <w:webHidden/>
              </w:rPr>
              <w:fldChar w:fldCharType="begin"/>
            </w:r>
            <w:r>
              <w:rPr>
                <w:noProof/>
                <w:webHidden/>
              </w:rPr>
              <w:instrText xml:space="preserve"> PAGEREF _Toc46822138 \h </w:instrText>
            </w:r>
            <w:r>
              <w:rPr>
                <w:noProof/>
                <w:webHidden/>
              </w:rPr>
            </w:r>
            <w:r>
              <w:rPr>
                <w:noProof/>
                <w:webHidden/>
              </w:rPr>
              <w:fldChar w:fldCharType="separate"/>
            </w:r>
            <w:r>
              <w:rPr>
                <w:noProof/>
                <w:webHidden/>
              </w:rPr>
              <w:t>8</w:t>
            </w:r>
            <w:r>
              <w:rPr>
                <w:noProof/>
                <w:webHidden/>
              </w:rPr>
              <w:fldChar w:fldCharType="end"/>
            </w:r>
          </w:hyperlink>
        </w:p>
        <w:p w:rsidR="00996002" w:rsidRDefault="00A90561">
          <w:pPr>
            <w:rPr>
              <w:noProof/>
            </w:rPr>
          </w:pPr>
          <w:r>
            <w:rPr>
              <w:b/>
              <w:bCs/>
              <w:noProof/>
            </w:rPr>
            <w:fldChar w:fldCharType="end"/>
          </w:r>
        </w:p>
      </w:sdtContent>
    </w:sdt>
    <w:p w:rsidR="00996002" w:rsidRDefault="00A90561">
      <w:pPr>
        <w:rPr>
          <w:noProof/>
        </w:rPr>
      </w:pPr>
      <w:r>
        <w:rPr>
          <w:noProof/>
        </w:rPr>
        <w:br w:type="page"/>
      </w:r>
    </w:p>
    <w:p w:rsidR="00996002" w:rsidRDefault="00A90561">
      <w:pPr>
        <w:pStyle w:val="Heading1"/>
        <w:rPr>
          <w:noProof/>
        </w:rPr>
      </w:pPr>
      <w:bookmarkStart w:id="2" w:name="_Toc38891111"/>
      <w:bookmarkStart w:id="3" w:name="_Toc46822129"/>
      <w:r>
        <w:rPr>
          <w:noProof/>
        </w:rPr>
        <w:t>1. Въведение</w:t>
      </w:r>
      <w:bookmarkEnd w:id="2"/>
      <w:bookmarkEnd w:id="3"/>
    </w:p>
    <w:p w:rsidR="00996002" w:rsidRDefault="00A90561">
      <w:pPr>
        <w:jc w:val="both"/>
        <w:rPr>
          <w:noProof/>
        </w:rPr>
      </w:pPr>
      <w:r>
        <w:rPr>
          <w:noProof/>
        </w:rPr>
        <w:t>Правното основание за настоящия доклад е Регламент (ЕС) 201</w:t>
      </w:r>
      <w:r>
        <w:rPr>
          <w:noProof/>
        </w:rPr>
        <w:t>7/1601 („Регламент за ЕФУР“)</w:t>
      </w:r>
      <w:r>
        <w:rPr>
          <w:rStyle w:val="FootnoteReference"/>
          <w:noProof/>
        </w:rPr>
        <w:footnoteReference w:id="2"/>
      </w:r>
      <w:r>
        <w:rPr>
          <w:noProof/>
        </w:rPr>
        <w:t>. В член 16, параграф 3 от Регламента за EФУР се предвижда, че Комисията представя на Европейския парламент, Съвета и Сметната палата годишен доклад за управлението на Европейски фонд за устойчиво развитие (ЕФУР) през предходна</w:t>
      </w:r>
      <w:r>
        <w:rPr>
          <w:noProof/>
        </w:rPr>
        <w:t>та календарна година, включително оценка на адекватността на процента на обезпечаване и равнището на Гаранционния фонд на ЕФУР, както и на необходимостта от неговото попълване.</w:t>
      </w:r>
    </w:p>
    <w:p w:rsidR="00996002" w:rsidRDefault="00A90561">
      <w:pPr>
        <w:pStyle w:val="Heading1"/>
        <w:rPr>
          <w:noProof/>
        </w:rPr>
      </w:pPr>
      <w:bookmarkStart w:id="4" w:name="_Toc38891112"/>
      <w:bookmarkStart w:id="5" w:name="_Toc46822130"/>
      <w:r>
        <w:rPr>
          <w:noProof/>
        </w:rPr>
        <w:t>2. Оперативен контекст</w:t>
      </w:r>
      <w:bookmarkEnd w:id="4"/>
      <w:bookmarkEnd w:id="5"/>
    </w:p>
    <w:p w:rsidR="00996002" w:rsidRDefault="00A90561">
      <w:pPr>
        <w:jc w:val="both"/>
        <w:rPr>
          <w:noProof/>
          <w:szCs w:val="24"/>
        </w:rPr>
      </w:pPr>
      <w:r>
        <w:rPr>
          <w:noProof/>
        </w:rPr>
        <w:t>ЕФУР обхваща финансирането на операции в Африка и в съсе</w:t>
      </w:r>
      <w:r>
        <w:rPr>
          <w:noProof/>
        </w:rPr>
        <w:t xml:space="preserve">дните на ЕС държави, включително операциите за смесено финансиране и гаранцията от ЕФУР. Гаранцията от ЕФУР е ключов иновационен елемент, използван за намаляване на рисковете за инвестициите в устойчиво развитие в партньорските държави, като по този начин </w:t>
      </w:r>
      <w:r>
        <w:rPr>
          <w:noProof/>
        </w:rPr>
        <w:t>се подпомага мобилизирането на инвестиции, насърчаването на устойчиво и приобщаващо икономическо и социално развитие, постигането на максимална допълняемост, както и привличането на средства от частния сектор. Целта на гаранцията е да послужи като механизъ</w:t>
      </w:r>
      <w:r>
        <w:rPr>
          <w:noProof/>
        </w:rPr>
        <w:t>м за намаляване на риска с цел привличане на финансиране от частния сектор, като същевременно се избягват изкривявания на пазара.</w:t>
      </w:r>
    </w:p>
    <w:p w:rsidR="00996002" w:rsidRDefault="00A90561">
      <w:pPr>
        <w:jc w:val="both"/>
        <w:rPr>
          <w:noProof/>
          <w:szCs w:val="24"/>
        </w:rPr>
      </w:pPr>
      <w:r>
        <w:rPr>
          <w:noProof/>
        </w:rPr>
        <w:t>Гаранцията от ЕФУР е създадена за обща сума от 1,5 милиарда евро, които трябва да бъдат покрити от общия бюджет. До края на 20</w:t>
      </w:r>
      <w:r>
        <w:rPr>
          <w:noProof/>
        </w:rPr>
        <w:t>19 г. допълнителни вноски в подкрепа на Гаранционния фонд на ЕФУР включиха 50 милиона щатски долара от фондацията „Бил и Мелинда Гейтс“, 9,6 милиона евро от Дания, 300 000 евро от Чешката република и 100 000 евро от Естония.</w:t>
      </w:r>
    </w:p>
    <w:p w:rsidR="00996002" w:rsidRDefault="00A90561">
      <w:pPr>
        <w:jc w:val="both"/>
        <w:rPr>
          <w:noProof/>
        </w:rPr>
      </w:pPr>
      <w:r>
        <w:rPr>
          <w:noProof/>
        </w:rPr>
        <w:t>Член 14 от Регламента за ЕФУР с</w:t>
      </w:r>
      <w:r>
        <w:rPr>
          <w:noProof/>
        </w:rPr>
        <w:t>ъздава Гаранционен фонд на ЕФУР, който представлява ликвиден резерв, от който се плаща на отговарящите на условията за допустимост партньори в случай на искане за плащане по гаранцията от ЕФУР. Съюзът предостави 750 милиона евро за покриване на финансовите</w:t>
      </w:r>
      <w:r>
        <w:rPr>
          <w:noProof/>
        </w:rPr>
        <w:t xml:space="preserve"> си задължения, което съответства на 50 % от задълженията по гаранцията на ЕС.</w:t>
      </w:r>
    </w:p>
    <w:p w:rsidR="00996002" w:rsidRDefault="00A90561">
      <w:pPr>
        <w:jc w:val="both"/>
        <w:rPr>
          <w:noProof/>
        </w:rPr>
      </w:pPr>
      <w:r>
        <w:rPr>
          <w:noProof/>
        </w:rPr>
        <w:t>Гаранционният фонд на ЕФУР на практика започна да функционира през 2018 г. До 31 декември 2019 г. на Фонда е изплатена сума в размер на 600,1 милиона евро.</w:t>
      </w:r>
    </w:p>
    <w:p w:rsidR="00996002" w:rsidRDefault="00A90561">
      <w:pPr>
        <w:jc w:val="both"/>
        <w:rPr>
          <w:noProof/>
          <w:szCs w:val="24"/>
        </w:rPr>
      </w:pPr>
      <w:r>
        <w:rPr>
          <w:noProof/>
        </w:rPr>
        <w:t>В неотдавнашния докла</w:t>
      </w:r>
      <w:r>
        <w:rPr>
          <w:noProof/>
        </w:rPr>
        <w:t>д на Комисията до Европейския парламент и до Съвета беше включена информация относно прилагането на ЕФУР</w:t>
      </w:r>
      <w:r>
        <w:rPr>
          <w:rStyle w:val="FootnoteReference"/>
          <w:noProof/>
        </w:rPr>
        <w:footnoteReference w:id="3"/>
      </w:r>
      <w:r>
        <w:rPr>
          <w:noProof/>
        </w:rPr>
        <w:t>. В доклада, изготвен въз основа на независима външна оценка, се заключава, че ЕФУР допринася значително за необходимостта от нов глобален модел за фин</w:t>
      </w:r>
      <w:r>
        <w:rPr>
          <w:noProof/>
        </w:rPr>
        <w:t>ансиране на политиката на развитие, както и за нуждите от инвестиции на държавите от Африка на юг от Сахара и съседните на ЕС региони.</w:t>
      </w:r>
    </w:p>
    <w:p w:rsidR="00996002" w:rsidRDefault="00A90561">
      <w:pPr>
        <w:pStyle w:val="Heading1"/>
        <w:rPr>
          <w:noProof/>
          <w:szCs w:val="24"/>
        </w:rPr>
      </w:pPr>
      <w:bookmarkStart w:id="6" w:name="_Toc38891113"/>
      <w:bookmarkStart w:id="7" w:name="_Toc46822131"/>
      <w:r>
        <w:rPr>
          <w:noProof/>
        </w:rPr>
        <w:t>3. Управление на Гаранционния фонд на ЕФУР през 2019 г.</w:t>
      </w:r>
      <w:bookmarkEnd w:id="6"/>
      <w:bookmarkEnd w:id="7"/>
    </w:p>
    <w:p w:rsidR="00996002" w:rsidRDefault="00A90561">
      <w:pPr>
        <w:pStyle w:val="Heading2"/>
        <w:rPr>
          <w:noProof/>
        </w:rPr>
      </w:pPr>
      <w:bookmarkStart w:id="8" w:name="_Toc38891114"/>
      <w:bookmarkStart w:id="9" w:name="_Toc46822132"/>
      <w:r>
        <w:rPr>
          <w:noProof/>
        </w:rPr>
        <w:t>3.1. Финансово управление</w:t>
      </w:r>
      <w:bookmarkEnd w:id="8"/>
      <w:bookmarkEnd w:id="9"/>
      <w:r>
        <w:rPr>
          <w:noProof/>
        </w:rPr>
        <w:t xml:space="preserve"> </w:t>
      </w:r>
    </w:p>
    <w:p w:rsidR="00996002" w:rsidRDefault="00A90561">
      <w:pPr>
        <w:jc w:val="both"/>
        <w:rPr>
          <w:noProof/>
        </w:rPr>
      </w:pPr>
      <w:r>
        <w:rPr>
          <w:noProof/>
        </w:rPr>
        <w:t xml:space="preserve">Инвестиционният портфейл на </w:t>
      </w:r>
      <w:r>
        <w:rPr>
          <w:noProof/>
        </w:rPr>
        <w:t>Гаранционния фонд на ЕФУР се инвестира в съответствие с управленските принципи, заложени в Решение </w:t>
      </w:r>
      <w:hyperlink r:id="rId15" w:history="1">
        <w:r>
          <w:rPr>
            <w:noProof/>
          </w:rPr>
          <w:t>C(2017) 7693</w:t>
        </w:r>
      </w:hyperlink>
      <w:r>
        <w:rPr>
          <w:noProof/>
        </w:rPr>
        <w:t xml:space="preserve"> на Комисията от 22 ноември 2017 г. за одобряване</w:t>
      </w:r>
      <w:r>
        <w:rPr>
          <w:noProof/>
        </w:rPr>
        <w:t xml:space="preserve"> на насоките за управление на активите на Гаранционния фонд на ЕФУР.</w:t>
      </w:r>
    </w:p>
    <w:p w:rsidR="00996002" w:rsidRDefault="00A90561">
      <w:pPr>
        <w:jc w:val="both"/>
        <w:rPr>
          <w:noProof/>
        </w:rPr>
      </w:pPr>
      <w:r>
        <w:rPr>
          <w:noProof/>
        </w:rPr>
        <w:t>В тези насоки е предвидено, че активите в инвестиционния портфейл трябва да подсигуряват достатъчна ликвидност по отношение на потенциални искания за плащания по гаранцията, като същеврем</w:t>
      </w:r>
      <w:r>
        <w:rPr>
          <w:noProof/>
        </w:rPr>
        <w:t>енно се цели оптимизиране на нивата на възвръщаемост и на риск, което е съвместимо с поддържането на висока степен на сигурност и стабилност.</w:t>
      </w:r>
    </w:p>
    <w:p w:rsidR="00996002" w:rsidRDefault="00A90561">
      <w:pPr>
        <w:jc w:val="both"/>
        <w:rPr>
          <w:noProof/>
        </w:rPr>
      </w:pPr>
      <w:r>
        <w:rPr>
          <w:noProof/>
        </w:rPr>
        <w:t xml:space="preserve">Бяха приети стратегии за управление на инвестициите и на риска, отразяващи инвестиционните цели и перспективите в </w:t>
      </w:r>
      <w:r>
        <w:rPr>
          <w:noProof/>
        </w:rPr>
        <w:t>създаването на пазарни условия. С инвестиционния подход се целеше засилване на диверсификацията на различните класове активи с фиксиран доход.</w:t>
      </w:r>
    </w:p>
    <w:p w:rsidR="00996002" w:rsidRDefault="00A90561">
      <w:pPr>
        <w:pStyle w:val="Heading2"/>
        <w:rPr>
          <w:noProof/>
        </w:rPr>
      </w:pPr>
      <w:bookmarkStart w:id="10" w:name="_Toc38891115"/>
      <w:bookmarkStart w:id="11" w:name="_Toc46822133"/>
      <w:r>
        <w:rPr>
          <w:noProof/>
        </w:rPr>
        <w:t xml:space="preserve">3.2. </w:t>
      </w:r>
      <w:bookmarkStart w:id="12" w:name="_Toc38891116"/>
      <w:bookmarkEnd w:id="10"/>
      <w:r>
        <w:rPr>
          <w:noProof/>
        </w:rPr>
        <w:t>Състав на портфейла и негови ключови характеристики</w:t>
      </w:r>
      <w:bookmarkEnd w:id="12"/>
      <w:bookmarkEnd w:id="11"/>
    </w:p>
    <w:p w:rsidR="00996002" w:rsidRDefault="00A90561">
      <w:pPr>
        <w:jc w:val="both"/>
        <w:rPr>
          <w:noProof/>
        </w:rPr>
      </w:pPr>
      <w:r>
        <w:rPr>
          <w:noProof/>
        </w:rPr>
        <w:t>Инвестиционната стратегия насочва управлението на активи</w:t>
      </w:r>
      <w:r>
        <w:rPr>
          <w:noProof/>
        </w:rPr>
        <w:t>те на инвестиционния портфейл на Гаранционния фонд на ЕФУР с цел постигане на инвестиционните му цели. Тази инвестиционна стратегия се изразява под формата на референтна стойност, която определя индикативното разпределение на целевите средства за различнит</w:t>
      </w:r>
      <w:r>
        <w:rPr>
          <w:noProof/>
        </w:rPr>
        <w:t>е категории допустими финансови активи в портфейла.</w:t>
      </w:r>
    </w:p>
    <w:p w:rsidR="00996002" w:rsidRDefault="00A90561">
      <w:pPr>
        <w:jc w:val="both"/>
        <w:rPr>
          <w:noProof/>
        </w:rPr>
      </w:pPr>
      <w:r>
        <w:rPr>
          <w:noProof/>
        </w:rPr>
        <w:t xml:space="preserve">На 31 декември 2019 г. инвестиционният портфейл беше съставен предимно от ценни книжа, емитирани от централни правителства, както и от структури на поддържавно равнище, международни организации и агенции </w:t>
      </w:r>
      <w:r>
        <w:rPr>
          <w:noProof/>
        </w:rPr>
        <w:t xml:space="preserve">(SSA) и чужди правителства (45 % от пазарната стойност при референтна стойност от 52 %), необезпечени облигации, емитирани от търговски дружества и финансови институции (22 % от пазарната стойност при референтна стойност от 18 %) и покрити облигации (14 % </w:t>
      </w:r>
      <w:r>
        <w:rPr>
          <w:noProof/>
        </w:rPr>
        <w:t>от пазарната стойност при референтна стойност от 0 % ). Останалата част е разпределена предимно между фондове на паричния пазар.</w:t>
      </w:r>
    </w:p>
    <w:p w:rsidR="00996002" w:rsidRDefault="00A90561">
      <w:pPr>
        <w:jc w:val="both"/>
        <w:rPr>
          <w:noProof/>
        </w:rPr>
      </w:pPr>
      <w:r>
        <w:rPr>
          <w:noProof/>
        </w:rPr>
        <w:t>В края на 2019 г. експозицията на портфейла на облигации, които отговарят на екологични, социални и свързани с управлението кри</w:t>
      </w:r>
      <w:r>
        <w:rPr>
          <w:noProof/>
        </w:rPr>
        <w:t>терии, бе над 2 пъти по-висока в сравнение с референтната стойност.</w:t>
      </w:r>
    </w:p>
    <w:p w:rsidR="00996002" w:rsidRDefault="00A90561">
      <w:pPr>
        <w:jc w:val="both"/>
        <w:rPr>
          <w:noProof/>
        </w:rPr>
      </w:pPr>
      <w:r>
        <w:rPr>
          <w:noProof/>
        </w:rPr>
        <w:t>В края на 2019 г. дюрацията на портфейла беше 2.51 години, а кредитните рейтинги на ценните книжа на ЕФУР се разделят, както следва:</w:t>
      </w:r>
    </w:p>
    <w:p w:rsidR="00996002" w:rsidRDefault="00A90561">
      <w:pPr>
        <w:pStyle w:val="Default"/>
        <w:jc w:val="center"/>
        <w:rPr>
          <w:rFonts w:ascii="Calibri" w:hAnsi="Calibri" w:cs="Calibri"/>
          <w:noProof/>
          <w:color w:val="1F497D"/>
          <w:sz w:val="22"/>
          <w:szCs w:val="22"/>
        </w:rPr>
      </w:pPr>
      <w:r>
        <w:rPr>
          <w:noProof/>
          <w:lang w:val="fr-BE" w:eastAsia="fr-BE"/>
        </w:rPr>
        <w:drawing>
          <wp:inline distT="0" distB="0" distL="0" distR="0">
            <wp:extent cx="3321268" cy="1929162"/>
            <wp:effectExtent l="0" t="0" r="0" b="0"/>
            <wp:docPr id="2" name="Picture 2" descr="cid:image001.jpg@01D6134B.2AD5A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134B.2AD5AD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63512" cy="1953700"/>
                    </a:xfrm>
                    <a:prstGeom prst="rect">
                      <a:avLst/>
                    </a:prstGeom>
                    <a:noFill/>
                    <a:ln>
                      <a:noFill/>
                    </a:ln>
                  </pic:spPr>
                </pic:pic>
              </a:graphicData>
            </a:graphic>
          </wp:inline>
        </w:drawing>
      </w:r>
    </w:p>
    <w:p w:rsidR="00996002" w:rsidRDefault="00A90561">
      <w:pPr>
        <w:jc w:val="both"/>
        <w:rPr>
          <w:noProof/>
        </w:rPr>
      </w:pPr>
      <w:r>
        <w:rPr>
          <w:noProof/>
        </w:rPr>
        <w:t>По-голямата част от портфейла се инвестира в ликвидни</w:t>
      </w:r>
      <w:r>
        <w:rPr>
          <w:noProof/>
        </w:rPr>
        <w:t xml:space="preserve"> ценни книжа, докато една съответна част (14 % от общата стойност на портфейла) е с падеж по-малък от 12 месеца.</w:t>
      </w:r>
    </w:p>
    <w:p w:rsidR="00996002" w:rsidRDefault="00A90561">
      <w:pPr>
        <w:jc w:val="both"/>
        <w:rPr>
          <w:noProof/>
        </w:rPr>
      </w:pPr>
      <w:r>
        <w:rPr>
          <w:noProof/>
        </w:rPr>
        <w:t xml:space="preserve">Профилът на портфейла от гледна точка на дюрацията, кредитния риск и ликвидността е калибриран в съответствие с прогнозираните парични потоци, </w:t>
      </w:r>
      <w:r>
        <w:rPr>
          <w:noProof/>
        </w:rPr>
        <w:t>произтичащи от операции на ЕФУР с гаранция на ЕС (напр. прогнозирани искания за изпълнение по гаранцията, приходи).</w:t>
      </w:r>
    </w:p>
    <w:p w:rsidR="00996002" w:rsidRDefault="00A90561">
      <w:pPr>
        <w:pStyle w:val="Heading2"/>
        <w:rPr>
          <w:noProof/>
        </w:rPr>
      </w:pPr>
      <w:bookmarkStart w:id="13" w:name="_Toc38891117"/>
      <w:bookmarkStart w:id="14" w:name="_Toc46822134"/>
      <w:r>
        <w:rPr>
          <w:noProof/>
        </w:rPr>
        <w:t>3.3. Резултати</w:t>
      </w:r>
      <w:bookmarkEnd w:id="13"/>
      <w:bookmarkEnd w:id="14"/>
    </w:p>
    <w:p w:rsidR="00996002" w:rsidRDefault="00A90561">
      <w:pPr>
        <w:jc w:val="both"/>
        <w:rPr>
          <w:noProof/>
        </w:rPr>
      </w:pPr>
      <w:r>
        <w:rPr>
          <w:noProof/>
        </w:rPr>
        <w:t xml:space="preserve">Годишните резултати са изчислени на претеглена като функция на времето основа, за да не бъдат засегнати от размера на </w:t>
      </w:r>
      <w:r>
        <w:rPr>
          <w:noProof/>
        </w:rPr>
        <w:t>портфейла, който се увеличи значително през годината.</w:t>
      </w:r>
    </w:p>
    <w:p w:rsidR="00996002" w:rsidRDefault="00A90561">
      <w:pPr>
        <w:jc w:val="both"/>
        <w:rPr>
          <w:noProof/>
        </w:rPr>
      </w:pPr>
      <w:r>
        <w:rPr>
          <w:noProof/>
        </w:rPr>
        <w:t>В много трудна пазарна среда, характеризираща се с отрицателна като цяло или ниска в исторически план доходност, съчетана със значителна пазарна нестабилност и несигурност, фондът постигна годишни абсол</w:t>
      </w:r>
      <w:r>
        <w:rPr>
          <w:noProof/>
        </w:rPr>
        <w:t>ютни резултати от 0,242 % през 2019 г. (резултати, изчислени на претеглена като функция на времето основа, преди начисляването на разходи и такси). Тази възвръщаемост е в съответствие с годишния резултат на референтната стойност на ЕФУР(0,149 %) и беше пос</w:t>
      </w:r>
      <w:r>
        <w:rPr>
          <w:noProof/>
        </w:rPr>
        <w:t>тигната на фона на отрицателни лихвени проценти в еврозоната (особено за експозиции, които се възприемат от пазарите като такива „без кредитен риск“ и ликвидни експозиции в Европа).</w:t>
      </w:r>
    </w:p>
    <w:p w:rsidR="00996002" w:rsidRDefault="00A90561">
      <w:pPr>
        <w:pStyle w:val="Heading1"/>
        <w:rPr>
          <w:noProof/>
        </w:rPr>
      </w:pPr>
      <w:bookmarkStart w:id="15" w:name="_Toc38891118"/>
      <w:bookmarkStart w:id="16" w:name="_Toc46822135"/>
      <w:r>
        <w:rPr>
          <w:noProof/>
        </w:rPr>
        <w:t>4. Финансови отчети</w:t>
      </w:r>
      <w:bookmarkEnd w:id="15"/>
      <w:bookmarkEnd w:id="16"/>
    </w:p>
    <w:p w:rsidR="00996002" w:rsidRDefault="00A90561">
      <w:pPr>
        <w:rPr>
          <w:noProof/>
          <w:szCs w:val="24"/>
        </w:rPr>
      </w:pPr>
      <w:r>
        <w:rPr>
          <w:noProof/>
        </w:rPr>
        <w:t>Финансовата информация относно Гаранционния фонд на ЕФ</w:t>
      </w:r>
      <w:r>
        <w:rPr>
          <w:noProof/>
        </w:rPr>
        <w:t>УР е представена по-долу. През 2019 г. нямаше искания за плащане по гаранцията от ЕФУР.</w:t>
      </w:r>
    </w:p>
    <w:p w:rsidR="00996002" w:rsidRDefault="00A90561">
      <w:pPr>
        <w:pStyle w:val="Heading2"/>
        <w:jc w:val="both"/>
        <w:rPr>
          <w:noProof/>
        </w:rPr>
      </w:pPr>
      <w:bookmarkStart w:id="17" w:name="_Toc38891119"/>
      <w:bookmarkStart w:id="18" w:name="_Toc46822136"/>
      <w:r>
        <w:rPr>
          <w:noProof/>
        </w:rPr>
        <w:t>4.1. Финансови отчети на Гаранционния фонд на ЕФУР до 31 декември 2019 г.</w:t>
      </w:r>
      <w:bookmarkEnd w:id="17"/>
      <w:bookmarkEnd w:id="18"/>
    </w:p>
    <w:p w:rsidR="00996002" w:rsidRDefault="00A90561">
      <w:pPr>
        <w:jc w:val="both"/>
        <w:rPr>
          <w:noProof/>
        </w:rPr>
      </w:pPr>
      <w:bookmarkStart w:id="19" w:name="_Toc475538090"/>
      <w:r>
        <w:rPr>
          <w:noProof/>
        </w:rPr>
        <w:t xml:space="preserve">Положителното развитие на пазара със спада на кривата на доходност в евро, съчетано с добрите </w:t>
      </w:r>
      <w:r>
        <w:rPr>
          <w:noProof/>
        </w:rPr>
        <w:t>резултати в повечето сектори с фиксиран доход, както е описано в точка 3.3 по-горе, задържа общите активи на гаранционния фонд на ЕФУР близо до общия размер на вноските във фонда в размер на 600,1 милиона евро и възлизаше на 599,59 милиона евро към 31 деке</w:t>
      </w:r>
      <w:r>
        <w:rPr>
          <w:noProof/>
        </w:rPr>
        <w:t>мври 2019 г. въпреки въздействието на отрицателните лихви. Активите включват портфейла с инвестиционни ценни книжа, класифициран като активи, обявени за продажба (594,71 милиона евро) и пари (4,88 милиона евро).</w:t>
      </w:r>
    </w:p>
    <w:p w:rsidR="00996002" w:rsidRDefault="00A90561">
      <w:pPr>
        <w:jc w:val="both"/>
        <w:rPr>
          <w:noProof/>
        </w:rPr>
      </w:pPr>
      <w:r>
        <w:rPr>
          <w:noProof/>
        </w:rPr>
        <w:t>По отношение на отчета за финансовия резулта</w:t>
      </w:r>
      <w:r>
        <w:rPr>
          <w:noProof/>
        </w:rPr>
        <w:t>т за 2019 г. Гаранционният фонд на ЕФУР приключи годината с леко негативен икономически резултат от -0,26 милиона евро</w:t>
      </w:r>
      <w:r>
        <w:rPr>
          <w:rStyle w:val="FootnoteReference"/>
          <w:noProof/>
          <w:lang w:val="en-IE"/>
        </w:rPr>
        <w:footnoteReference w:id="4"/>
      </w:r>
      <w:r>
        <w:rPr>
          <w:noProof/>
        </w:rPr>
        <w:t>. Основна причина за това са начисляваните отрицателни лихви върху парични наличности и ценни книжа (-0,45 милиона евро), дължащи се на и</w:t>
      </w:r>
      <w:r>
        <w:rPr>
          <w:noProof/>
        </w:rPr>
        <w:t>кономическа среда с предимно негативни лихвени проценти, които само частично можеха да бъдат компенсирани от реализираните печалби от продажби на ценни книжа и предоставяне в заем на ценни книжа (0,19 милиона евро).</w:t>
      </w:r>
    </w:p>
    <w:p w:rsidR="00996002" w:rsidRDefault="00996002">
      <w:pPr>
        <w:rPr>
          <w:b/>
          <w:noProof/>
        </w:rPr>
      </w:pPr>
    </w:p>
    <w:p w:rsidR="00996002" w:rsidRDefault="00A90561">
      <w:pPr>
        <w:rPr>
          <w:b/>
          <w:noProof/>
        </w:rPr>
      </w:pPr>
      <w:r>
        <w:rPr>
          <w:b/>
          <w:noProof/>
        </w:rPr>
        <w:t>Счетоводен баланс към 31 декември 201</w:t>
      </w:r>
      <w:bookmarkEnd w:id="19"/>
      <w:r>
        <w:rPr>
          <w:b/>
          <w:noProof/>
        </w:rPr>
        <w:t xml:space="preserve">9 </w:t>
      </w:r>
      <w:r>
        <w:rPr>
          <w:b/>
          <w:noProof/>
        </w:rPr>
        <w:t>г.</w:t>
      </w:r>
    </w:p>
    <w:p w:rsidR="00996002" w:rsidRDefault="00A90561">
      <w:pPr>
        <w:spacing w:after="0" w:line="240" w:lineRule="auto"/>
        <w:ind w:left="-284" w:firstLine="284"/>
        <w:rPr>
          <w:rFonts w:cs="Arial"/>
          <w:b/>
          <w:bCs/>
          <w:noProof/>
          <w:sz w:val="20"/>
        </w:rPr>
      </w:pPr>
      <w:r>
        <w:rPr>
          <w:noProof/>
          <w:sz w:val="20"/>
        </w:rPr>
        <w:t>(размер на сумите, изразен в EUR)</w:t>
      </w:r>
    </w:p>
    <w:p w:rsidR="00996002" w:rsidRDefault="00996002">
      <w:pPr>
        <w:spacing w:after="0" w:line="240" w:lineRule="auto"/>
        <w:ind w:left="-284"/>
        <w:rPr>
          <w:rFonts w:cs="Arial"/>
          <w:noProof/>
          <w:sz w:val="20"/>
        </w:rPr>
      </w:pPr>
    </w:p>
    <w:tbl>
      <w:tblPr>
        <w:tblW w:w="8505" w:type="dxa"/>
        <w:tblLayout w:type="fixed"/>
        <w:tblCellMar>
          <w:left w:w="0" w:type="dxa"/>
          <w:right w:w="0" w:type="dxa"/>
        </w:tblCellMar>
        <w:tblLook w:val="04A0" w:firstRow="1" w:lastRow="0" w:firstColumn="1" w:lastColumn="0" w:noHBand="0" w:noVBand="1"/>
      </w:tblPr>
      <w:tblGrid>
        <w:gridCol w:w="4678"/>
        <w:gridCol w:w="1985"/>
        <w:gridCol w:w="1842"/>
      </w:tblGrid>
      <w:tr w:rsidR="00996002">
        <w:trPr>
          <w:trHeight w:hRule="exact" w:val="283"/>
        </w:trPr>
        <w:tc>
          <w:tcPr>
            <w:tcW w:w="4678" w:type="dxa"/>
            <w:noWrap/>
            <w:vAlign w:val="bottom"/>
            <w:hideMark/>
          </w:tcPr>
          <w:p w:rsidR="00996002" w:rsidRDefault="00A90561">
            <w:pPr>
              <w:rPr>
                <w:rFonts w:eastAsia="Arial Unicode MS" w:cs="Arial"/>
                <w:b/>
                <w:noProof/>
                <w:sz w:val="20"/>
                <w:u w:val="single"/>
              </w:rPr>
            </w:pPr>
            <w:r>
              <w:rPr>
                <w:b/>
                <w:noProof/>
                <w:sz w:val="20"/>
                <w:u w:val="single"/>
              </w:rPr>
              <w:t>АКТИВИ</w:t>
            </w:r>
          </w:p>
        </w:tc>
        <w:tc>
          <w:tcPr>
            <w:tcW w:w="1985" w:type="dxa"/>
            <w:noWrap/>
            <w:vAlign w:val="bottom"/>
          </w:tcPr>
          <w:p w:rsidR="00996002" w:rsidRDefault="00996002">
            <w:pPr>
              <w:rPr>
                <w:rFonts w:eastAsia="Arial Unicode MS" w:cs="Arial"/>
                <w:noProof/>
                <w:sz w:val="20"/>
              </w:rPr>
            </w:pPr>
          </w:p>
        </w:tc>
        <w:tc>
          <w:tcPr>
            <w:tcW w:w="1842" w:type="dxa"/>
            <w:noWrap/>
            <w:vAlign w:val="bottom"/>
          </w:tcPr>
          <w:p w:rsidR="00996002" w:rsidRDefault="00996002">
            <w:pPr>
              <w:rPr>
                <w:rFonts w:eastAsia="Arial Unicode MS" w:cs="Arial"/>
                <w:noProof/>
                <w:sz w:val="20"/>
              </w:rPr>
            </w:pPr>
          </w:p>
        </w:tc>
      </w:tr>
      <w:tr w:rsidR="00996002">
        <w:trPr>
          <w:trHeight w:hRule="exact" w:val="283"/>
        </w:trPr>
        <w:tc>
          <w:tcPr>
            <w:tcW w:w="4678" w:type="dxa"/>
            <w:tcBorders>
              <w:top w:val="nil"/>
              <w:left w:val="nil"/>
              <w:bottom w:val="single" w:sz="4" w:space="0" w:color="auto"/>
              <w:right w:val="nil"/>
            </w:tcBorders>
            <w:noWrap/>
            <w:vAlign w:val="bottom"/>
          </w:tcPr>
          <w:p w:rsidR="00996002" w:rsidRDefault="00996002">
            <w:pPr>
              <w:rPr>
                <w:rFonts w:eastAsia="Arial Unicode MS" w:cs="Arial"/>
                <w:noProof/>
                <w:sz w:val="20"/>
                <w:u w:val="single"/>
              </w:rPr>
            </w:pPr>
          </w:p>
        </w:tc>
        <w:tc>
          <w:tcPr>
            <w:tcW w:w="1985" w:type="dxa"/>
            <w:tcBorders>
              <w:top w:val="nil"/>
              <w:left w:val="nil"/>
              <w:bottom w:val="single" w:sz="4" w:space="0" w:color="auto"/>
              <w:right w:val="nil"/>
            </w:tcBorders>
            <w:noWrap/>
            <w:vAlign w:val="bottom"/>
          </w:tcPr>
          <w:p w:rsidR="00996002" w:rsidRDefault="00996002">
            <w:pPr>
              <w:rPr>
                <w:rFonts w:eastAsia="Arial Unicode MS" w:cs="Arial"/>
                <w:noProof/>
                <w:sz w:val="20"/>
              </w:rPr>
            </w:pPr>
          </w:p>
        </w:tc>
        <w:tc>
          <w:tcPr>
            <w:tcW w:w="1842" w:type="dxa"/>
            <w:tcBorders>
              <w:top w:val="nil"/>
              <w:left w:val="nil"/>
              <w:bottom w:val="single" w:sz="4" w:space="0" w:color="auto"/>
              <w:right w:val="nil"/>
            </w:tcBorders>
            <w:noWrap/>
            <w:vAlign w:val="bottom"/>
          </w:tcPr>
          <w:p w:rsidR="00996002" w:rsidRDefault="00996002">
            <w:pPr>
              <w:rPr>
                <w:rFonts w:eastAsia="Arial Unicode MS" w:cs="Arial"/>
                <w:noProof/>
                <w:sz w:val="20"/>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996002">
            <w:pPr>
              <w:rPr>
                <w:rFonts w:eastAsia="Arial Unicode M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jc w:val="center"/>
              <w:rPr>
                <w:rFonts w:eastAsia="Arial Unicode MS" w:cs="Arial"/>
                <w:b/>
                <w:bCs/>
                <w:noProof/>
                <w:sz w:val="20"/>
              </w:rPr>
            </w:pPr>
            <w:r>
              <w:rPr>
                <w:b/>
                <w:bCs/>
                <w:noProof/>
                <w:sz w:val="20"/>
              </w:rPr>
              <w:t>31 декември 2019 г.</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jc w:val="center"/>
              <w:rPr>
                <w:rFonts w:eastAsia="Arial Unicode MS" w:cs="Arial"/>
                <w:b/>
                <w:bCs/>
                <w:noProof/>
                <w:sz w:val="20"/>
              </w:rPr>
            </w:pPr>
            <w:r>
              <w:rPr>
                <w:b/>
                <w:bCs/>
                <w:noProof/>
                <w:sz w:val="20"/>
              </w:rPr>
              <w:t>31 декември 2018 г.</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jc w:val="center"/>
              <w:rPr>
                <w:rFonts w:cs="Arial"/>
                <w:b/>
                <w:bCs/>
                <w:noProof/>
                <w:sz w:val="20"/>
              </w:rPr>
            </w:pPr>
            <w:r>
              <w:rPr>
                <w:b/>
                <w:bCs/>
                <w:noProof/>
                <w:sz w:val="20"/>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jc w:val="center"/>
              <w:rPr>
                <w:rFonts w:cs="Arial"/>
                <w:b/>
                <w:bCs/>
                <w:noProof/>
                <w:sz w:val="20"/>
              </w:rPr>
            </w:pPr>
            <w:r>
              <w:rPr>
                <w:b/>
                <w:bCs/>
                <w:noProof/>
                <w:sz w:val="20"/>
              </w:rPr>
              <w:t>EUR</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cs="Arial"/>
                <w:b/>
                <w:bCs/>
                <w:noProof/>
                <w:sz w:val="20"/>
              </w:rPr>
            </w:pPr>
            <w:r>
              <w:rPr>
                <w:b/>
                <w:bCs/>
                <w:noProof/>
                <w:sz w:val="20"/>
              </w:rPr>
              <w:t>НЕТЕКУЩИ АКТИВИ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b/>
                <w:noProof/>
                <w:sz w:val="20"/>
              </w:rPr>
            </w:pPr>
            <w:r>
              <w:rPr>
                <w:b/>
                <w:noProof/>
                <w:sz w:val="20"/>
              </w:rPr>
              <w:t>348 061 980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b/>
                <w:noProof/>
                <w:sz w:val="20"/>
              </w:rPr>
            </w:pPr>
            <w:r>
              <w:rPr>
                <w:b/>
                <w:noProof/>
                <w:sz w:val="20"/>
              </w:rPr>
              <w:t>3 577 001</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cs="Arial"/>
                <w:b/>
                <w:noProof/>
                <w:sz w:val="20"/>
                <w:lang w:eastAsia="ko-KR"/>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cs="Arial"/>
                <w:bCs/>
                <w:noProof/>
                <w:sz w:val="20"/>
              </w:rPr>
            </w:pPr>
            <w:r>
              <w:rPr>
                <w:bCs/>
                <w:noProof/>
                <w:sz w:val="20"/>
              </w:rPr>
              <w:t>Финансови активи, обявени за продажба</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noProof/>
                <w:sz w:val="20"/>
              </w:rPr>
            </w:pPr>
            <w:r>
              <w:rPr>
                <w:noProof/>
                <w:sz w:val="20"/>
              </w:rPr>
              <w:t>348 061 980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noProof/>
                <w:sz w:val="20"/>
              </w:rPr>
            </w:pPr>
            <w:r>
              <w:rPr>
                <w:noProof/>
                <w:sz w:val="20"/>
              </w:rPr>
              <w:t>3 577 001</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cs="Arial"/>
                <w:b/>
                <w:bCs/>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cs="Arial"/>
                <w:b/>
                <w:noProof/>
                <w:sz w:val="20"/>
                <w:lang w:eastAsia="ko-KR"/>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eastAsia="Arial Unicode MS" w:cs="Arial"/>
                <w:b/>
                <w:bCs/>
                <w:noProof/>
                <w:sz w:val="20"/>
              </w:rPr>
            </w:pPr>
            <w:r>
              <w:rPr>
                <w:b/>
                <w:bCs/>
                <w:noProof/>
                <w:sz w:val="20"/>
              </w:rPr>
              <w:t>ТЕКУЩИ АКТИВИ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Times New Roman" w:cs="Arial"/>
                <w:b/>
                <w:noProof/>
                <w:sz w:val="20"/>
              </w:rPr>
            </w:pPr>
            <w:r>
              <w:rPr>
                <w:b/>
                <w:noProof/>
                <w:sz w:val="20"/>
              </w:rPr>
              <w:t>251 527 281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b/>
                <w:noProof/>
                <w:sz w:val="20"/>
              </w:rPr>
            </w:pPr>
            <w:r>
              <w:rPr>
                <w:b/>
                <w:noProof/>
                <w:sz w:val="20"/>
              </w:rPr>
              <w:t>271 469 460</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line="240" w:lineRule="auto"/>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line="240" w:lineRule="auto"/>
              <w:jc w:val="right"/>
              <w:rPr>
                <w:rFonts w:cs="Arial"/>
                <w:b/>
                <w:noProof/>
                <w:sz w:val="20"/>
                <w:lang w:eastAsia="ko-KR"/>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eastAsia="Arial Unicode MS" w:cs="Arial"/>
                <w:bCs/>
                <w:noProof/>
                <w:sz w:val="20"/>
              </w:rPr>
            </w:pPr>
            <w:r>
              <w:rPr>
                <w:bCs/>
                <w:noProof/>
                <w:sz w:val="20"/>
              </w:rPr>
              <w:t>Финансови активи, обявени за продажба</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noProof/>
                <w:sz w:val="20"/>
              </w:rPr>
            </w:pPr>
            <w:r>
              <w:rPr>
                <w:noProof/>
                <w:sz w:val="20"/>
              </w:rPr>
              <w:t>246 643 539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noProof/>
                <w:sz w:val="20"/>
              </w:rPr>
            </w:pPr>
            <w:r>
              <w:rPr>
                <w:noProof/>
                <w:sz w:val="20"/>
              </w:rPr>
              <w:t>5 795 882</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rsidR="00996002" w:rsidRDefault="00996002">
            <w:pPr>
              <w:spacing w:after="0"/>
              <w:rPr>
                <w:rFonts w:eastAsia="Times New Roman"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eastAsia="Times New Roman" w:cs="Arial"/>
                <w:noProof/>
                <w:sz w:val="20"/>
                <w:highlight w:val="yellow"/>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cs="Arial"/>
                <w:noProof/>
                <w:sz w:val="20"/>
                <w:highlight w:val="yellow"/>
                <w:lang w:eastAsia="ko-KR"/>
              </w:rPr>
            </w:pPr>
          </w:p>
        </w:tc>
      </w:tr>
      <w:tr w:rsidR="00996002">
        <w:trPr>
          <w:trHeight w:hRule="exact" w:val="525"/>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6002" w:rsidRDefault="00A90561">
            <w:pPr>
              <w:spacing w:after="0"/>
              <w:rPr>
                <w:rFonts w:cs="Arial"/>
                <w:bCs/>
                <w:noProof/>
                <w:sz w:val="20"/>
              </w:rPr>
            </w:pPr>
            <w:r>
              <w:rPr>
                <w:bCs/>
                <w:noProof/>
                <w:sz w:val="20"/>
              </w:rPr>
              <w:t>Вземания (т.е. такси за предоставяне под наем на ценни книжа)</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noProof/>
                <w:sz w:val="20"/>
              </w:rPr>
            </w:pPr>
            <w:r>
              <w:rPr>
                <w:noProof/>
                <w:sz w:val="20"/>
              </w:rPr>
              <w:t>1 595</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noProof/>
                <w:sz w:val="20"/>
              </w:rPr>
            </w:pPr>
            <w:r>
              <w:rPr>
                <w:noProof/>
                <w:sz w:val="20"/>
              </w:rPr>
              <w:t>-</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rsidR="00996002" w:rsidRDefault="00996002">
            <w:pPr>
              <w:spacing w:after="0"/>
              <w:rPr>
                <w:rFonts w:eastAsia="Times New Roman"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eastAsia="Times New Roman" w:cs="Arial"/>
                <w:noProof/>
                <w:sz w:val="20"/>
                <w:highlight w:val="yellow"/>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cs="Arial"/>
                <w:noProof/>
                <w:sz w:val="20"/>
                <w:highlight w:val="yellow"/>
                <w:lang w:eastAsia="ko-KR"/>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rsidR="00996002" w:rsidRDefault="00996002">
            <w:pPr>
              <w:spacing w:after="0"/>
              <w:rPr>
                <w:rFonts w:eastAsia="Arial Unicode M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eastAsia="Arial Unicode MS" w:cs="Arial"/>
                <w:noProof/>
                <w:sz w:val="20"/>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6002" w:rsidRDefault="00A90561">
            <w:pPr>
              <w:spacing w:after="0"/>
              <w:rPr>
                <w:rFonts w:eastAsia="Arial Unicode MS" w:cs="Arial"/>
                <w:b/>
                <w:bCs/>
                <w:noProof/>
                <w:sz w:val="20"/>
              </w:rPr>
            </w:pPr>
            <w:r>
              <w:rPr>
                <w:b/>
                <w:bCs/>
                <w:noProof/>
                <w:sz w:val="20"/>
              </w:rPr>
              <w:t>Парични средства и парични еквиваленти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noProof/>
                <w:sz w:val="20"/>
              </w:rPr>
            </w:pPr>
            <w:r>
              <w:rPr>
                <w:noProof/>
                <w:sz w:val="20"/>
              </w:rPr>
              <w:t>4 882 147</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noProof/>
                <w:sz w:val="20"/>
              </w:rPr>
            </w:pPr>
            <w:r>
              <w:rPr>
                <w:noProof/>
                <w:sz w:val="20"/>
              </w:rPr>
              <w:t>265 673 578</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6002" w:rsidRDefault="00A90561">
            <w:pPr>
              <w:spacing w:after="0"/>
              <w:ind w:firstLine="142"/>
              <w:rPr>
                <w:rFonts w:eastAsia="Arial Unicode MS" w:cs="Arial"/>
                <w:bCs/>
                <w:i/>
                <w:noProof/>
                <w:sz w:val="20"/>
              </w:rPr>
            </w:pPr>
            <w:r>
              <w:rPr>
                <w:bCs/>
                <w:i/>
                <w:noProof/>
                <w:sz w:val="20"/>
              </w:rPr>
              <w:t>Текущи сметки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i/>
                <w:noProof/>
                <w:sz w:val="20"/>
              </w:rPr>
            </w:pPr>
            <w:r>
              <w:rPr>
                <w:i/>
                <w:noProof/>
                <w:sz w:val="20"/>
              </w:rPr>
              <w:t>4 885 215</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i/>
                <w:noProof/>
                <w:sz w:val="20"/>
              </w:rPr>
            </w:pPr>
            <w:r>
              <w:rPr>
                <w:i/>
                <w:noProof/>
                <w:sz w:val="20"/>
              </w:rPr>
              <w:t>265 721 781</w:t>
            </w:r>
          </w:p>
        </w:tc>
      </w:tr>
      <w:tr w:rsidR="00996002">
        <w:trPr>
          <w:trHeight w:hRule="exact" w:val="537"/>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6002" w:rsidRDefault="00A90561">
            <w:pPr>
              <w:spacing w:after="0"/>
              <w:ind w:firstLine="142"/>
              <w:rPr>
                <w:rFonts w:eastAsia="Times New Roman" w:cs="Arial"/>
                <w:bCs/>
                <w:i/>
                <w:noProof/>
                <w:sz w:val="20"/>
              </w:rPr>
            </w:pPr>
            <w:r>
              <w:rPr>
                <w:bCs/>
                <w:i/>
                <w:noProof/>
                <w:sz w:val="20"/>
              </w:rPr>
              <w:t xml:space="preserve">Начислена лихва по парични средства и парични </w:t>
            </w:r>
            <w:r>
              <w:rPr>
                <w:bCs/>
                <w:i/>
                <w:noProof/>
                <w:sz w:val="20"/>
                <w:lang w:val="en-US"/>
              </w:rPr>
              <w:t>e</w:t>
            </w:r>
            <w:r>
              <w:rPr>
                <w:bCs/>
                <w:i/>
                <w:noProof/>
                <w:sz w:val="20"/>
              </w:rPr>
              <w:t>кв</w:t>
            </w:r>
            <w:r>
              <w:rPr>
                <w:bCs/>
                <w:i/>
                <w:noProof/>
                <w:sz w:val="20"/>
                <w:lang w:val="en-US"/>
              </w:rPr>
              <w:t>u</w:t>
            </w:r>
            <w:r>
              <w:rPr>
                <w:bCs/>
                <w:i/>
                <w:noProof/>
                <w:sz w:val="20"/>
              </w:rPr>
              <w:t>валенти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i/>
                <w:noProof/>
                <w:sz w:val="20"/>
              </w:rPr>
            </w:pPr>
            <w:r>
              <w:rPr>
                <w:i/>
                <w:noProof/>
                <w:sz w:val="20"/>
              </w:rPr>
              <w:t>(3 068)</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i/>
                <w:noProof/>
                <w:sz w:val="20"/>
              </w:rPr>
            </w:pPr>
            <w:r>
              <w:rPr>
                <w:i/>
                <w:noProof/>
                <w:sz w:val="20"/>
              </w:rPr>
              <w:t>(48 203)</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eastAsia="Arial Unicode MS" w:cs="Arial"/>
                <w:noProof/>
                <w:sz w:val="20"/>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eastAsia="Arial Unicode MS" w:cs="Arial"/>
                <w:b/>
                <w:bCs/>
                <w:noProof/>
                <w:sz w:val="20"/>
              </w:rPr>
            </w:pPr>
            <w:r>
              <w:rPr>
                <w:b/>
                <w:bCs/>
                <w:noProof/>
                <w:sz w:val="20"/>
              </w:rPr>
              <w:t xml:space="preserve">ОБЩО АКТИВИ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b/>
                <w:bCs/>
                <w:noProof/>
                <w:sz w:val="20"/>
              </w:rPr>
            </w:pPr>
            <w:r>
              <w:rPr>
                <w:b/>
                <w:bCs/>
                <w:noProof/>
                <w:sz w:val="20"/>
              </w:rPr>
              <w:t>599 589 261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Arial Unicode MS" w:cs="Arial"/>
                <w:b/>
                <w:bCs/>
                <w:noProof/>
                <w:sz w:val="20"/>
              </w:rPr>
            </w:pPr>
            <w:r>
              <w:rPr>
                <w:b/>
                <w:bCs/>
                <w:noProof/>
                <w:sz w:val="20"/>
              </w:rPr>
              <w:t>275 046 461</w:t>
            </w:r>
          </w:p>
        </w:tc>
      </w:tr>
      <w:tr w:rsidR="00996002">
        <w:trPr>
          <w:trHeight w:hRule="exact" w:val="283"/>
        </w:trPr>
        <w:tc>
          <w:tcPr>
            <w:tcW w:w="4678" w:type="dxa"/>
            <w:tcBorders>
              <w:top w:val="single" w:sz="4" w:space="0" w:color="auto"/>
              <w:left w:val="nil"/>
              <w:bottom w:val="nil"/>
              <w:right w:val="nil"/>
            </w:tcBorders>
            <w:noWrap/>
            <w:vAlign w:val="bottom"/>
          </w:tcPr>
          <w:p w:rsidR="00996002" w:rsidRDefault="00996002">
            <w:pPr>
              <w:spacing w:after="0"/>
              <w:rPr>
                <w:rFonts w:eastAsia="Arial Unicode MS" w:cs="Arial"/>
                <w:noProof/>
                <w:sz w:val="20"/>
                <w:u w:val="single"/>
              </w:rPr>
            </w:pPr>
          </w:p>
        </w:tc>
        <w:tc>
          <w:tcPr>
            <w:tcW w:w="1985" w:type="dxa"/>
            <w:tcBorders>
              <w:top w:val="single" w:sz="4" w:space="0" w:color="auto"/>
              <w:left w:val="nil"/>
              <w:bottom w:val="nil"/>
              <w:right w:val="nil"/>
            </w:tcBorders>
            <w:noWrap/>
            <w:vAlign w:val="bottom"/>
          </w:tcPr>
          <w:p w:rsidR="00996002" w:rsidRDefault="00996002">
            <w:pPr>
              <w:spacing w:after="0"/>
              <w:rPr>
                <w:rFonts w:eastAsia="Arial Unicode MS" w:cs="Arial"/>
                <w:noProof/>
                <w:sz w:val="20"/>
              </w:rPr>
            </w:pPr>
          </w:p>
        </w:tc>
        <w:tc>
          <w:tcPr>
            <w:tcW w:w="1842" w:type="dxa"/>
            <w:tcBorders>
              <w:top w:val="single" w:sz="4" w:space="0" w:color="auto"/>
              <w:left w:val="nil"/>
              <w:bottom w:val="nil"/>
              <w:right w:val="nil"/>
            </w:tcBorders>
            <w:noWrap/>
            <w:vAlign w:val="bottom"/>
          </w:tcPr>
          <w:p w:rsidR="00996002" w:rsidRDefault="00996002">
            <w:pPr>
              <w:spacing w:after="0"/>
              <w:rPr>
                <w:rFonts w:eastAsia="Arial Unicode MS" w:cs="Arial"/>
                <w:noProof/>
                <w:sz w:val="20"/>
              </w:rPr>
            </w:pPr>
          </w:p>
        </w:tc>
      </w:tr>
      <w:tr w:rsidR="00996002">
        <w:trPr>
          <w:trHeight w:hRule="exact" w:val="283"/>
        </w:trPr>
        <w:tc>
          <w:tcPr>
            <w:tcW w:w="4678" w:type="dxa"/>
            <w:noWrap/>
            <w:vAlign w:val="bottom"/>
          </w:tcPr>
          <w:p w:rsidR="00996002" w:rsidRDefault="00996002">
            <w:pPr>
              <w:spacing w:after="0" w:line="240" w:lineRule="auto"/>
              <w:rPr>
                <w:rFonts w:eastAsia="Arial Unicode MS" w:cs="Arial"/>
                <w:noProof/>
                <w:sz w:val="20"/>
                <w:u w:val="single"/>
              </w:rPr>
            </w:pPr>
          </w:p>
        </w:tc>
        <w:tc>
          <w:tcPr>
            <w:tcW w:w="1985" w:type="dxa"/>
            <w:noWrap/>
            <w:vAlign w:val="bottom"/>
          </w:tcPr>
          <w:p w:rsidR="00996002" w:rsidRDefault="00996002">
            <w:pPr>
              <w:spacing w:after="0" w:line="240" w:lineRule="auto"/>
              <w:rPr>
                <w:rFonts w:eastAsia="Arial Unicode MS" w:cs="Arial"/>
                <w:noProof/>
                <w:sz w:val="20"/>
              </w:rPr>
            </w:pPr>
          </w:p>
        </w:tc>
        <w:tc>
          <w:tcPr>
            <w:tcW w:w="1842" w:type="dxa"/>
            <w:noWrap/>
            <w:vAlign w:val="bottom"/>
          </w:tcPr>
          <w:p w:rsidR="00996002" w:rsidRDefault="00996002">
            <w:pPr>
              <w:spacing w:after="0" w:line="240" w:lineRule="auto"/>
              <w:rPr>
                <w:rFonts w:eastAsia="Arial Unicode MS" w:cs="Arial"/>
                <w:noProof/>
                <w:sz w:val="20"/>
              </w:rPr>
            </w:pPr>
          </w:p>
        </w:tc>
      </w:tr>
      <w:tr w:rsidR="00996002">
        <w:trPr>
          <w:trHeight w:hRule="exact" w:val="283"/>
        </w:trPr>
        <w:tc>
          <w:tcPr>
            <w:tcW w:w="4678" w:type="dxa"/>
            <w:noWrap/>
            <w:vAlign w:val="bottom"/>
            <w:hideMark/>
          </w:tcPr>
          <w:p w:rsidR="00996002" w:rsidRDefault="00A90561">
            <w:pPr>
              <w:spacing w:after="0"/>
              <w:rPr>
                <w:rFonts w:eastAsia="Arial Unicode MS" w:cs="Arial"/>
                <w:b/>
                <w:noProof/>
                <w:sz w:val="20"/>
                <w:u w:val="single"/>
              </w:rPr>
            </w:pPr>
            <w:r>
              <w:rPr>
                <w:b/>
                <w:noProof/>
                <w:sz w:val="20"/>
                <w:u w:val="single"/>
              </w:rPr>
              <w:t>НЕТНИ АКТИВИ И ПАСИВИ</w:t>
            </w:r>
          </w:p>
        </w:tc>
        <w:tc>
          <w:tcPr>
            <w:tcW w:w="1985" w:type="dxa"/>
            <w:noWrap/>
            <w:vAlign w:val="bottom"/>
          </w:tcPr>
          <w:p w:rsidR="00996002" w:rsidRDefault="00996002">
            <w:pPr>
              <w:spacing w:after="0"/>
              <w:rPr>
                <w:rFonts w:eastAsia="Arial Unicode MS" w:cs="Arial"/>
                <w:noProof/>
                <w:sz w:val="20"/>
                <w:lang w:val="fr-FR"/>
              </w:rPr>
            </w:pPr>
          </w:p>
        </w:tc>
        <w:tc>
          <w:tcPr>
            <w:tcW w:w="1842" w:type="dxa"/>
            <w:noWrap/>
            <w:vAlign w:val="bottom"/>
          </w:tcPr>
          <w:p w:rsidR="00996002" w:rsidRDefault="00996002">
            <w:pPr>
              <w:spacing w:after="0"/>
              <w:rPr>
                <w:rFonts w:eastAsia="Arial Unicode MS" w:cs="Arial"/>
                <w:noProof/>
                <w:sz w:val="20"/>
                <w:lang w:val="fr-FR"/>
              </w:rPr>
            </w:pPr>
          </w:p>
        </w:tc>
      </w:tr>
      <w:tr w:rsidR="00996002">
        <w:trPr>
          <w:trHeight w:hRule="exact" w:val="283"/>
        </w:trPr>
        <w:tc>
          <w:tcPr>
            <w:tcW w:w="4678" w:type="dxa"/>
            <w:tcBorders>
              <w:top w:val="nil"/>
              <w:left w:val="nil"/>
              <w:bottom w:val="single" w:sz="4" w:space="0" w:color="auto"/>
              <w:right w:val="nil"/>
            </w:tcBorders>
            <w:noWrap/>
            <w:vAlign w:val="bottom"/>
          </w:tcPr>
          <w:p w:rsidR="00996002" w:rsidRDefault="00996002">
            <w:pPr>
              <w:spacing w:after="0"/>
              <w:rPr>
                <w:rFonts w:eastAsia="Arial Unicode MS" w:cs="Arial"/>
                <w:noProof/>
                <w:sz w:val="20"/>
                <w:u w:val="single"/>
                <w:lang w:val="fr-FR"/>
              </w:rPr>
            </w:pPr>
          </w:p>
        </w:tc>
        <w:tc>
          <w:tcPr>
            <w:tcW w:w="1985" w:type="dxa"/>
            <w:tcBorders>
              <w:top w:val="nil"/>
              <w:left w:val="nil"/>
              <w:bottom w:val="single" w:sz="4" w:space="0" w:color="auto"/>
              <w:right w:val="nil"/>
            </w:tcBorders>
            <w:noWrap/>
            <w:vAlign w:val="bottom"/>
          </w:tcPr>
          <w:p w:rsidR="00996002" w:rsidRDefault="00996002">
            <w:pPr>
              <w:spacing w:after="0"/>
              <w:rPr>
                <w:rFonts w:eastAsia="Arial Unicode MS" w:cs="Arial"/>
                <w:noProof/>
                <w:sz w:val="20"/>
                <w:lang w:val="fr-FR"/>
              </w:rPr>
            </w:pPr>
          </w:p>
        </w:tc>
        <w:tc>
          <w:tcPr>
            <w:tcW w:w="1842" w:type="dxa"/>
            <w:tcBorders>
              <w:top w:val="nil"/>
              <w:left w:val="nil"/>
              <w:bottom w:val="single" w:sz="4" w:space="0" w:color="auto"/>
              <w:right w:val="nil"/>
            </w:tcBorders>
            <w:noWrap/>
            <w:vAlign w:val="bottom"/>
          </w:tcPr>
          <w:p w:rsidR="00996002" w:rsidRDefault="00996002">
            <w:pPr>
              <w:spacing w:after="0"/>
              <w:rPr>
                <w:rFonts w:eastAsia="Arial Unicode MS" w:cs="Arial"/>
                <w:noProof/>
                <w:sz w:val="20"/>
                <w:lang w:val="fr-FR"/>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996002">
            <w:pPr>
              <w:spacing w:after="0"/>
              <w:rPr>
                <w:rFonts w:eastAsia="Arial Unicode M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jc w:val="center"/>
              <w:rPr>
                <w:rFonts w:eastAsia="Arial Unicode MS" w:cs="Arial"/>
                <w:b/>
                <w:bCs/>
                <w:noProof/>
                <w:sz w:val="20"/>
              </w:rPr>
            </w:pPr>
            <w:r>
              <w:rPr>
                <w:b/>
                <w:bCs/>
                <w:noProof/>
                <w:sz w:val="20"/>
              </w:rPr>
              <w:t>31 декември 2019 г.</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jc w:val="center"/>
              <w:rPr>
                <w:rFonts w:eastAsia="Arial Unicode MS" w:cs="Arial"/>
                <w:b/>
                <w:bCs/>
                <w:noProof/>
                <w:sz w:val="20"/>
              </w:rPr>
            </w:pPr>
            <w:r>
              <w:rPr>
                <w:b/>
                <w:bCs/>
                <w:noProof/>
                <w:sz w:val="20"/>
              </w:rPr>
              <w:t>31 декември 2018 г.</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eastAsia="Times New Roman" w:cs="Arial"/>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jc w:val="center"/>
              <w:rPr>
                <w:rFonts w:cs="Arial"/>
                <w:b/>
                <w:bCs/>
                <w:noProof/>
                <w:sz w:val="20"/>
              </w:rPr>
            </w:pPr>
            <w:r>
              <w:rPr>
                <w:b/>
                <w:bCs/>
                <w:noProof/>
                <w:sz w:val="20"/>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jc w:val="center"/>
              <w:rPr>
                <w:rFonts w:cs="Arial"/>
                <w:b/>
                <w:bCs/>
                <w:noProof/>
                <w:sz w:val="20"/>
              </w:rPr>
            </w:pPr>
            <w:r>
              <w:rPr>
                <w:b/>
                <w:bCs/>
                <w:noProof/>
                <w:sz w:val="20"/>
              </w:rPr>
              <w:t>EUR</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eastAsia="Arial Unicode MS" w:cs="Arial"/>
                <w:b/>
                <w:bCs/>
                <w:noProof/>
                <w:sz w:val="20"/>
              </w:rPr>
            </w:pPr>
            <w:r>
              <w:rPr>
                <w:b/>
                <w:bCs/>
                <w:noProof/>
                <w:sz w:val="20"/>
              </w:rPr>
              <w:t>НЕТНИ АКТИВИ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Times New Roman" w:cs="Arial"/>
                <w:b/>
                <w:bCs/>
                <w:noProof/>
                <w:sz w:val="20"/>
              </w:rPr>
            </w:pPr>
            <w:r>
              <w:rPr>
                <w:b/>
                <w:bCs/>
                <w:noProof/>
                <w:sz w:val="20"/>
              </w:rPr>
              <w:t>599 567 587</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b/>
                <w:bCs/>
                <w:noProof/>
                <w:sz w:val="20"/>
              </w:rPr>
            </w:pPr>
            <w:r>
              <w:rPr>
                <w:b/>
                <w:bCs/>
                <w:noProof/>
                <w:sz w:val="20"/>
              </w:rPr>
              <w:t>275 030 778</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jc w:val="right"/>
              <w:rPr>
                <w:rFonts w:cs="Arial"/>
                <w:b/>
                <w:bCs/>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jc w:val="right"/>
              <w:rPr>
                <w:rFonts w:cs="Arial"/>
                <w:b/>
                <w:bCs/>
                <w:noProof/>
                <w:sz w:val="20"/>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jc w:val="right"/>
              <w:rPr>
                <w:rFonts w:cs="Arial"/>
                <w:b/>
                <w:bCs/>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jc w:val="right"/>
              <w:rPr>
                <w:rFonts w:cs="Arial"/>
                <w:b/>
                <w:bCs/>
                <w:noProof/>
                <w:sz w:val="20"/>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cs="Arial"/>
                <w:bCs/>
                <w:noProof/>
                <w:sz w:val="20"/>
              </w:rPr>
            </w:pPr>
            <w:r>
              <w:rPr>
                <w:bCs/>
                <w:noProof/>
                <w:sz w:val="20"/>
              </w:rPr>
              <w:t>Принос от бюджета на ЕС</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bCs/>
                <w:noProof/>
                <w:sz w:val="20"/>
              </w:rPr>
            </w:pPr>
            <w:r>
              <w:rPr>
                <w:bCs/>
                <w:noProof/>
                <w:sz w:val="20"/>
              </w:rPr>
              <w:t>600 100 000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bCs/>
                <w:noProof/>
                <w:sz w:val="20"/>
              </w:rPr>
            </w:pPr>
            <w:r>
              <w:rPr>
                <w:bCs/>
                <w:noProof/>
                <w:sz w:val="20"/>
              </w:rPr>
              <w:t>275 100 000</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eastAsia="Arial Unicode MS" w:cs="Arial"/>
                <w:bCs/>
                <w:noProof/>
                <w:sz w:val="20"/>
              </w:rPr>
            </w:pPr>
            <w:r>
              <w:rPr>
                <w:bCs/>
                <w:noProof/>
                <w:sz w:val="20"/>
              </w:rPr>
              <w:t>Резерв по справедлива стойност</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Times New Roman" w:cs="Arial"/>
                <w:bCs/>
                <w:noProof/>
                <w:sz w:val="20"/>
              </w:rPr>
            </w:pPr>
            <w:r>
              <w:rPr>
                <w:bCs/>
                <w:noProof/>
                <w:sz w:val="20"/>
              </w:rPr>
              <w:t>(188 713)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bCs/>
                <w:noProof/>
                <w:sz w:val="20"/>
              </w:rPr>
            </w:pPr>
            <w:r>
              <w:rPr>
                <w:bCs/>
                <w:noProof/>
                <w:sz w:val="20"/>
              </w:rPr>
              <w:t>(655)</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cs="Arial"/>
                <w:noProof/>
                <w:sz w:val="20"/>
              </w:rPr>
            </w:pPr>
            <w:r>
              <w:rPr>
                <w:noProof/>
                <w:sz w:val="20"/>
              </w:rPr>
              <w:t>Неразпределена печалба</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A90561">
            <w:pPr>
              <w:spacing w:after="0"/>
              <w:ind w:right="142"/>
              <w:jc w:val="right"/>
              <w:rPr>
                <w:rFonts w:eastAsia="Arial Unicode MS" w:cs="Arial"/>
                <w:noProof/>
                <w:sz w:val="20"/>
              </w:rPr>
            </w:pPr>
            <w:r>
              <w:rPr>
                <w:noProof/>
                <w:sz w:val="20"/>
              </w:rPr>
              <w:t>(68 567)</w:t>
            </w:r>
          </w:p>
          <w:p w:rsidR="00996002" w:rsidRDefault="00996002">
            <w:pPr>
              <w:spacing w:after="0"/>
              <w:ind w:right="142"/>
              <w:jc w:val="right"/>
              <w:rPr>
                <w:rFonts w:eastAsia="Times New Roman"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A90561">
            <w:pPr>
              <w:spacing w:after="0"/>
              <w:ind w:right="142"/>
              <w:jc w:val="right"/>
              <w:rPr>
                <w:rFonts w:eastAsia="Arial Unicode MS" w:cs="Arial"/>
                <w:noProof/>
                <w:sz w:val="20"/>
              </w:rPr>
            </w:pPr>
            <w:r>
              <w:rPr>
                <w:noProof/>
                <w:sz w:val="20"/>
              </w:rPr>
              <w:t>-</w:t>
            </w:r>
          </w:p>
          <w:p w:rsidR="00996002" w:rsidRDefault="00996002">
            <w:pPr>
              <w:spacing w:after="0"/>
              <w:ind w:right="142"/>
              <w:jc w:val="right"/>
              <w:rPr>
                <w:rFonts w:eastAsia="Times New Roman" w:cs="Arial"/>
                <w:noProof/>
                <w:sz w:val="20"/>
              </w:rPr>
            </w:pPr>
          </w:p>
        </w:tc>
      </w:tr>
      <w:tr w:rsidR="00996002">
        <w:trPr>
          <w:trHeight w:hRule="exact" w:val="297"/>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A90561">
            <w:pPr>
              <w:spacing w:after="0"/>
              <w:rPr>
                <w:rFonts w:cs="Arial"/>
                <w:noProof/>
                <w:sz w:val="20"/>
              </w:rPr>
            </w:pPr>
            <w:r>
              <w:rPr>
                <w:noProof/>
                <w:sz w:val="20"/>
              </w:rPr>
              <w:t>Финансов резултат за годината</w:t>
            </w:r>
          </w:p>
          <w:p w:rsidR="00996002" w:rsidRDefault="00996002">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noProof/>
                <w:sz w:val="20"/>
              </w:rPr>
            </w:pPr>
            <w:r>
              <w:rPr>
                <w:noProof/>
                <w:sz w:val="20"/>
              </w:rPr>
              <w:t>(275 133)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noProof/>
                <w:sz w:val="20"/>
              </w:rPr>
            </w:pPr>
            <w:r>
              <w:rPr>
                <w:noProof/>
                <w:sz w:val="20"/>
              </w:rPr>
              <w:t>(68 567)</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eastAsia="Arial Unicode MS" w:cs="Arial"/>
                <w:b/>
                <w:bCs/>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jc w:val="right"/>
              <w:rPr>
                <w:rFonts w:cs="Arial"/>
                <w:b/>
                <w:noProof/>
                <w:sz w:val="20"/>
                <w:lang w:val="fr-F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jc w:val="right"/>
              <w:rPr>
                <w:rFonts w:cs="Arial"/>
                <w:b/>
                <w:noProof/>
                <w:sz w:val="20"/>
                <w:lang w:val="fr-FR"/>
              </w:rPr>
            </w:pP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eastAsia="Arial Unicode MS" w:cs="Arial"/>
                <w:b/>
                <w:bCs/>
                <w:noProof/>
                <w:sz w:val="20"/>
              </w:rPr>
            </w:pPr>
            <w:r>
              <w:rPr>
                <w:b/>
                <w:bCs/>
                <w:noProof/>
                <w:sz w:val="20"/>
              </w:rPr>
              <w:t>ТЕКУЩИ ПАСИВИ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tabs>
                <w:tab w:val="left" w:pos="1558"/>
              </w:tabs>
              <w:spacing w:after="0"/>
              <w:ind w:right="143"/>
              <w:jc w:val="right"/>
              <w:rPr>
                <w:rFonts w:eastAsia="Arial Unicode MS" w:cs="Arial"/>
                <w:b/>
                <w:noProof/>
                <w:sz w:val="20"/>
              </w:rPr>
            </w:pPr>
            <w:r>
              <w:rPr>
                <w:b/>
                <w:noProof/>
                <w:sz w:val="20"/>
              </w:rPr>
              <w:t>21 674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tabs>
                <w:tab w:val="left" w:pos="1558"/>
              </w:tabs>
              <w:spacing w:after="0"/>
              <w:ind w:right="143"/>
              <w:jc w:val="right"/>
              <w:rPr>
                <w:rFonts w:eastAsia="Arial Unicode MS" w:cs="Arial"/>
                <w:b/>
                <w:noProof/>
                <w:sz w:val="20"/>
              </w:rPr>
            </w:pPr>
            <w:r>
              <w:rPr>
                <w:b/>
                <w:noProof/>
                <w:sz w:val="20"/>
              </w:rPr>
              <w:t>15 683</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eastAsia="Times New Roman"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jc w:val="right"/>
              <w:rPr>
                <w:rFont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jc w:val="right"/>
              <w:rPr>
                <w:rFonts w:cs="Arial"/>
                <w:noProof/>
                <w:sz w:val="20"/>
              </w:rPr>
            </w:pPr>
          </w:p>
        </w:tc>
      </w:tr>
      <w:tr w:rsidR="00996002">
        <w:trPr>
          <w:trHeight w:hRule="exact" w:val="34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cs="Arial"/>
                <w:bCs/>
                <w:noProof/>
                <w:sz w:val="20"/>
              </w:rPr>
            </w:pPr>
            <w:r>
              <w:rPr>
                <w:bCs/>
                <w:noProof/>
                <w:sz w:val="20"/>
              </w:rPr>
              <w:t>Други задължения</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noProof/>
                <w:sz w:val="20"/>
              </w:rPr>
            </w:pPr>
            <w:r>
              <w:rPr>
                <w:noProof/>
                <w:sz w:val="20"/>
              </w:rPr>
              <w:t>21 674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noProof/>
                <w:sz w:val="20"/>
              </w:rPr>
            </w:pPr>
            <w:r>
              <w:rPr>
                <w:noProof/>
                <w:sz w:val="20"/>
              </w:rPr>
              <w:t>15 683</w:t>
            </w:r>
          </w:p>
        </w:tc>
      </w:tr>
      <w:tr w:rsidR="00996002">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rPr>
                <w:rFonts w:eastAsia="Arial Unicode M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spacing w:after="0"/>
              <w:ind w:right="142"/>
              <w:jc w:val="right"/>
              <w:rPr>
                <w:rFonts w:eastAsia="Arial Unicode MS" w:cs="Arial"/>
                <w:noProof/>
                <w:sz w:val="20"/>
              </w:rPr>
            </w:pPr>
          </w:p>
        </w:tc>
      </w:tr>
      <w:tr w:rsidR="00996002">
        <w:trPr>
          <w:trHeight w:hRule="exact" w:val="40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rPr>
                <w:rFonts w:eastAsia="Arial Unicode MS" w:cs="Arial"/>
                <w:b/>
                <w:bCs/>
                <w:noProof/>
                <w:sz w:val="20"/>
              </w:rPr>
            </w:pPr>
            <w:r>
              <w:rPr>
                <w:b/>
                <w:bCs/>
                <w:noProof/>
                <w:sz w:val="20"/>
              </w:rPr>
              <w:t>ОБЩО НЕТНИ АКТИВИ И ПАСИВИ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eastAsia="Times New Roman" w:cs="Arial"/>
                <w:b/>
                <w:noProof/>
                <w:sz w:val="20"/>
              </w:rPr>
            </w:pPr>
            <w:r>
              <w:rPr>
                <w:b/>
                <w:bCs/>
                <w:noProof/>
                <w:sz w:val="20"/>
              </w:rPr>
              <w:t>599 589 261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spacing w:after="0"/>
              <w:ind w:right="142"/>
              <w:jc w:val="right"/>
              <w:rPr>
                <w:rFonts w:cs="Arial"/>
                <w:b/>
                <w:noProof/>
                <w:sz w:val="20"/>
              </w:rPr>
            </w:pPr>
            <w:r>
              <w:rPr>
                <w:b/>
                <w:bCs/>
                <w:noProof/>
                <w:sz w:val="20"/>
              </w:rPr>
              <w:t>275 046 461</w:t>
            </w:r>
          </w:p>
        </w:tc>
      </w:tr>
    </w:tbl>
    <w:p w:rsidR="00996002" w:rsidRDefault="00996002">
      <w:pPr>
        <w:rPr>
          <w:noProof/>
        </w:rPr>
      </w:pPr>
    </w:p>
    <w:p w:rsidR="00996002" w:rsidRDefault="00A90561">
      <w:pPr>
        <w:jc w:val="both"/>
        <w:rPr>
          <w:b/>
          <w:noProof/>
        </w:rPr>
      </w:pPr>
      <w:r>
        <w:rPr>
          <w:b/>
          <w:noProof/>
        </w:rPr>
        <w:t>Отчет за финансовите резултати за годината, приключила на 31 декември 2019 г.</w:t>
      </w:r>
    </w:p>
    <w:p w:rsidR="00996002" w:rsidRDefault="00A90561">
      <w:pPr>
        <w:spacing w:after="0" w:line="240" w:lineRule="auto"/>
        <w:ind w:left="-142" w:firstLine="120"/>
        <w:rPr>
          <w:rFonts w:cs="Arial"/>
          <w:noProof/>
          <w:sz w:val="20"/>
        </w:rPr>
      </w:pPr>
      <w:r>
        <w:rPr>
          <w:noProof/>
          <w:sz w:val="20"/>
        </w:rPr>
        <w:t>(размер на сумите, изразен в EUR)</w:t>
      </w:r>
    </w:p>
    <w:p w:rsidR="00996002" w:rsidRDefault="00996002">
      <w:pPr>
        <w:spacing w:after="0" w:line="240" w:lineRule="auto"/>
        <w:ind w:left="-142" w:firstLine="120"/>
        <w:rPr>
          <w:rFonts w:cs="Arial"/>
          <w:b/>
          <w:bCs/>
          <w:noProof/>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1985"/>
        <w:gridCol w:w="1842"/>
      </w:tblGrid>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996002">
            <w:pPr>
              <w:rPr>
                <w:rFonts w:eastAsia="Arial Unicode M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jc w:val="center"/>
              <w:rPr>
                <w:rFonts w:eastAsia="Arial Unicode MS" w:cs="Arial"/>
                <w:b/>
                <w:bCs/>
                <w:noProof/>
                <w:sz w:val="20"/>
              </w:rPr>
            </w:pPr>
            <w:r>
              <w:rPr>
                <w:b/>
                <w:bCs/>
                <w:noProof/>
                <w:sz w:val="20"/>
              </w:rPr>
              <w:t>2019 г.</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jc w:val="center"/>
              <w:rPr>
                <w:rFonts w:eastAsia="Arial Unicode MS" w:cs="Arial"/>
                <w:b/>
                <w:bCs/>
                <w:noProof/>
                <w:sz w:val="20"/>
              </w:rPr>
            </w:pPr>
            <w:r>
              <w:rPr>
                <w:b/>
                <w:bCs/>
                <w:noProof/>
                <w:sz w:val="20"/>
              </w:rPr>
              <w:t>2018 г.</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jc w:val="center"/>
              <w:rPr>
                <w:rFonts w:cs="Arial"/>
                <w:b/>
                <w:bCs/>
                <w:noProof/>
                <w:sz w:val="20"/>
              </w:rPr>
            </w:pPr>
            <w:r>
              <w:rPr>
                <w:b/>
                <w:bCs/>
                <w:noProof/>
                <w:sz w:val="20"/>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jc w:val="center"/>
              <w:rPr>
                <w:rFonts w:cs="Arial"/>
                <w:b/>
                <w:bCs/>
                <w:noProof/>
                <w:sz w:val="20"/>
              </w:rPr>
            </w:pPr>
            <w:r>
              <w:rPr>
                <w:b/>
                <w:bCs/>
                <w:noProof/>
                <w:sz w:val="20"/>
              </w:rPr>
              <w:t>EUR</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rPr>
                <w:rFonts w:cs="Arial"/>
                <w:noProof/>
                <w:sz w:val="20"/>
              </w:rPr>
            </w:pPr>
            <w:r>
              <w:rPr>
                <w:b/>
                <w:noProof/>
                <w:sz w:val="20"/>
              </w:rPr>
              <w:t>Приходи от оперативни дейности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tabs>
                <w:tab w:val="left" w:pos="1558"/>
              </w:tabs>
              <w:spacing w:after="0"/>
              <w:ind w:right="143"/>
              <w:jc w:val="right"/>
              <w:rPr>
                <w:rFonts w:eastAsia="Times New Roman" w:cs="Arial"/>
                <w:b/>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6002" w:rsidRDefault="00A90561">
            <w:pPr>
              <w:tabs>
                <w:tab w:val="left" w:pos="1558"/>
              </w:tabs>
              <w:spacing w:after="0"/>
              <w:ind w:right="143"/>
              <w:jc w:val="right"/>
              <w:rPr>
                <w:rFonts w:cs="Arial"/>
                <w:b/>
                <w:noProof/>
                <w:sz w:val="20"/>
              </w:rPr>
            </w:pPr>
            <w:r>
              <w:rPr>
                <w:noProof/>
                <w:sz w:val="20"/>
              </w:rPr>
              <w:t>-</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002" w:rsidRDefault="00996002">
            <w:pPr>
              <w:tabs>
                <w:tab w:val="left" w:pos="1558"/>
              </w:tabs>
              <w:ind w:right="143"/>
              <w:jc w:val="right"/>
              <w:rPr>
                <w:rFonts w:eastAsia="Times New Roman"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996002" w:rsidRDefault="00996002">
            <w:pPr>
              <w:tabs>
                <w:tab w:val="left" w:pos="1558"/>
              </w:tabs>
              <w:ind w:right="143"/>
              <w:jc w:val="right"/>
              <w:rPr>
                <w:rFonts w:cs="Arial"/>
                <w:noProof/>
                <w:sz w:val="20"/>
              </w:rPr>
            </w:pP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rPr>
                <w:rFonts w:cs="Arial"/>
                <w:noProof/>
                <w:sz w:val="20"/>
              </w:rPr>
            </w:pPr>
            <w:r>
              <w:rPr>
                <w:b/>
                <w:noProof/>
                <w:sz w:val="20"/>
              </w:rPr>
              <w:t xml:space="preserve">Разходи от </w:t>
            </w:r>
            <w:r>
              <w:rPr>
                <w:b/>
                <w:noProof/>
                <w:sz w:val="20"/>
              </w:rPr>
              <w:t>оперативни дейности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6002" w:rsidRDefault="00A90561">
            <w:pPr>
              <w:tabs>
                <w:tab w:val="left" w:pos="1558"/>
              </w:tabs>
              <w:spacing w:after="0"/>
              <w:ind w:right="143"/>
              <w:jc w:val="right"/>
              <w:rPr>
                <w:rFonts w:eastAsia="Times New Roman" w:cs="Arial"/>
                <w:b/>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96002" w:rsidRDefault="00A90561">
            <w:pPr>
              <w:tabs>
                <w:tab w:val="left" w:pos="1558"/>
              </w:tabs>
              <w:spacing w:after="0"/>
              <w:ind w:right="143"/>
              <w:jc w:val="right"/>
              <w:rPr>
                <w:rFonts w:cs="Arial"/>
                <w:b/>
                <w:noProof/>
                <w:sz w:val="20"/>
              </w:rPr>
            </w:pPr>
            <w:r>
              <w:rPr>
                <w:noProof/>
                <w:sz w:val="20"/>
              </w:rPr>
              <w:t>-</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cs="Arial"/>
                <w:noProof/>
                <w:sz w:val="20"/>
              </w:rPr>
            </w:pPr>
            <w:r>
              <w:rPr>
                <w:bCs/>
                <w:noProof/>
                <w:sz w:val="20"/>
              </w:rPr>
              <w:t>Други разходи от оперативни дейности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Arial Unicode MS" w:cs="Arial"/>
                <w:b/>
                <w:noProof/>
                <w:sz w:val="20"/>
              </w:rPr>
            </w:pPr>
            <w:r>
              <w:rPr>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eastAsia="Arial Unicode MS" w:cs="Arial"/>
                <w:b/>
                <w:noProof/>
                <w:sz w:val="20"/>
              </w:rPr>
            </w:pPr>
            <w:r>
              <w:rPr>
                <w:noProof/>
                <w:sz w:val="20"/>
              </w:rPr>
              <w:t>(15 000)</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eastAsia="Arial Unicode MS" w:cs="Arial"/>
                <w:i/>
                <w:noProof/>
                <w:sz w:val="20"/>
              </w:rPr>
            </w:pPr>
            <w:r>
              <w:rPr>
                <w:i/>
                <w:noProof/>
                <w:sz w:val="20"/>
              </w:rPr>
              <w:t xml:space="preserve">     Одиторски такси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cs="Arial"/>
                <w:i/>
                <w:noProof/>
                <w:sz w:val="20"/>
              </w:rPr>
            </w:pPr>
            <w:r>
              <w:rPr>
                <w:i/>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i/>
                <w:noProof/>
                <w:sz w:val="20"/>
              </w:rPr>
            </w:pPr>
            <w:r>
              <w:rPr>
                <w:i/>
                <w:noProof/>
                <w:sz w:val="20"/>
              </w:rPr>
              <w:t>(15 000)</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i/>
                <w:noProof/>
                <w:sz w:val="20"/>
                <w:lang w:eastAsia="ko-KR"/>
              </w:rPr>
            </w:pP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cs="Arial"/>
                <w:noProof/>
                <w:sz w:val="20"/>
              </w:rPr>
            </w:pPr>
            <w:r>
              <w:rPr>
                <w:b/>
                <w:bCs/>
                <w:noProof/>
                <w:sz w:val="20"/>
              </w:rPr>
              <w:t>РЕЗУЛТАТ ОТ ОПЕРАТИВНИ ДЕЙНОСТИ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cs="Arial"/>
                <w:b/>
                <w:noProof/>
                <w:sz w:val="20"/>
              </w:rPr>
            </w:pPr>
            <w:r>
              <w:rPr>
                <w:b/>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b/>
                <w:noProof/>
                <w:sz w:val="20"/>
              </w:rPr>
            </w:pPr>
            <w:r>
              <w:rPr>
                <w:b/>
                <w:noProof/>
                <w:sz w:val="20"/>
              </w:rPr>
              <w:t>(15 000)</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i/>
                <w:noProof/>
                <w:sz w:val="20"/>
                <w:lang w:eastAsia="ko-KR"/>
              </w:rPr>
            </w:pP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eastAsia="Arial Unicode MS" w:cs="Arial"/>
                <w:b/>
                <w:bCs/>
                <w:noProof/>
                <w:sz w:val="20"/>
              </w:rPr>
            </w:pPr>
            <w:r>
              <w:rPr>
                <w:b/>
                <w:bCs/>
                <w:noProof/>
                <w:sz w:val="20"/>
              </w:rPr>
              <w:t>Финансови приходи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Arial Unicode MS" w:cs="Arial"/>
                <w:b/>
                <w:noProof/>
                <w:sz w:val="20"/>
              </w:rPr>
            </w:pPr>
            <w:r>
              <w:rPr>
                <w:b/>
                <w:noProof/>
                <w:sz w:val="20"/>
              </w:rPr>
              <w:t>188 403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eastAsia="Arial Unicode MS" w:cs="Arial"/>
                <w:b/>
                <w:noProof/>
                <w:sz w:val="20"/>
              </w:rPr>
            </w:pPr>
            <w:r>
              <w:rPr>
                <w:b/>
                <w:noProof/>
                <w:sz w:val="20"/>
              </w:rPr>
              <w:t>(1 088)</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eastAsia="Arial Unicode MS" w:cs="Arial"/>
                <w:noProof/>
                <w:sz w:val="20"/>
              </w:rPr>
            </w:pPr>
            <w:r>
              <w:rPr>
                <w:noProof/>
                <w:sz w:val="20"/>
              </w:rPr>
              <w:t>Приход от лихви на:</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Arial Unicode MS" w:cs="Arial"/>
                <w:noProof/>
                <w:sz w:val="20"/>
              </w:rPr>
            </w:pPr>
            <w:r>
              <w:rPr>
                <w:noProof/>
                <w:sz w:val="20"/>
              </w:rPr>
              <w:t>(54 689)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eastAsia="Arial Unicode MS" w:cs="Arial"/>
                <w:noProof/>
                <w:sz w:val="20"/>
              </w:rPr>
            </w:pPr>
            <w:r>
              <w:rPr>
                <w:noProof/>
                <w:sz w:val="20"/>
              </w:rPr>
              <w:t>(1 088)</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eastAsia="Arial Unicode MS" w:cs="Arial"/>
                <w:i/>
                <w:noProof/>
                <w:sz w:val="20"/>
              </w:rPr>
            </w:pPr>
            <w:r>
              <w:rPr>
                <w:i/>
                <w:noProof/>
                <w:sz w:val="20"/>
              </w:rPr>
              <w:t xml:space="preserve">     Парични средства и парични еквиваленти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Times New Roman" w:cs="Arial"/>
                <w:i/>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i/>
                <w:noProof/>
                <w:sz w:val="20"/>
              </w:rPr>
            </w:pPr>
            <w:r>
              <w:rPr>
                <w:noProof/>
                <w:sz w:val="20"/>
              </w:rPr>
              <w:t>-</w:t>
            </w:r>
          </w:p>
        </w:tc>
      </w:tr>
      <w:tr w:rsidR="00996002">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cs="Arial"/>
                <w:i/>
                <w:noProof/>
                <w:sz w:val="20"/>
              </w:rPr>
            </w:pPr>
            <w:r>
              <w:rPr>
                <w:i/>
                <w:noProof/>
                <w:sz w:val="20"/>
              </w:rPr>
              <w:t xml:space="preserve">     Активи, обявени за продажба</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Times New Roman" w:cs="Arial"/>
                <w:i/>
                <w:noProof/>
                <w:sz w:val="20"/>
              </w:rPr>
            </w:pPr>
            <w:r>
              <w:rPr>
                <w:i/>
                <w:noProof/>
                <w:sz w:val="20"/>
              </w:rPr>
              <w:t>(54 689)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i/>
                <w:noProof/>
                <w:sz w:val="20"/>
              </w:rPr>
            </w:pPr>
            <w:r>
              <w:rPr>
                <w:i/>
                <w:noProof/>
                <w:sz w:val="20"/>
              </w:rPr>
              <w:t>(1 088)</w:t>
            </w:r>
          </w:p>
        </w:tc>
      </w:tr>
      <w:tr w:rsidR="00996002">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ind w:firstLine="284"/>
              <w:rPr>
                <w:rFonts w:cs="Arial"/>
                <w:i/>
                <w:noProof/>
                <w:sz w:val="20"/>
              </w:rPr>
            </w:pPr>
            <w:r>
              <w:rPr>
                <w:i/>
                <w:noProof/>
                <w:sz w:val="20"/>
              </w:rPr>
              <w:t>Други приходи от лихви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Times New Roman" w:cs="Arial"/>
                <w:i/>
                <w:noProof/>
                <w:sz w:val="20"/>
              </w:rPr>
            </w:pPr>
            <w:r>
              <w:rPr>
                <w:i/>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i/>
                <w:noProof/>
                <w:sz w:val="20"/>
              </w:rPr>
            </w:pPr>
            <w:r>
              <w:rPr>
                <w:i/>
                <w:noProof/>
                <w:sz w:val="20"/>
              </w:rPr>
              <w:t>-</w:t>
            </w:r>
          </w:p>
        </w:tc>
      </w:tr>
      <w:tr w:rsidR="00996002">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i/>
                <w:noProof/>
                <w:sz w:val="20"/>
                <w:lang w:eastAsia="ko-KR"/>
              </w:rPr>
            </w:pPr>
          </w:p>
        </w:tc>
      </w:tr>
      <w:tr w:rsidR="00996002">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cs="Arial"/>
                <w:i/>
                <w:noProof/>
                <w:sz w:val="20"/>
              </w:rPr>
            </w:pPr>
            <w:r>
              <w:rPr>
                <w:noProof/>
                <w:sz w:val="20"/>
              </w:rPr>
              <w:t>Приходи от налични за продажба (AFS) активи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Times New Roman" w:cs="Arial"/>
                <w:i/>
                <w:noProof/>
                <w:sz w:val="20"/>
              </w:rPr>
            </w:pPr>
            <w:r>
              <w:rPr>
                <w:noProof/>
                <w:sz w:val="20"/>
              </w:rPr>
              <w:t>240 839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i/>
                <w:noProof/>
                <w:sz w:val="20"/>
              </w:rPr>
            </w:pPr>
            <w:r>
              <w:rPr>
                <w:i/>
                <w:noProof/>
                <w:sz w:val="20"/>
              </w:rPr>
              <w:t>-</w:t>
            </w:r>
          </w:p>
        </w:tc>
      </w:tr>
      <w:tr w:rsidR="00996002">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i/>
                <w:noProof/>
                <w:sz w:val="20"/>
                <w:lang w:eastAsia="ko-KR"/>
              </w:rPr>
            </w:pPr>
          </w:p>
        </w:tc>
      </w:tr>
      <w:tr w:rsidR="00996002">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cs="Arial"/>
                <w:i/>
                <w:noProof/>
                <w:sz w:val="20"/>
              </w:rPr>
            </w:pPr>
            <w:r>
              <w:rPr>
                <w:bCs/>
                <w:noProof/>
                <w:sz w:val="20"/>
              </w:rPr>
              <w:t>Доход от предоставяне под наем на ценни книжа</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Times New Roman" w:cs="Arial"/>
                <w:i/>
                <w:noProof/>
                <w:sz w:val="20"/>
              </w:rPr>
            </w:pPr>
            <w:r>
              <w:rPr>
                <w:noProof/>
                <w:sz w:val="20"/>
              </w:rPr>
              <w:t>2 253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i/>
                <w:noProof/>
                <w:sz w:val="20"/>
              </w:rPr>
            </w:pPr>
            <w:r>
              <w:rPr>
                <w:i/>
                <w:noProof/>
                <w:sz w:val="20"/>
              </w:rPr>
              <w:t>-</w:t>
            </w:r>
          </w:p>
        </w:tc>
      </w:tr>
      <w:tr w:rsidR="00996002">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i/>
                <w:noProof/>
                <w:sz w:val="20"/>
                <w:lang w:eastAsia="ko-KR"/>
              </w:rPr>
            </w:pP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eastAsia="Arial Unicode MS" w:cs="Arial"/>
                <w:b/>
                <w:bCs/>
                <w:noProof/>
                <w:sz w:val="20"/>
              </w:rPr>
            </w:pPr>
            <w:r>
              <w:rPr>
                <w:b/>
                <w:bCs/>
                <w:noProof/>
                <w:sz w:val="20"/>
              </w:rPr>
              <w:t>Финансови разходи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Arial Unicode MS" w:cs="Arial"/>
                <w:b/>
                <w:noProof/>
                <w:sz w:val="20"/>
              </w:rPr>
            </w:pPr>
            <w:r>
              <w:rPr>
                <w:b/>
                <w:noProof/>
                <w:sz w:val="20"/>
              </w:rPr>
              <w:t>(448 536)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eastAsia="Arial Unicode MS" w:cs="Arial"/>
                <w:b/>
                <w:noProof/>
                <w:sz w:val="20"/>
              </w:rPr>
            </w:pPr>
            <w:r>
              <w:rPr>
                <w:b/>
                <w:noProof/>
                <w:sz w:val="20"/>
              </w:rPr>
              <w:t>(52 479)</w:t>
            </w:r>
          </w:p>
        </w:tc>
      </w:tr>
      <w:tr w:rsidR="00996002">
        <w:trPr>
          <w:trHeight w:hRule="exact" w:val="597"/>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eastAsia="Times New Roman" w:cs="Arial"/>
                <w:bCs/>
                <w:noProof/>
                <w:sz w:val="20"/>
              </w:rPr>
            </w:pPr>
            <w:r>
              <w:rPr>
                <w:noProof/>
                <w:sz w:val="20"/>
              </w:rPr>
              <w:t>Разходи за лихви по парични средства и парични еквиваленти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Times New Roman" w:cs="Arial"/>
                <w:noProof/>
                <w:sz w:val="20"/>
              </w:rPr>
            </w:pPr>
            <w:r>
              <w:rPr>
                <w:noProof/>
                <w:sz w:val="20"/>
              </w:rPr>
              <w:t>(404 272)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b/>
                <w:noProof/>
                <w:sz w:val="20"/>
              </w:rPr>
            </w:pPr>
            <w:r>
              <w:rPr>
                <w:noProof/>
                <w:sz w:val="20"/>
              </w:rPr>
              <w:t>(50 958)</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eastAsia="Times New Roman"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b/>
                <w:noProof/>
                <w:sz w:val="20"/>
                <w:lang w:eastAsia="ko-KR"/>
              </w:rPr>
            </w:pP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cs="Arial"/>
                <w:b/>
                <w:bCs/>
                <w:noProof/>
                <w:sz w:val="20"/>
              </w:rPr>
            </w:pPr>
            <w:r>
              <w:rPr>
                <w:bCs/>
                <w:noProof/>
                <w:sz w:val="20"/>
              </w:rPr>
              <w:t>Загуби от налични за продажба (AFS) активи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Times New Roman" w:cs="Arial"/>
                <w:noProof/>
                <w:sz w:val="20"/>
              </w:rPr>
            </w:pPr>
            <w:r>
              <w:rPr>
                <w:noProof/>
                <w:sz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noProof/>
                <w:sz w:val="20"/>
              </w:rPr>
            </w:pPr>
            <w:r>
              <w:rPr>
                <w:i/>
                <w:noProof/>
                <w:sz w:val="20"/>
              </w:rPr>
              <w:t>-</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eastAsia="Times New Roman"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b/>
                <w:noProof/>
                <w:sz w:val="20"/>
                <w:lang w:eastAsia="ko-KR"/>
              </w:rPr>
            </w:pP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cs="Arial"/>
                <w:bCs/>
                <w:noProof/>
                <w:sz w:val="20"/>
              </w:rPr>
            </w:pPr>
            <w:r>
              <w:rPr>
                <w:bCs/>
                <w:noProof/>
                <w:sz w:val="20"/>
              </w:rPr>
              <w:t>Такси за попечителство и други финансови разходи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cs="Arial"/>
                <w:noProof/>
                <w:sz w:val="20"/>
              </w:rPr>
            </w:pPr>
            <w:r>
              <w:rPr>
                <w:noProof/>
                <w:sz w:val="20"/>
              </w:rPr>
              <w:t>(44 249)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noProof/>
                <w:sz w:val="20"/>
              </w:rPr>
            </w:pPr>
            <w:r>
              <w:rPr>
                <w:noProof/>
                <w:sz w:val="20"/>
              </w:rPr>
              <w:t>(1 521)</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eastAsia="Times New Roman" w:cs="Arial"/>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noProof/>
                <w:sz w:val="20"/>
                <w:lang w:eastAsia="ko-KR"/>
              </w:rPr>
            </w:pP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cs="Arial"/>
                <w:b/>
                <w:bCs/>
                <w:noProof/>
                <w:sz w:val="20"/>
              </w:rPr>
            </w:pPr>
            <w:r>
              <w:rPr>
                <w:b/>
                <w:bCs/>
                <w:noProof/>
                <w:sz w:val="20"/>
              </w:rPr>
              <w:t xml:space="preserve">ФИНАНСОВ </w:t>
            </w:r>
            <w:r>
              <w:rPr>
                <w:b/>
                <w:bCs/>
                <w:noProof/>
                <w:sz w:val="20"/>
              </w:rPr>
              <w:t>РЕЗУЛТАТ</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Arial Unicode MS" w:cs="Arial"/>
                <w:b/>
                <w:noProof/>
                <w:sz w:val="20"/>
              </w:rPr>
            </w:pPr>
            <w:r>
              <w:rPr>
                <w:b/>
                <w:noProof/>
                <w:sz w:val="20"/>
              </w:rPr>
              <w:t>(260 133)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eastAsia="Arial Unicode MS" w:cs="Arial"/>
                <w:b/>
                <w:noProof/>
                <w:sz w:val="20"/>
              </w:rPr>
            </w:pPr>
            <w:r>
              <w:rPr>
                <w:b/>
                <w:noProof/>
                <w:sz w:val="20"/>
              </w:rPr>
              <w:t>(53 567)</w:t>
            </w: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spacing w:after="0"/>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6002" w:rsidRDefault="00996002">
            <w:pPr>
              <w:tabs>
                <w:tab w:val="left" w:pos="1558"/>
              </w:tabs>
              <w:spacing w:after="0"/>
              <w:ind w:right="143"/>
              <w:jc w:val="right"/>
              <w:rPr>
                <w:rFont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6002" w:rsidRDefault="00996002">
            <w:pPr>
              <w:tabs>
                <w:tab w:val="left" w:pos="1558"/>
              </w:tabs>
              <w:spacing w:after="0"/>
              <w:ind w:right="143"/>
              <w:jc w:val="right"/>
              <w:rPr>
                <w:rFonts w:cs="Arial"/>
                <w:noProof/>
                <w:sz w:val="20"/>
              </w:rPr>
            </w:pPr>
          </w:p>
        </w:tc>
      </w:tr>
      <w:tr w:rsidR="00996002">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spacing w:after="0"/>
              <w:rPr>
                <w:rFonts w:eastAsia="Arial Unicode MS" w:cs="Arial"/>
                <w:b/>
                <w:bCs/>
                <w:noProof/>
                <w:sz w:val="20"/>
              </w:rPr>
            </w:pPr>
            <w:r>
              <w:rPr>
                <w:b/>
                <w:bCs/>
                <w:noProof/>
                <w:sz w:val="20"/>
              </w:rPr>
              <w:t>ИКОНОМИЧЕСКИ РЕЗУЛТАТ ЗА ГОДИНАТА</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96002" w:rsidRDefault="00A90561">
            <w:pPr>
              <w:tabs>
                <w:tab w:val="left" w:pos="1558"/>
              </w:tabs>
              <w:spacing w:after="0"/>
              <w:ind w:right="143"/>
              <w:jc w:val="right"/>
              <w:rPr>
                <w:rFonts w:eastAsia="Times New Roman" w:cs="Arial"/>
                <w:b/>
                <w:noProof/>
                <w:sz w:val="20"/>
                <w:highlight w:val="yellow"/>
              </w:rPr>
            </w:pPr>
            <w:r>
              <w:rPr>
                <w:b/>
                <w:noProof/>
                <w:sz w:val="20"/>
              </w:rPr>
              <w:t>(275 133)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6002" w:rsidRDefault="00A90561">
            <w:pPr>
              <w:tabs>
                <w:tab w:val="left" w:pos="1558"/>
              </w:tabs>
              <w:spacing w:after="0"/>
              <w:ind w:right="143"/>
              <w:jc w:val="right"/>
              <w:rPr>
                <w:rFonts w:cs="Arial"/>
                <w:b/>
                <w:noProof/>
                <w:sz w:val="20"/>
                <w:highlight w:val="yellow"/>
              </w:rPr>
            </w:pPr>
            <w:r>
              <w:rPr>
                <w:b/>
                <w:noProof/>
                <w:sz w:val="20"/>
              </w:rPr>
              <w:t>(68 567)</w:t>
            </w:r>
          </w:p>
        </w:tc>
      </w:tr>
    </w:tbl>
    <w:p w:rsidR="00996002" w:rsidRDefault="00996002">
      <w:pPr>
        <w:pStyle w:val="Footer"/>
        <w:tabs>
          <w:tab w:val="left" w:pos="708"/>
        </w:tabs>
        <w:rPr>
          <w:rFonts w:ascii="Arial" w:hAnsi="Arial" w:cs="Arial"/>
          <w:noProof/>
          <w:sz w:val="22"/>
          <w:szCs w:val="20"/>
        </w:rPr>
      </w:pPr>
    </w:p>
    <w:p w:rsidR="00996002" w:rsidRDefault="00A90561">
      <w:pPr>
        <w:rPr>
          <w:noProof/>
        </w:rPr>
      </w:pPr>
      <w:r>
        <w:rPr>
          <w:noProof/>
        </w:rPr>
        <w:br w:type="page"/>
      </w:r>
    </w:p>
    <w:p w:rsidR="00996002" w:rsidRDefault="00A90561">
      <w:pPr>
        <w:pStyle w:val="Heading2"/>
        <w:rPr>
          <w:noProof/>
        </w:rPr>
      </w:pPr>
      <w:bookmarkStart w:id="20" w:name="_Toc38891120"/>
      <w:bookmarkStart w:id="21" w:name="_Toc46822137"/>
      <w:r>
        <w:rPr>
          <w:noProof/>
        </w:rPr>
        <w:t>4.2. Обезпечаване</w:t>
      </w:r>
      <w:bookmarkEnd w:id="20"/>
      <w:bookmarkEnd w:id="21"/>
    </w:p>
    <w:p w:rsidR="00996002" w:rsidRDefault="00A90561">
      <w:pPr>
        <w:jc w:val="both"/>
        <w:rPr>
          <w:noProof/>
          <w:szCs w:val="24"/>
        </w:rPr>
      </w:pPr>
      <w:r>
        <w:rPr>
          <w:noProof/>
        </w:rPr>
        <w:t xml:space="preserve">Гаранционният фонд на ЕФУР се финансира от бюджета на Съюза и от Европейския фонд за развитие (ЕФР). За настоящата МФР (2014—2020 г.) подробните </w:t>
      </w:r>
      <w:r>
        <w:rPr>
          <w:noProof/>
        </w:rPr>
        <w:t>източници на финансиране на Гаранционния фонд на ЕФУР включват: 400 000 000 евро от общия резерв на ЕФР и 350 000 000 евро от общия бюджет на Съюза, включително от Европейския инструмент за съседство (ЕИС). Гаранционният фонд на ЕФУР може да бъде финансира</w:t>
      </w:r>
      <w:r>
        <w:rPr>
          <w:noProof/>
        </w:rPr>
        <w:t xml:space="preserve">н също чрез доброволни вноски от държавите членки или други финансиращи субекти, приходи от инвестирани ресурси, приходи и суми, събрани от неизправни длъжници. Естония, Чешката република, Дания и фондация „Бил и Мелинда Гейтс“ подписаха с края на 2019 г. </w:t>
      </w:r>
      <w:r>
        <w:rPr>
          <w:noProof/>
        </w:rPr>
        <w:t>споразумения за допълнителни вноски в размер на около 49 милиона евро</w:t>
      </w:r>
      <w:r>
        <w:rPr>
          <w:rStyle w:val="FootnoteReference"/>
          <w:noProof/>
          <w:szCs w:val="24"/>
        </w:rPr>
        <w:footnoteReference w:id="5"/>
      </w:r>
      <w:r>
        <w:rPr>
          <w:noProof/>
        </w:rPr>
        <w:t>.</w:t>
      </w:r>
    </w:p>
    <w:p w:rsidR="00996002" w:rsidRDefault="00A90561">
      <w:pPr>
        <w:suppressAutoHyphens/>
        <w:jc w:val="both"/>
        <w:rPr>
          <w:noProof/>
          <w:szCs w:val="24"/>
        </w:rPr>
      </w:pPr>
      <w:r>
        <w:rPr>
          <w:noProof/>
        </w:rPr>
        <w:t xml:space="preserve">Гаранционният фонд беше създаден през 2018 г., а първото плащане — на стойност 75 милиона евро, беше извършено през ноември 2018 г. До 31 декември 2019 г. общият размер на плащанията, </w:t>
      </w:r>
      <w:r>
        <w:rPr>
          <w:noProof/>
        </w:rPr>
        <w:t>получени от бюджета на ЕС в Гаранционния фонд, възлизаше на 600,1 милиона евро. До края на 2019 г. не е имало искания за плащания по гаранцията от ЕФУР.</w:t>
      </w:r>
    </w:p>
    <w:p w:rsidR="00996002" w:rsidRDefault="00A90561">
      <w:pPr>
        <w:pStyle w:val="Heading1"/>
        <w:rPr>
          <w:noProof/>
        </w:rPr>
      </w:pPr>
      <w:bookmarkStart w:id="22" w:name="_Toc38891121"/>
      <w:bookmarkStart w:id="23" w:name="_Toc46822138"/>
      <w:r>
        <w:rPr>
          <w:noProof/>
        </w:rPr>
        <w:t>5. Оценка на това доколко са подходящи целевият размер и равнището на Гаранционния фонд на ЕФУР</w:t>
      </w:r>
      <w:bookmarkEnd w:id="22"/>
      <w:bookmarkEnd w:id="23"/>
    </w:p>
    <w:p w:rsidR="00996002" w:rsidRDefault="00A90561">
      <w:pPr>
        <w:jc w:val="both"/>
        <w:rPr>
          <w:noProof/>
          <w:lang w:val="en-US"/>
        </w:rPr>
      </w:pPr>
      <w:r>
        <w:rPr>
          <w:noProof/>
        </w:rPr>
        <w:t>До 31 д</w:t>
      </w:r>
      <w:r>
        <w:rPr>
          <w:noProof/>
        </w:rPr>
        <w:t>екември 2019 г. бяха сключени общо три споразумения за гаранцията от ЕФУР, възлизащи на 165 милиона евро, включително едно, подписано през 2018 г., и две през 2019 г</w:t>
      </w:r>
      <w:r>
        <w:rPr>
          <w:rStyle w:val="FootnoteReference"/>
          <w:noProof/>
        </w:rPr>
        <w:footnoteReference w:id="6"/>
      </w:r>
      <w:r>
        <w:rPr>
          <w:noProof/>
          <w:lang w:val="en-US"/>
        </w:rPr>
        <w:t>.</w:t>
      </w:r>
    </w:p>
    <w:p w:rsidR="00996002" w:rsidRDefault="00A90561">
      <w:pPr>
        <w:jc w:val="both"/>
        <w:rPr>
          <w:noProof/>
        </w:rPr>
      </w:pPr>
      <w:r>
        <w:rPr>
          <w:noProof/>
        </w:rPr>
        <w:t>Целевият размер на Гаранционния фонд на ЕФУР беше определен на 50 % от общите задължения</w:t>
      </w:r>
      <w:r>
        <w:rPr>
          <w:noProof/>
        </w:rPr>
        <w:t xml:space="preserve"> по гаранцията на ЕС. Общият размер на плащанията, получени от бюджета на ЕС към Гаранционния фонд към 31 декември 2019 г., възлиза на 600,1 милиона евро, като по този начин финансирането покрива изцяло риска на подписаните гаранции.</w:t>
      </w:r>
    </w:p>
    <w:p w:rsidR="00996002" w:rsidRDefault="00A90561">
      <w:pPr>
        <w:jc w:val="both"/>
        <w:rPr>
          <w:noProof/>
        </w:rPr>
      </w:pPr>
      <w:r>
        <w:rPr>
          <w:noProof/>
        </w:rPr>
        <w:t>В съответствие с член </w:t>
      </w:r>
      <w:r>
        <w:rPr>
          <w:noProof/>
        </w:rPr>
        <w:t>4, параграф 2 от Регламента за ЕФУР при оперативното управление на ЕФУР Комисията се подпомага от Групата за техническа оценка на гаранцията (G-TAG), съставена от експерти по кредитен риск от няколко европейски финансови институции. Ролята на G-TAG е да пр</w:t>
      </w:r>
      <w:r>
        <w:rPr>
          <w:noProof/>
        </w:rPr>
        <w:t>едоставя на Комисията независим и безпристрастен технически експертен опит по въпроси, свързани с банковия сектор, за да подкрепя решенията ѝ, свързани с разпределянето на гаранцията от ЕФУР, както и относно мониторинга на риска по време на изпълнението на</w:t>
      </w:r>
      <w:r>
        <w:rPr>
          <w:noProof/>
        </w:rPr>
        <w:t xml:space="preserve"> проектите, които използват средства от гаранцията.</w:t>
      </w:r>
    </w:p>
    <w:sectPr w:rsidR="00996002">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02" w:rsidRDefault="00A90561">
      <w:pPr>
        <w:spacing w:after="0" w:line="240" w:lineRule="auto"/>
      </w:pPr>
      <w:r>
        <w:separator/>
      </w:r>
    </w:p>
  </w:endnote>
  <w:endnote w:type="continuationSeparator" w:id="0">
    <w:p w:rsidR="00996002" w:rsidRDefault="00A90561">
      <w:pPr>
        <w:spacing w:after="0" w:line="240" w:lineRule="auto"/>
      </w:pPr>
      <w:r>
        <w:continuationSeparator/>
      </w:r>
    </w:p>
  </w:endnote>
  <w:endnote w:type="continuationNotice" w:id="1">
    <w:p w:rsidR="00996002" w:rsidRDefault="00996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A90561">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9673"/>
      <w:docPartObj>
        <w:docPartGallery w:val="Page Numbers (Bottom of Page)"/>
        <w:docPartUnique/>
      </w:docPartObj>
    </w:sdtPr>
    <w:sdtEndPr>
      <w:rPr>
        <w:noProof/>
      </w:rPr>
    </w:sdtEndPr>
    <w:sdtContent>
      <w:p w:rsidR="00996002" w:rsidRDefault="00A90561">
        <w:pPr>
          <w:pStyle w:val="Footer"/>
          <w:jc w:val="right"/>
        </w:pPr>
        <w:r>
          <w:fldChar w:fldCharType="begin"/>
        </w:r>
        <w:r>
          <w:instrText xml:space="preserve"> PAGE   \* MERGEFORMAT </w:instrText>
        </w:r>
        <w:r>
          <w:fldChar w:fldCharType="separate"/>
        </w:r>
        <w:r>
          <w:rPr>
            <w:noProof/>
          </w:rPr>
          <w:t>1</w:t>
        </w:r>
        <w:r>
          <w:fldChar w:fldCharType="end"/>
        </w:r>
      </w:p>
    </w:sdtContent>
  </w:sdt>
  <w:p w:rsidR="00996002" w:rsidRDefault="009960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02" w:rsidRDefault="00A90561">
      <w:pPr>
        <w:spacing w:after="0" w:line="240" w:lineRule="auto"/>
      </w:pPr>
      <w:r>
        <w:separator/>
      </w:r>
    </w:p>
  </w:footnote>
  <w:footnote w:type="continuationSeparator" w:id="0">
    <w:p w:rsidR="00996002" w:rsidRDefault="00A90561">
      <w:pPr>
        <w:spacing w:after="0" w:line="240" w:lineRule="auto"/>
      </w:pPr>
      <w:r>
        <w:continuationSeparator/>
      </w:r>
    </w:p>
  </w:footnote>
  <w:footnote w:type="continuationNotice" w:id="1">
    <w:p w:rsidR="00996002" w:rsidRDefault="00996002">
      <w:pPr>
        <w:spacing w:after="0" w:line="240" w:lineRule="auto"/>
      </w:pPr>
    </w:p>
  </w:footnote>
  <w:footnote w:id="2">
    <w:p w:rsidR="00996002" w:rsidRDefault="00A90561">
      <w:pPr>
        <w:pStyle w:val="FootnoteText"/>
        <w:ind w:left="284" w:hanging="284"/>
        <w:jc w:val="both"/>
      </w:pPr>
      <w:r>
        <w:rPr>
          <w:rStyle w:val="FootnoteReference"/>
        </w:rPr>
        <w:footnoteRef/>
      </w:r>
      <w:r>
        <w:t xml:space="preserve"> Регламент (ЕС) 2017/1601 на Европейския парламент и на Съвета от 26 септември 2017 година за създаване на Европейски фонд за устойчиво развитие, гаранция от ЕФУР и Гаранционен фонд на ЕФУР.</w:t>
      </w:r>
    </w:p>
  </w:footnote>
  <w:footnote w:id="3">
    <w:p w:rsidR="00996002" w:rsidRDefault="00A90561">
      <w:pPr>
        <w:pStyle w:val="FootnoteText"/>
        <w:ind w:left="284" w:hanging="284"/>
        <w:jc w:val="both"/>
        <w:rPr>
          <w:lang w:val="en-US"/>
        </w:rPr>
      </w:pPr>
      <w:r>
        <w:rPr>
          <w:rStyle w:val="FootnoteReference"/>
        </w:rPr>
        <w:footnoteRef/>
      </w:r>
      <w:r>
        <w:t xml:space="preserve"> COM(2020) 224, Доклад на Комисията до Европейския парламент и С</w:t>
      </w:r>
      <w:r>
        <w:t>ъвета относно изпълнението на Европейския фонд за устойчиво развитие</w:t>
      </w:r>
      <w:r>
        <w:rPr>
          <w:lang w:val="en-US"/>
        </w:rPr>
        <w:t>.</w:t>
      </w:r>
    </w:p>
  </w:footnote>
  <w:footnote w:id="4">
    <w:p w:rsidR="00996002" w:rsidRDefault="00A90561">
      <w:pPr>
        <w:pStyle w:val="FootnoteText"/>
        <w:ind w:left="284" w:hanging="284"/>
        <w:jc w:val="both"/>
      </w:pPr>
      <w:r>
        <w:rPr>
          <w:rStyle w:val="FootnoteReference"/>
        </w:rPr>
        <w:footnoteRef/>
      </w:r>
      <w:r>
        <w:t xml:space="preserve"> Това е в съответствие със среднопретеглената възвръщаемост от -0,103 %, която отчита значително нарастващия размер на Гаранционния фонд на ЕФУР през 2019 г. поради бюджетни вноски във </w:t>
      </w:r>
      <w:r>
        <w:t>фаза на изграждане. Среднопретеглената възвръщаемост е била по-ниска през 2019 г., отколкото резултатите, изчислени на претеглена като функция на времето основа, посочени в точка 3.3. Среднопретеглената във времето възвръщаемост е официалният показател, до</w:t>
      </w:r>
      <w:r>
        <w:t>кладван за всички дейности по управление на активи на ЕО, тъй като тя дава възможност да се отстранят изкривяващите ефекти, породени от входящите и изходящите капиталови потоци.</w:t>
      </w:r>
    </w:p>
  </w:footnote>
  <w:footnote w:id="5">
    <w:p w:rsidR="00996002" w:rsidRDefault="00A90561">
      <w:pPr>
        <w:pStyle w:val="FootnoteText"/>
        <w:ind w:left="284" w:hanging="284"/>
      </w:pPr>
      <w:r>
        <w:rPr>
          <w:rStyle w:val="FootnoteReference"/>
        </w:rPr>
        <w:footnoteRef/>
      </w:r>
      <w:r>
        <w:t xml:space="preserve"> Естония: 100 000 EUR; Чешка република: 300 000 EUR; Дания: Около 9,4 милиона</w:t>
      </w:r>
      <w:r>
        <w:t xml:space="preserve"> EUR; Фондация „Бил и Мелинда Гейтс“: около 39,2 милиона EUR (50 милиона USD) — с внесени 19,2 милиона EUR.</w:t>
      </w:r>
    </w:p>
  </w:footnote>
  <w:footnote w:id="6">
    <w:p w:rsidR="00996002" w:rsidRDefault="00A90561">
      <w:pPr>
        <w:pStyle w:val="FootnoteText"/>
        <w:ind w:left="284" w:hanging="284"/>
        <w:jc w:val="both"/>
      </w:pPr>
      <w:r>
        <w:rPr>
          <w:rStyle w:val="FootnoteReference"/>
        </w:rPr>
        <w:footnoteRef/>
      </w:r>
      <w:r>
        <w:t xml:space="preserve"> Още четири допълнителни споразумения за общата сума от 196 милиона евро бяха подписани до април 2020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002" w:rsidRDefault="00996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34728B7"/>
    <w:multiLevelType w:val="hybridMultilevel"/>
    <w:tmpl w:val="66D0B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2F6EE1A-53F7-45B4-BBCD-08E18B34B3A0"/>
    <w:docVar w:name="LW_COVERPAGE_TYPE" w:val="1"/>
    <w:docVar w:name="LW_CROSSREFERENCE" w:val="&lt;UNUSED&gt;"/>
    <w:docVar w:name="LW_DocType" w:val="NORMAL"/>
    <w:docVar w:name="LW_EMISSION" w:val="31.7.2020"/>
    <w:docVar w:name="LW_EMISSION_ISODATE" w:val="2020-07-31"/>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u1086?\u1090?\u1085?\u1086?\u1089?\u1085?\u1086? \u1091?\u1087?\u1088?\u1072?\u1074?\u1083?\u1077?\u1085?\u1080?\u1077?\u1090?\u1086? \u1085?\u1072? \u1043?\u1072?\u1088?\u1072?\u1085?\u1094?\u1080?\u1086?\u1085?\u1085?\u1080?\u1103? \u1092?\u1086?\u1085?\u1076?_x000d__x000d__x000d__x000b_&lt;FMT:Bold&gt;\u1085?\u1072? \u1045?\u1074?\u1088?\u1086?\u1087?\u1077?\u1081?\u1089?\u1082?\u1080?\u1103? \u1092?\u1086?\u1085?\u1076? \u1079?\u1072? \u1091?\u1089?\u1090?\u1086?\u1081?\u1095?\u1080?\u1074?\u1086? \u1088?\u1072?\u1079?\u1074?\u1080?\u1090?\u1080?\u1077? &lt;/FMT&gt;_x000d__x000d__x000d__x000d__x000b__x000d__x000d__x000d__x000d__x000b__x000d__x000d__x000d__x000d__x000b__x000d__x000d__x000d__x000d__x000b__x000d__x000d__x000d__x000d__x000b__x000d__x000d__x000d__x000d__x000d__x000b__x000d__x000d__x000d__x000d__x000d__x000d__x000b_"/>
    <w:docVar w:name="LW_TYPE.DOC.CP" w:val="\u1044?\u1054?\u1050?\u1051?\u1040?\u1044? \u1054?\u1058? \u1050?\u1054?\u1052?\u1048?\u1057?\u1048?\u1071?\u1058?\u1040? \u1044?\u1054? \u1045?\u1042?\u1056?\u1054?\u1055?\u1045?\u1049?\u1057?\u1050?\u1048?\u1071? \u1055?\u1040?\u1056?\u1051?\u1040?\u1052?\u1045?\u1053?\u1058?, \u1057?\u1066?\u1042?\u1045?\u1058?\u1040? \u1048? \u1045?\u1042?\u1056?\u1054?\u1055?\u1045?\u1049?\u1057?\u1050?\u1040?\u1058?\u1040? \u1057?\u1052?\u1045?\u1058?\u1053?\u1040? \u1055?\u1040?\u1051?\u1040?\u1058?\u1040?_x000b_"/>
  </w:docVars>
  <w:rsids>
    <w:rsidRoot w:val="00996002"/>
    <w:rsid w:val="00996002"/>
    <w:rsid w:val="00A90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FDD08E8-696F-4A7B-B635-3B26755C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spacing w:before="600" w:after="360"/>
      <w:outlineLvl w:val="0"/>
    </w:pPr>
    <w:rPr>
      <w:rFonts w:eastAsiaTheme="majorEastAsia" w:cstheme="majorBidi"/>
      <w:b/>
      <w:smallCaps/>
      <w:color w:val="000000" w:themeColor="text1"/>
      <w:sz w:val="28"/>
      <w:szCs w:val="32"/>
    </w:rPr>
  </w:style>
  <w:style w:type="paragraph" w:styleId="Heading2">
    <w:name w:val="heading 2"/>
    <w:basedOn w:val="Normal"/>
    <w:next w:val="Normal"/>
    <w:link w:val="Heading2Char"/>
    <w:uiPriority w:val="9"/>
    <w:unhideWhenUsed/>
    <w:qFormat/>
    <w:pPr>
      <w:keepNext/>
      <w:keepLines/>
      <w:spacing w:before="360" w:after="36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color w:val="000000" w:themeColor="text1"/>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ootnote,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Footnote Char"/>
    <w:basedOn w:val="DefaultParagraphFont"/>
    <w:link w:val="FootnoteText"/>
    <w:uiPriority w:val="99"/>
    <w:rPr>
      <w:rFonts w:ascii="Times New Roman" w:hAnsi="Times New Roman"/>
      <w:sz w:val="20"/>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BVI fnr,ftref"/>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after="160" w:line="240" w:lineRule="exact"/>
    </w:pPr>
    <w:rPr>
      <w:rFonts w:asciiTheme="minorHAnsi" w:hAnsiTheme="minorHAnsi"/>
      <w:sz w:val="22"/>
      <w:vertAlign w:val="superscript"/>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TOCHeadingChar">
    <w:name w:val="TOC Heading Char"/>
    <w:basedOn w:val="Heading1Char"/>
    <w:link w:val="TOCHeading"/>
    <w:uiPriority w:val="39"/>
    <w:rPr>
      <w:rFonts w:ascii="Times New Roman" w:eastAsiaTheme="majorEastAsia" w:hAnsi="Times New Roman" w:cstheme="majorBidi"/>
      <w:b/>
      <w:smallCaps/>
      <w:color w:val="000000" w:themeColor="text1"/>
      <w:sz w:val="28"/>
      <w:szCs w:val="32"/>
      <w:lang w:val="bg-BG"/>
    </w:rPr>
  </w:style>
  <w:style w:type="character" w:customStyle="1" w:styleId="FooterCoverPageChar">
    <w:name w:val="Footer Cover Page Char"/>
    <w:basedOn w:val="TOCHeadingChar"/>
    <w:link w:val="FooterCoverPage"/>
    <w:rPr>
      <w:rFonts w:ascii="Times New Roman" w:eastAsiaTheme="majorEastAsia" w:hAnsi="Times New Roman" w:cstheme="majorBidi"/>
      <w:b w:val="0"/>
      <w:smallCaps w:val="0"/>
      <w:color w:val="000000" w:themeColor="text1"/>
      <w:sz w:val="24"/>
      <w:szCs w:val="3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Pr>
      <w:rFonts w:ascii="Times New Roman" w:eastAsiaTheme="majorEastAsia" w:hAnsi="Times New Roman" w:cstheme="majorBidi"/>
      <w:b/>
      <w:smallCaps w:val="0"/>
      <w:color w:val="000000" w:themeColor="text1"/>
      <w:sz w:val="32"/>
      <w:szCs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TOCHeadingChar"/>
    <w:link w:val="HeaderCoverPage"/>
    <w:rPr>
      <w:rFonts w:ascii="Times New Roman" w:eastAsiaTheme="majorEastAsia" w:hAnsi="Times New Roman" w:cstheme="majorBidi"/>
      <w:b w:val="0"/>
      <w:smallCaps w:val="0"/>
      <w:color w:val="000000" w:themeColor="text1"/>
      <w:sz w:val="24"/>
      <w:szCs w:val="3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Pr>
      <w:rFonts w:ascii="Times New Roman" w:eastAsiaTheme="majorEastAsia" w:hAnsi="Times New Roman" w:cstheme="majorBidi"/>
      <w:b/>
      <w:smallCaps w:val="0"/>
      <w:color w:val="000000" w:themeColor="text1"/>
      <w:sz w:val="32"/>
      <w:szCs w:val="32"/>
      <w:lang w:val="bg-BG"/>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heme="majorBidi"/>
      <w:b w:val="0"/>
      <w:smallCaps w:val="0"/>
      <w:color w:val="000000" w:themeColor="text1"/>
      <w:sz w:val="28"/>
      <w:szCs w:val="32"/>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 w:type="paragraph" w:styleId="ListParagraph">
    <w:name w:val="List Paragraph"/>
    <w:basedOn w:val="Normal"/>
    <w:uiPriority w:val="34"/>
    <w:qFormat/>
    <w:pPr>
      <w:spacing w:after="0" w:line="240" w:lineRule="auto"/>
      <w:ind w:left="720"/>
    </w:pPr>
    <w:rPr>
      <w:rFonts w:ascii="Calibri" w:hAnsi="Calibri" w:cs="Calibr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6252">
      <w:bodyDiv w:val="1"/>
      <w:marLeft w:val="0"/>
      <w:marRight w:val="0"/>
      <w:marTop w:val="0"/>
      <w:marBottom w:val="0"/>
      <w:divBdr>
        <w:top w:val="none" w:sz="0" w:space="0" w:color="auto"/>
        <w:left w:val="none" w:sz="0" w:space="0" w:color="auto"/>
        <w:bottom w:val="none" w:sz="0" w:space="0" w:color="auto"/>
        <w:right w:val="none" w:sz="0" w:space="0" w:color="auto"/>
      </w:divBdr>
    </w:div>
    <w:div w:id="99237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cid:image001.jpg@01D6134B.2AD5AD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cec/sg/vista/home?documentDetails&amp;DocRef=C/2017/7693&amp;ComCat=SPINE"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9670-C4A3-4D65-9B29-9564E08A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2048</Words>
  <Characters>10881</Characters>
  <Application>Microsoft Office Word</Application>
  <DocSecurity>0</DocSecurity>
  <Lines>418</Lines>
  <Paragraphs>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24</cp:revision>
  <dcterms:created xsi:type="dcterms:W3CDTF">2020-07-17T11:55:00Z</dcterms:created>
  <dcterms:modified xsi:type="dcterms:W3CDTF">2020-07-31T05:57:00Z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7.0.1, Build 20190916</vt:lpwstr>
  </property>
</Properties>
</file>