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9F6C6A3-E9BA-48D0-AE94-41F92246E9F6" style="width:450.35pt;height:334.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 относно упражняването на правомощието за приемане на делегирани актове, предоставено на Комисията по силата на Директива (ЕС) 2015/2193 за ограничаване на емисиите във въздуха на определени замърсители, изпускани от средни горивни инсталации</w:t>
      </w:r>
    </w:p>
    <w:p>
      <w:pPr>
        <w:rPr>
          <w:rFonts w:ascii="Times New Roman" w:hAnsi="Times New Roman" w:cs="Times New Roman"/>
          <w:noProof/>
          <w:sz w:val="24"/>
          <w:szCs w:val="24"/>
        </w:rPr>
      </w:pPr>
      <w:r>
        <w:rPr>
          <w:rFonts w:ascii="Times New Roman" w:hAnsi="Times New Roman"/>
          <w:noProof/>
          <w:sz w:val="24"/>
          <w:szCs w:val="24"/>
        </w:rPr>
        <w:t xml:space="preserve">1. ВЪВЕДЕНИЕ </w:t>
      </w:r>
    </w:p>
    <w:p>
      <w:pPr>
        <w:jc w:val="both"/>
        <w:rPr>
          <w:rFonts w:ascii="Times New Roman" w:hAnsi="Times New Roman" w:cs="Times New Roman"/>
          <w:noProof/>
          <w:sz w:val="24"/>
          <w:szCs w:val="24"/>
        </w:rPr>
      </w:pPr>
      <w:r>
        <w:rPr>
          <w:rFonts w:ascii="Times New Roman" w:hAnsi="Times New Roman"/>
          <w:noProof/>
          <w:sz w:val="24"/>
          <w:szCs w:val="24"/>
        </w:rPr>
        <w:t>С Директива (ЕС) 2015/</w:t>
      </w:r>
      <w:r>
        <w:rPr>
          <w:rFonts w:ascii="Times New Roman" w:hAnsi="Times New Roman"/>
          <w:noProof/>
          <w:sz w:val="24"/>
          <w:szCs w:val="24"/>
          <w:lang w:val="ru-RU"/>
        </w:rPr>
        <w:t>2</w:t>
      </w:r>
      <w:r>
        <w:rPr>
          <w:rFonts w:ascii="Times New Roman" w:hAnsi="Times New Roman"/>
          <w:noProof/>
          <w:sz w:val="24"/>
          <w:szCs w:val="24"/>
        </w:rPr>
        <w:t>193</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на Европейския парламент и на Съвета от 25 ноември 2015 г. беше въведена регулаторна рамка за ограничаване на емисиите на серен диоксид (SO</w:t>
      </w:r>
      <w:r>
        <w:rPr>
          <w:rFonts w:ascii="Times New Roman" w:hAnsi="Times New Roman"/>
          <w:noProof/>
          <w:sz w:val="24"/>
          <w:szCs w:val="24"/>
          <w:vertAlign w:val="subscript"/>
        </w:rPr>
        <w:t>2</w:t>
      </w:r>
      <w:r>
        <w:rPr>
          <w:rFonts w:ascii="Times New Roman" w:hAnsi="Times New Roman"/>
          <w:noProof/>
          <w:sz w:val="24"/>
          <w:szCs w:val="24"/>
        </w:rPr>
        <w:t xml:space="preserve">), азотни оксиди (NOx) и прах във въздуха от средни горивни инсталации, с цел да се намалят свързаните с това рискове за човешкото здраве и околната среда. С тази директива също така се определят правила за мониторинг на емисиите на въглероден моноксид (CO). С член 13 на Комисията се предоставя правомощието да приема делегирани актове за адаптиране на разпоредбите относно оценката на съответствието, определени в част 2, точка 2 от приложение III към нея, към научния и техническия прогрес.  </w:t>
      </w:r>
    </w:p>
    <w:p>
      <w:pPr>
        <w:rPr>
          <w:rFonts w:ascii="Times New Roman" w:hAnsi="Times New Roman" w:cs="Times New Roman"/>
          <w:noProof/>
          <w:sz w:val="24"/>
          <w:szCs w:val="24"/>
        </w:rPr>
      </w:pPr>
      <w:r>
        <w:rPr>
          <w:rFonts w:ascii="Times New Roman" w:hAnsi="Times New Roman"/>
          <w:noProof/>
          <w:sz w:val="24"/>
          <w:szCs w:val="24"/>
        </w:rPr>
        <w:t xml:space="preserve">2. ПРАВНО ОСНОВАНИЕ </w:t>
      </w:r>
    </w:p>
    <w:p>
      <w:pPr>
        <w:jc w:val="both"/>
        <w:rPr>
          <w:rFonts w:ascii="Times New Roman" w:hAnsi="Times New Roman" w:cs="Times New Roman"/>
          <w:noProof/>
          <w:sz w:val="24"/>
          <w:szCs w:val="24"/>
        </w:rPr>
      </w:pPr>
      <w:r>
        <w:rPr>
          <w:rFonts w:ascii="Times New Roman" w:hAnsi="Times New Roman"/>
          <w:noProof/>
          <w:sz w:val="24"/>
          <w:szCs w:val="24"/>
        </w:rPr>
        <w:t>Настоящият доклад се изисква по силата на член 14, параграф 2 от Директива (ЕС) 2015/2193, съгласно който правомощието за приемане на делегирани актове се предоставя на Комисията за срок от пет години, считано от 18 декември 2015 г. В него също така се изисква от Комисията да изготви доклад относно делегирането на правомощия. Делегирането на правомощия се продължава мълчаливо за срокове с еднаква продължителност, освен ако Европейският парламент или Съветът възразят срещу подобно удължаване не по-късно от три месеца преди изтичането на всеки срок. В член 14, параграф 3 се посочва, че делегирането на правомощия може да бъде оттеглено по всяко време от Европейския парламент или от Съвета.</w:t>
      </w:r>
    </w:p>
    <w:p>
      <w:pPr>
        <w:rPr>
          <w:rFonts w:ascii="Times New Roman" w:hAnsi="Times New Roman" w:cs="Times New Roman"/>
          <w:noProof/>
          <w:sz w:val="24"/>
          <w:szCs w:val="24"/>
        </w:rPr>
      </w:pPr>
      <w:r>
        <w:rPr>
          <w:rFonts w:ascii="Times New Roman" w:hAnsi="Times New Roman"/>
          <w:noProof/>
          <w:sz w:val="24"/>
          <w:szCs w:val="24"/>
        </w:rPr>
        <w:t xml:space="preserve">3. УПРАЖНЯВАНЕ НА ДЕЛЕГИРАНЕТО </w:t>
      </w:r>
    </w:p>
    <w:p>
      <w:pPr>
        <w:spacing w:before="60"/>
        <w:jc w:val="both"/>
        <w:rPr>
          <w:rFonts w:ascii="Times New Roman" w:hAnsi="Times New Roman" w:cs="Times New Roman"/>
          <w:noProof/>
          <w:sz w:val="24"/>
          <w:szCs w:val="24"/>
        </w:rPr>
      </w:pPr>
      <w:r>
        <w:rPr>
          <w:rFonts w:ascii="Times New Roman" w:hAnsi="Times New Roman"/>
          <w:noProof/>
          <w:sz w:val="24"/>
          <w:szCs w:val="24"/>
        </w:rPr>
        <w:t>Комисията докладва, че не е приемала делегирани актове, предвид i)</w:t>
      </w:r>
      <w:r>
        <w:rPr>
          <w:noProof/>
        </w:rPr>
        <w:t xml:space="preserve"> </w:t>
      </w:r>
      <w:r>
        <w:rPr>
          <w:rFonts w:ascii="Times New Roman" w:hAnsi="Times New Roman"/>
          <w:noProof/>
          <w:sz w:val="24"/>
          <w:szCs w:val="24"/>
        </w:rPr>
        <w:t>датите на прилагане на Директива (ЕС) 2015/2193 и ii) липсата на информация относно техническия и научния прогрес, свързан със съответните разпоредби на Директива 2010/75/ЕС относно емисиите от промишлеността (ДЕП), т.е. част 4, точка 1 от приложение V</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r>
        <w:rPr>
          <w:rFonts w:ascii="Calibri" w:hAnsi="Calibri"/>
          <w:noProof/>
          <w:color w:val="000000" w:themeColor="text1"/>
        </w:rPr>
        <w:t xml:space="preserve"> </w:t>
      </w:r>
    </w:p>
    <w:p>
      <w:pPr>
        <w:spacing w:before="60"/>
        <w:jc w:val="both"/>
        <w:rPr>
          <w:rFonts w:ascii="Calibri" w:hAnsi="Calibri" w:cs="Calibri"/>
          <w:noProof/>
          <w:color w:val="000000" w:themeColor="text1"/>
        </w:rPr>
      </w:pPr>
      <w:r>
        <w:rPr>
          <w:rFonts w:ascii="Times New Roman" w:hAnsi="Times New Roman"/>
          <w:noProof/>
          <w:sz w:val="24"/>
          <w:szCs w:val="24"/>
        </w:rPr>
        <w:t>По-специално, макар че Директива (ЕС) 2015/2193 се прилага от 20 декември 2018 г. за „нови“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инсталации, тя ще се прилага за „съществуващи“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инсталации едва от 2025 г. или 2030 г., в зависимост от тяхната номинална входяща топлинна мощност. Следователно, тъй като съществуващите правила за оценка на съответствието фактически са прилагани едва за няколко „нови“ инсталации, т.е. тези, които са монтирани от 20 декември 2018 г. насам, не е налична достатъчно информация относно прилагането на настоящите правила за привеждане в съответствие, за да може да се извърши оценка дали е необходимо евентуално адаптиране на съществуващите разпоредби.</w:t>
      </w:r>
      <w:r>
        <w:rPr>
          <w:rFonts w:ascii="Calibri" w:hAnsi="Calibri"/>
          <w:noProof/>
          <w:color w:val="000000" w:themeColor="text1"/>
        </w:rPr>
        <w:t xml:space="preserve"> </w:t>
      </w:r>
    </w:p>
    <w:p>
      <w:pPr>
        <w:spacing w:before="60"/>
        <w:jc w:val="both"/>
        <w:rPr>
          <w:rFonts w:ascii="Times New Roman" w:hAnsi="Times New Roman" w:cs="Times New Roman"/>
          <w:noProof/>
          <w:sz w:val="24"/>
          <w:szCs w:val="24"/>
        </w:rPr>
      </w:pPr>
      <w:r>
        <w:rPr>
          <w:rFonts w:ascii="Times New Roman" w:hAnsi="Times New Roman"/>
          <w:noProof/>
          <w:sz w:val="24"/>
          <w:szCs w:val="24"/>
        </w:rPr>
        <w:t xml:space="preserve">В допълнение, там където разпоредбите относно оценката на съответствието, определени в част 2, точка 2 от приложение III към Директива (ЕС) 2015/2193, се позовават на разпоредбите за оценка на съответствието, определени в част 4, точка 1 от приложение V към ДЕП, тези разпоредби на ДЕП не са актуализирани след влизането на ДЕП в сила.  </w:t>
      </w:r>
    </w:p>
    <w:p>
      <w:pPr>
        <w:rPr>
          <w:rFonts w:ascii="Times New Roman" w:hAnsi="Times New Roman" w:cs="Times New Roman"/>
          <w:noProof/>
          <w:sz w:val="24"/>
          <w:szCs w:val="24"/>
        </w:rPr>
      </w:pPr>
      <w:r>
        <w:rPr>
          <w:rFonts w:ascii="Times New Roman" w:hAnsi="Times New Roman"/>
          <w:noProof/>
          <w:sz w:val="24"/>
          <w:szCs w:val="24"/>
        </w:rPr>
        <w:t xml:space="preserve">4. ЗАКЛЮЧЕНИЕ </w:t>
      </w:r>
    </w:p>
    <w:p>
      <w:pPr>
        <w:jc w:val="both"/>
        <w:rPr>
          <w:noProof/>
        </w:rPr>
      </w:pPr>
      <w:r>
        <w:rPr>
          <w:rFonts w:ascii="Times New Roman" w:hAnsi="Times New Roman"/>
          <w:noProof/>
          <w:sz w:val="24"/>
          <w:szCs w:val="24"/>
        </w:rPr>
        <w:t>През последните пет години Комисията не е упражнявала делегираните правомощия, предоставени ѝ по силата на Директива (ЕС) 2015/2193. Тя приканва Европейския парламент и Съвета да вземат под внимание настоящия доклад.</w:t>
      </w:r>
      <w:r>
        <w:rPr>
          <w:noProof/>
        </w:rPr>
        <w:t xml:space="preserve"> </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79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cstheme="minorHAnsi"/>
        </w:rPr>
      </w:pPr>
      <w:r>
        <w:rPr>
          <w:rStyle w:val="FootnoteReference"/>
          <w:rFonts w:cstheme="minorHAnsi"/>
        </w:rPr>
        <w:footnoteRef/>
      </w:r>
      <w:r>
        <w:t xml:space="preserve"> ОВ L 313, 28.11.2015 г., стр. 1.</w:t>
      </w:r>
    </w:p>
  </w:footnote>
  <w:footnote w:id="2">
    <w:p>
      <w:pPr>
        <w:pStyle w:val="FootnoteText"/>
      </w:pPr>
      <w:r>
        <w:rPr>
          <w:rStyle w:val="FootnoteReference"/>
        </w:rPr>
        <w:footnoteRef/>
      </w:r>
      <w:r>
        <w:t xml:space="preserve"> ОВ L 334, 17.12.2010 г., стр. 17.</w:t>
      </w:r>
    </w:p>
  </w:footnote>
  <w:footnote w:id="3">
    <w:p>
      <w:pPr>
        <w:pStyle w:val="FootnoteText"/>
        <w:jc w:val="both"/>
      </w:pPr>
      <w:r>
        <w:rPr>
          <w:rStyle w:val="FootnoteReference"/>
          <w:rFonts w:cstheme="minorHAnsi"/>
        </w:rPr>
        <w:footnoteRef/>
      </w:r>
      <w:r>
        <w:t xml:space="preserve"> „Нова“ горивна инсталация съгласно Директива (ЕС) 2015/2193 се определя като „горивна инсталация, различна от съществуваща горивна инсталация“.</w:t>
      </w:r>
      <w:r>
        <w:rPr>
          <w:i/>
        </w:rPr>
        <w:t xml:space="preserve"> </w:t>
      </w:r>
    </w:p>
  </w:footnote>
  <w:footnote w:id="4">
    <w:p>
      <w:pPr>
        <w:spacing w:after="0" w:line="240" w:lineRule="auto"/>
        <w:jc w:val="both"/>
        <w:rPr>
          <w:rFonts w:cstheme="minorHAnsi"/>
        </w:rPr>
      </w:pPr>
      <w:r>
        <w:rPr>
          <w:rStyle w:val="FootnoteReference"/>
          <w:rFonts w:cstheme="minorHAnsi"/>
          <w:sz w:val="20"/>
          <w:szCs w:val="20"/>
        </w:rPr>
        <w:footnoteRef/>
      </w:r>
      <w:r>
        <w:rPr>
          <w:sz w:val="20"/>
          <w:szCs w:val="20"/>
        </w:rPr>
        <w:t xml:space="preserve"> „Съществуваща“ средна горивна инсталация съгласно Директива (ЕС) 2015/2193 се определя като „</w:t>
      </w:r>
      <w:r>
        <w:rPr>
          <w:i/>
          <w:sz w:val="20"/>
          <w:szCs w:val="20"/>
        </w:rPr>
        <w:t>горивна инсталация, въведена в експлоатация преди 20 декември 2018 г. или за която е издадено разрешително преди 19 декември 2017 г. в съответствие с националното законодателство, при условие че инсталацията е въведена в експлоатация не по-късно от 20 декември 2018 г.“</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F6C6A3-E9BA-48D0-AE94-41F92246E9F6"/>
    <w:docVar w:name="LW_COVERPAGE_TYPE" w:val="1"/>
    <w:docVar w:name="LW_CROSSREFERENCE" w:val="&lt;UNUSED&gt;"/>
    <w:docVar w:name="LW_DocType" w:val="NORMAL"/>
    <w:docVar w:name="LW_EMISSION" w:val="3.8.2020"/>
    <w:docVar w:name="LW_EMISSION_ISODATE" w:val="2020-08-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44?\u1080?\u1088?\u1077?\u1082?\u1090?\u1080?\u1074?\u1072? (\u1045?\u1057?) 2015/2193 \u1079?\u1072? \u1086?\u1075?\u1088?\u1072?\u1085?\u1080?\u1095?\u1072?\u1074?\u1072?\u1085?\u1077? \u1085?\u1072? \u1077?\u1084?\u1080?\u1089?\u1080?\u1080?\u1090?\u1077? \u1074?\u1098?\u1074? \u1074?\u1098?\u1079?\u1076?\u1091?\u1093?\u1072? \u1085?\u1072? \u1086?\u1087?\u1088?\u1077?\u1076?\u1077?\u1083?\u1077?\u1085?\u1080? \u1079?\u1072?\u1084?\u1098?\u1088?\u1089?\u1080?\u1090?\u1077?\u1083?\u1080?, \u1080?\u1079?\u1087?\u1091?\u1089?\u1082?\u1072?\u1085?\u1080? \u1086?\u1090? \u1089?\u1088?\u1077?\u1076?\u1085?\u1080? \u1075?\u1086?\u1088?\u1080?\u1074?\u1085?\u1080? \u1080?\u1085?\u1089?\u1090?\u1072?\u1083?\u1072?\u1094?\u1080?\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ECE0-2081-44DD-8A49-5174B410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493</Words>
  <Characters>2771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2020-06-29T13:09:00Z</dcterms:created>
  <dcterms:modified xsi:type="dcterms:W3CDTF">2020-07-24T07:02:00Z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