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BF483DB-2807-4C76-8F38-B616E1377A0A" style="width:450.8pt;height:365.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Международния съвет по зърното</w:t>
      </w:r>
      <w:r>
        <w:t xml:space="preserve"> </w:t>
      </w:r>
      <w:r>
        <w:rPr>
          <w:noProof/>
        </w:rPr>
        <w:t xml:space="preserve">във връзка с присъединяването на Обединеното кралство към </w:t>
      </w:r>
      <w:r>
        <w:rPr>
          <w:b/>
          <w:noProof/>
        </w:rPr>
        <w:t>Конвенцията за търговията със зърно от 1995 г.</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Конвенцията за търговията със зърно от 1995 г.</w:t>
      </w:r>
    </w:p>
    <w:p>
      <w:pPr>
        <w:rPr>
          <w:rFonts w:eastAsia="Arial Unicode MS"/>
          <w:noProof/>
        </w:rPr>
      </w:pPr>
      <w:r>
        <w:rPr>
          <w:noProof/>
        </w:rPr>
        <w:t>С Конвенцията за търговията със зърно от 1995 г. (наричана по-долу „Конвенцията“) се цели да се развива международното сътрудничество във всички аспекти на търговията със зърно, да се насърчава разширяването на международната търговия със зърно и да се осигурява възможно най-свободното протичане на търговията на тези стоки. Освен това с Конвенцията се цели да се допринесе възможно най-пълно за стабилността на международните пазари на зърно в интерес на всички членове, да се засили продоволствената сигурност в световен мащаб и да се предостави форум за обмен на информация и обсъждане на въпросите и опасенията на членовете във връзка с търговията със зърно.</w:t>
      </w:r>
    </w:p>
    <w:p>
      <w:pPr>
        <w:rPr>
          <w:rFonts w:eastAsia="Arial Unicode MS"/>
          <w:noProof/>
        </w:rPr>
      </w:pPr>
      <w:r>
        <w:rPr>
          <w:noProof/>
        </w:rPr>
        <w:t xml:space="preserve">Конвенцията влезе в сила на 1 юли 1995 г. </w:t>
      </w:r>
    </w:p>
    <w:p>
      <w:pPr>
        <w:rPr>
          <w:rFonts w:eastAsia="Arial Unicode MS"/>
          <w:noProof/>
        </w:rPr>
      </w:pPr>
      <w:r>
        <w:rPr>
          <w:noProof/>
        </w:rPr>
        <w:t>Съюзът е страна по Конвенцията</w:t>
      </w:r>
      <w:r>
        <w:rPr>
          <w:rStyle w:val="FootnoteReference"/>
          <w:rFonts w:eastAsia="Arial Unicode MS"/>
          <w:noProof/>
        </w:rPr>
        <w:footnoteReference w:id="1"/>
      </w:r>
      <w:r>
        <w:rPr>
          <w:noProof/>
        </w:rPr>
        <w:t>.</w:t>
      </w:r>
    </w:p>
    <w:p>
      <w:pPr>
        <w:pStyle w:val="ManualHeading2"/>
        <w:rPr>
          <w:noProof/>
        </w:rPr>
      </w:pPr>
      <w:r>
        <w:t>2.2.</w:t>
      </w:r>
      <w:r>
        <w:tab/>
      </w:r>
      <w:r>
        <w:rPr>
          <w:noProof/>
        </w:rPr>
        <w:t>Международен съвет по зърното</w:t>
      </w:r>
    </w:p>
    <w:p>
      <w:pPr>
        <w:rPr>
          <w:rFonts w:eastAsia="Arial Unicode MS"/>
          <w:noProof/>
        </w:rPr>
      </w:pPr>
      <w:r>
        <w:rPr>
          <w:noProof/>
        </w:rPr>
        <w:t>Международният съвет по зърното („МСЗ“) е междуправителствена организация със седалище в Лондон, която прилага Конвенцията и работи за постигането на целите по член 1 от нея. По-специално, МСЗ има за цел:</w:t>
      </w:r>
    </w:p>
    <w:p>
      <w:pPr>
        <w:pStyle w:val="Point0"/>
        <w:rPr>
          <w:noProof/>
        </w:rPr>
      </w:pPr>
      <w:r>
        <w:rPr>
          <w:noProof/>
        </w:rPr>
        <w:t>а)</w:t>
      </w:r>
      <w:r>
        <w:rPr>
          <w:noProof/>
        </w:rPr>
        <w:tab/>
        <w:t xml:space="preserve">да развива международното сътрудничество във всички аспекти на търговията със зърно; </w:t>
      </w:r>
    </w:p>
    <w:p>
      <w:pPr>
        <w:pStyle w:val="Point0"/>
        <w:rPr>
          <w:noProof/>
        </w:rPr>
      </w:pPr>
      <w:r>
        <w:rPr>
          <w:noProof/>
        </w:rPr>
        <w:t>б)</w:t>
      </w:r>
      <w:r>
        <w:rPr>
          <w:noProof/>
        </w:rPr>
        <w:tab/>
        <w:t xml:space="preserve">да насърчава разширяването, откритостта и справедливостта на международната търговия в сектора на зърнените храни; </w:t>
      </w:r>
    </w:p>
    <w:p>
      <w:pPr>
        <w:pStyle w:val="Point0"/>
        <w:rPr>
          <w:noProof/>
        </w:rPr>
      </w:pPr>
      <w:r>
        <w:rPr>
          <w:noProof/>
        </w:rPr>
        <w:t>в)</w:t>
      </w:r>
      <w:r>
        <w:rPr>
          <w:noProof/>
        </w:rPr>
        <w:tab/>
        <w:t>да съдейства за стабилността на международния пазар на зърно, да повишава продоволствената сигурност в световен мащаб и да допринася за развитието на държавите, чиито икономики са силно зависими от търговските продажби на зърно.</w:t>
      </w:r>
    </w:p>
    <w:p>
      <w:pPr>
        <w:rPr>
          <w:rFonts w:eastAsia="Arial Unicode MS"/>
          <w:noProof/>
        </w:rPr>
      </w:pPr>
      <w:r>
        <w:rPr>
          <w:noProof/>
        </w:rPr>
        <w:t>За постигането на тези цели се работи посредством подобряване на прозрачността на пазара чрез обмен на информация, анализ и консултации относно развитието на пазара на зърно и на политиката в тази област.</w:t>
      </w:r>
    </w:p>
    <w:p>
      <w:pPr>
        <w:rPr>
          <w:noProof/>
        </w:rPr>
      </w:pPr>
      <w:r>
        <w:rPr>
          <w:noProof/>
        </w:rPr>
        <w:t xml:space="preserve">Понастоящем в МСЗ членуват 29 държави и организации. Сред тях фигурират много от най-едрите производители и вносители на зърнени култури в света. Освен ЕС, негови членове са Аржентина, Австралия, Канада, Египет, Индия, Япония, Русия, Украйна и САЩ, наред с други държави. Последната държава, която се присъедини към организацията, бе Република Сърбия, която стана член на 1 април 2020 г. Китай и Бразилия, обаче, не са членове. </w:t>
      </w:r>
    </w:p>
    <w:p>
      <w:pPr>
        <w:rPr>
          <w:noProof/>
        </w:rPr>
      </w:pPr>
      <w:r>
        <w:rPr>
          <w:noProof/>
        </w:rPr>
        <w:lastRenderedPageBreak/>
        <w:t xml:space="preserve">29-те членове на МСЗ имат общо 2 000 гласа. </w:t>
      </w:r>
    </w:p>
    <w:p>
      <w:pPr>
        <w:rPr>
          <w:noProof/>
        </w:rPr>
      </w:pPr>
      <w:r>
        <w:rPr>
          <w:noProof/>
        </w:rPr>
        <w:t>За бюджетните процедури (вж. член 11 от Конвенцията), т.е. за определянето на годишните вноски от членовете, през 2019/20 ЕС разполага с 372 гласа</w:t>
      </w:r>
      <w:r>
        <w:rPr>
          <w:rStyle w:val="FootnoteReference"/>
          <w:rFonts w:eastAsia="Arial Unicode MS"/>
          <w:noProof/>
        </w:rPr>
        <w:footnoteReference w:id="2"/>
      </w:r>
      <w:r>
        <w:rPr>
          <w:noProof/>
        </w:rPr>
        <w:t xml:space="preserve">. </w:t>
      </w:r>
    </w:p>
    <w:p>
      <w:pPr>
        <w:rPr>
          <w:noProof/>
        </w:rPr>
      </w:pPr>
      <w:r>
        <w:rPr>
          <w:noProof/>
        </w:rPr>
        <w:t xml:space="preserve">За целите на вземането на решения, т.е. когато се провежда гласуване (вж. член 12 от Конвенцията), са разпределени 1 000 гласа за 11-те членове износители (в това число 245-те гласа на Съюза) и 1 000 гласа — за 18-те членове вносители. Трябва да се подчертае, че по принцип МСЗ работи с консенсус и много рядко се случва в действителност да бъде проведено гласуване. </w:t>
      </w:r>
    </w:p>
    <w:p>
      <w:pPr>
        <w:rPr>
          <w:rFonts w:eastAsia="Arial Unicode MS"/>
          <w:noProof/>
        </w:rPr>
      </w:pPr>
      <w:r>
        <w:rPr>
          <w:noProof/>
        </w:rPr>
        <w:t>На заседанията на Международния съвет по зърното Съюзът се представлява от Комисията по силата на член 17 от ДЕС. Държавите членки могат да присъстват на срещите на МСЗ, и по-специално на заседанията на Съвета по зърното.</w:t>
      </w:r>
    </w:p>
    <w:p>
      <w:pPr>
        <w:pStyle w:val="ManualHeading2"/>
        <w:rPr>
          <w:noProof/>
        </w:rPr>
      </w:pPr>
      <w:r>
        <w:t>2.3.</w:t>
      </w:r>
      <w:r>
        <w:tab/>
      </w:r>
      <w:r>
        <w:rPr>
          <w:noProof/>
        </w:rPr>
        <w:t>Предвиден акт на</w:t>
      </w:r>
      <w:r>
        <w:t xml:space="preserve"> </w:t>
      </w:r>
      <w:r>
        <w:rPr>
          <w:noProof/>
        </w:rPr>
        <w:t>Международния съвет по зърното</w:t>
      </w:r>
    </w:p>
    <w:p>
      <w:pPr>
        <w:rPr>
          <w:rFonts w:eastAsia="Arial Unicode MS"/>
          <w:noProof/>
        </w:rPr>
      </w:pPr>
      <w:r>
        <w:rPr>
          <w:noProof/>
        </w:rPr>
        <w:t>На 9 април 2020 г. Обединеното кралство</w:t>
      </w:r>
      <w:r>
        <w:rPr>
          <w:rStyle w:val="FootnoteReference"/>
          <w:rFonts w:eastAsia="Arial Unicode MS"/>
          <w:noProof/>
        </w:rPr>
        <w:footnoteReference w:id="3"/>
      </w:r>
      <w:r>
        <w:rPr>
          <w:noProof/>
        </w:rPr>
        <w:t xml:space="preserve"> официално подаде молба за присъединяване към Конвенцията. На 14 април 2020 г. секретариатът на МСЗ информира членовете си относно кандидатурата на Обединеното кралство. Обединеното кралство кандидатства за членство в МСЗ от 1 януари 2021 г., т.е. след изтичането на преходния период, следващ оттеглянето на Обединеното кралство от Европейския съюз.</w:t>
      </w:r>
    </w:p>
    <w:p>
      <w:pPr>
        <w:rPr>
          <w:rFonts w:eastAsia="Arial Unicode MS"/>
          <w:noProof/>
        </w:rPr>
      </w:pPr>
      <w:r>
        <w:rPr>
          <w:noProof/>
        </w:rPr>
        <w:t>Съгласно член 27, параграф 2 от Конвенцията присъединяването е отворено за правителствата на всички държави, при условията, които МСЗ счете за целесъобразни. В съответствие с член 33, буква г) от Правилника за дейността съгласно Конвенцията за търговията със зърно („Процедурен правилник“), Административният комитет разглежда и предлага на вниманието на МСЗ молби за присъединяване съгласно член 27, параграф 2.</w:t>
      </w:r>
    </w:p>
    <w:p>
      <w:pPr>
        <w:rPr>
          <w:rFonts w:eastAsia="Arial Unicode MS"/>
          <w:noProof/>
        </w:rPr>
      </w:pPr>
      <w:r>
        <w:rPr>
          <w:noProof/>
        </w:rPr>
        <w:t xml:space="preserve">Броят на гласовете, с които разполага присъединяващата се страна за целите на член 11 от Конвенцията (т.е. годишното финансово участие на членовете), се определят от дела на общата търговия със зърно на присъединяващите се страни в общата търговия със зърно на всички страни членки на МСЗ, в съответствие с член 33, буква б) от Процедурния правилник. </w:t>
      </w:r>
    </w:p>
    <w:p>
      <w:pPr>
        <w:rPr>
          <w:rFonts w:eastAsia="Arial Unicode MS"/>
          <w:noProof/>
        </w:rPr>
      </w:pPr>
      <w:r>
        <w:rPr>
          <w:noProof/>
        </w:rPr>
        <w:t>Съгласно член 12, параграф 1 от Конвенцията МСЗ трябва да определи членовете износители и членовете вносители за целите на Конвенцията, като вземе предвид моделите на търговия със зърнени култури, както и възгледите на тези членове. МСЗ ще определи също така съответните им права на глас в съответствие с параграфи 2 и 3 от същата разпоредба.</w:t>
      </w:r>
    </w:p>
    <w:p>
      <w:pPr>
        <w:rPr>
          <w:rFonts w:eastAsia="Arial Unicode MS"/>
          <w:noProof/>
        </w:rPr>
      </w:pPr>
      <w:r>
        <w:rPr>
          <w:noProof/>
        </w:rPr>
        <w:t>Обсъждането на молбата на Обединеното кралство започна на заседанието на Административния комитет на МСЗ на 11 май 2020 г. и продължи по време на 51</w:t>
      </w:r>
      <w:r>
        <w:rPr>
          <w:noProof/>
          <w:vertAlign w:val="superscript"/>
        </w:rPr>
        <w:t>-вата</w:t>
      </w:r>
      <w:r>
        <w:rPr>
          <w:noProof/>
        </w:rPr>
        <w:t xml:space="preserve"> сесия на Съвета на МСЗ на 8 юни 2020 г. (чрез видеоконференция). На тази сесия МСЗ постигна съгласие, че официалното решение относно молбата на Обединеното кралство ще бъде взето посредством писмена процедура (гласуване по пощата) и до 30 октомври 2020 г. членовете на МСЗ трябва да изпратят на секретариата своите становища. При условие че до 30 октомври 2020 г. на секретариата на МСЗ не е изпратено писмено </w:t>
      </w:r>
      <w:r>
        <w:rPr>
          <w:noProof/>
        </w:rPr>
        <w:lastRenderedPageBreak/>
        <w:t>възражение от член на МСЗ, ще се смята, че членството на Обединеното кралство в МСЗ се одобрява, считано от 1 януари 2021 г.</w:t>
      </w:r>
    </w:p>
    <w:p>
      <w:pPr>
        <w:rPr>
          <w:rFonts w:eastAsia="Arial Unicode MS"/>
          <w:noProof/>
        </w:rPr>
      </w:pPr>
      <w:r>
        <w:rPr>
          <w:noProof/>
        </w:rPr>
        <w:t>Въпреки че в Конвенцията не са определени специални правила относно процедурата за гласуване по пощата („писмена процедура“), в член 14 от Конвенцията относно вземането на решения в МСЗ не се изисква тези решения да бъдат вземани на заседание на МСЗ.</w:t>
      </w:r>
    </w:p>
    <w:p>
      <w:pPr>
        <w:keepNext/>
        <w:outlineLvl w:val="1"/>
        <w:rPr>
          <w:rFonts w:eastAsia="Arial Unicode MS"/>
          <w:b/>
          <w:bCs/>
          <w:noProof/>
          <w:szCs w:val="26"/>
        </w:rPr>
      </w:pPr>
      <w:r>
        <w:rPr>
          <w:b/>
          <w:bCs/>
          <w:noProof/>
          <w:szCs w:val="26"/>
        </w:rPr>
        <w:t>Споразумението за оттегляне</w:t>
      </w:r>
    </w:p>
    <w:p>
      <w:pPr>
        <w:rPr>
          <w:noProof/>
        </w:rPr>
      </w:pPr>
      <w:r>
        <w:rPr>
          <w:noProof/>
        </w:rPr>
        <w:t>В съответствие с член 129, параграф 2 от Споразумението за оттегляне на Обединеното кралство Великобритания и Северна Ирландия от Европейския съюз и Европейската общност за атомна енергия</w:t>
      </w:r>
      <w:r>
        <w:rPr>
          <w:rStyle w:val="FootnoteReference"/>
          <w:noProof/>
        </w:rPr>
        <w:footnoteReference w:id="4"/>
      </w:r>
      <w:r>
        <w:rPr>
          <w:noProof/>
        </w:rPr>
        <w:t xml:space="preserve"> („Споразумението за оттегляне“) по време на преходния период Съюзът ще продължи да представлява Обединеното кралство в работата на всеки орган, създаден по силата на сключените от Съюза международни споразумения. По време на преходния период Обединеното кралство трябва да се въздържа от каквито и да било действия или инициативи, които могат да засегнат интересите на Съюза. Въпреки това съгласно член 129, параграф 4 от Споразумението за оттегляне по време на преходния период Обединеното кралство може да договаря, подписва и ратифицира международни споразумения, сключени от него в негово собствено качество, в областите на изключителна компетентност на Съюза, при условие че тези споразумения не влизат в сила нито се прилагат по време на преходния период.</w:t>
      </w:r>
    </w:p>
    <w:p>
      <w:pPr>
        <w:pStyle w:val="ManualHeading1"/>
        <w:rPr>
          <w:rFonts w:eastAsia="Arial Unicode MS"/>
          <w:noProof/>
        </w:rPr>
      </w:pPr>
      <w:r>
        <w:t>3.</w:t>
      </w:r>
      <w:r>
        <w:tab/>
      </w:r>
      <w:r>
        <w:rPr>
          <w:noProof/>
        </w:rPr>
        <w:t>Позиция, която трябва да се заеме от името на Съюза</w:t>
      </w:r>
    </w:p>
    <w:p>
      <w:pPr>
        <w:pBdr>
          <w:top w:val="nil"/>
          <w:left w:val="nil"/>
          <w:bottom w:val="nil"/>
          <w:right w:val="nil"/>
          <w:between w:val="nil"/>
          <w:bar w:val="nil"/>
        </w:pBdr>
        <w:spacing w:before="0" w:after="240"/>
        <w:rPr>
          <w:rFonts w:eastAsia="Arial Unicode MS"/>
          <w:noProof/>
        </w:rPr>
      </w:pPr>
      <w:r>
        <w:rPr>
          <w:b/>
          <w:noProof/>
        </w:rPr>
        <w:t>Конвенцията за търговията със зърно от 1995 г.</w:t>
      </w:r>
      <w:r>
        <w:rPr>
          <w:noProof/>
        </w:rPr>
        <w:t xml:space="preserve"> бе сключена от Съюза с Решение 96/88/EO</w:t>
      </w:r>
      <w:r>
        <w:rPr>
          <w:rStyle w:val="FootnoteReference"/>
          <w:noProof/>
        </w:rPr>
        <w:footnoteReference w:id="5"/>
      </w:r>
      <w:r>
        <w:rPr>
          <w:noProof/>
        </w:rPr>
        <w:t xml:space="preserve"> на Съвета за срок до 30 юни 1998 г. В съответствие с член 33 от Конвенцията срокът на действие на Конвенцията се удължава всеки път с най-много две години. За последно срокът на действие на Конвенцията бе удължен с решение на МСЗ през юни 2019 г. и тя продължава да е в сила до 30 юни 2021 г.</w:t>
      </w:r>
      <w:r>
        <w:rPr>
          <w:rStyle w:val="FootnoteReference"/>
          <w:rFonts w:eastAsia="Arial Unicode MS"/>
          <w:noProof/>
          <w:lang w:eastAsia="en-GB"/>
        </w:rPr>
        <w:footnoteReference w:id="6"/>
      </w:r>
      <w:r>
        <w:rPr>
          <w:noProof/>
        </w:rPr>
        <w:t xml:space="preserve"> </w:t>
      </w:r>
    </w:p>
    <w:p>
      <w:pPr>
        <w:pBdr>
          <w:top w:val="nil"/>
          <w:left w:val="nil"/>
          <w:bottom w:val="nil"/>
          <w:right w:val="nil"/>
          <w:between w:val="nil"/>
          <w:bar w:val="nil"/>
        </w:pBdr>
        <w:spacing w:before="0" w:after="240"/>
        <w:rPr>
          <w:rFonts w:eastAsia="Arial Unicode MS"/>
          <w:noProof/>
        </w:rPr>
      </w:pPr>
      <w:r>
        <w:rPr>
          <w:noProof/>
        </w:rPr>
        <w:t xml:space="preserve">Съюзът винаги е бил активен член на МСЗ и подкрепя разширяването на организацията. </w:t>
      </w:r>
    </w:p>
    <w:p>
      <w:pPr>
        <w:pBdr>
          <w:top w:val="nil"/>
          <w:left w:val="nil"/>
          <w:bottom w:val="nil"/>
          <w:right w:val="nil"/>
          <w:between w:val="nil"/>
          <w:bar w:val="nil"/>
        </w:pBdr>
        <w:spacing w:before="0" w:after="240"/>
        <w:rPr>
          <w:rFonts w:eastAsia="Arial Unicode MS"/>
          <w:noProof/>
        </w:rPr>
      </w:pPr>
      <w:r>
        <w:rPr>
          <w:noProof/>
        </w:rPr>
        <w:t>Обединеното кралство е важен производител на селскостопански продукти, включително зърнени култури — от главните култури, обхванати от МСЗ. Докато беше член на Съюза, Обединеното кралство извършваше значителна търговия на различни зърнени култури с други държави — членки на ЕС.</w:t>
      </w:r>
    </w:p>
    <w:p>
      <w:pPr>
        <w:pBdr>
          <w:top w:val="nil"/>
          <w:left w:val="nil"/>
          <w:bottom w:val="nil"/>
          <w:right w:val="nil"/>
          <w:between w:val="nil"/>
          <w:bar w:val="nil"/>
        </w:pBdr>
        <w:spacing w:before="0" w:after="240"/>
        <w:rPr>
          <w:rFonts w:eastAsia="Arial Unicode MS"/>
          <w:noProof/>
        </w:rPr>
      </w:pPr>
      <w:r>
        <w:rPr>
          <w:noProof/>
        </w:rPr>
        <w:t xml:space="preserve">По време на преходния период, следващ оттеглянето на Обединеното кралство от Съюза, Обединеното кралство продължава да бъде обвързано от международните споразумения на Съюза и Съюзът ще продължи да представлява Обединеното кралство в рамките на МСЗ. </w:t>
      </w:r>
    </w:p>
    <w:p>
      <w:pPr>
        <w:pBdr>
          <w:top w:val="nil"/>
          <w:left w:val="nil"/>
          <w:bottom w:val="nil"/>
          <w:right w:val="nil"/>
          <w:between w:val="nil"/>
          <w:bar w:val="nil"/>
        </w:pBdr>
        <w:spacing w:before="0" w:after="240"/>
        <w:rPr>
          <w:rFonts w:eastAsia="Arial Unicode MS"/>
          <w:noProof/>
        </w:rPr>
      </w:pPr>
      <w:r>
        <w:rPr>
          <w:noProof/>
        </w:rPr>
        <w:t xml:space="preserve">В съответствие с член 21, параграф 5 от Конвенцията годишните финансови вноски на членовете се изплащат веднага след извършване на оценка. Поради това Съюзът плаща своите годишни вноски на МСЗ през юли-август за цялата съответна финансова година, която започва през юни и приключва през юли следващата година. Вноската на Съюза </w:t>
      </w:r>
      <w:r>
        <w:rPr>
          <w:noProof/>
        </w:rPr>
        <w:lastRenderedPageBreak/>
        <w:t xml:space="preserve">за 2020/21 ще бъде покрита от бюджета на Съюза за 2020 г., за който Обединеното кралство също допринася. </w:t>
      </w:r>
    </w:p>
    <w:p>
      <w:pPr>
        <w:pBdr>
          <w:top w:val="nil"/>
          <w:left w:val="nil"/>
          <w:bottom w:val="nil"/>
          <w:right w:val="nil"/>
          <w:between w:val="nil"/>
          <w:bar w:val="nil"/>
        </w:pBdr>
        <w:spacing w:before="0" w:after="240"/>
        <w:rPr>
          <w:rFonts w:eastAsia="Arial Unicode MS"/>
          <w:noProof/>
        </w:rPr>
      </w:pPr>
      <w:r>
        <w:rPr>
          <w:noProof/>
        </w:rPr>
        <w:t xml:space="preserve">Вследствие на това по отношение на цялата 2020/21 финансова година приносът на Съюза към МСЗ ще обхваща и Обединеното кралство. </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цели да се установи позицията на Съюза в рамките на МСЗ относно присъединяването на Обединеното кралство към Конвенцията, считано от 1 януари 2021 г. </w:t>
      </w:r>
    </w:p>
    <w:p>
      <w:pPr>
        <w:pBdr>
          <w:top w:val="nil"/>
          <w:left w:val="nil"/>
          <w:bottom w:val="nil"/>
          <w:right w:val="nil"/>
          <w:between w:val="nil"/>
          <w:bar w:val="nil"/>
        </w:pBdr>
        <w:spacing w:before="0" w:after="240"/>
        <w:rPr>
          <w:rFonts w:eastAsia="Arial Unicode MS"/>
          <w:noProof/>
        </w:rPr>
      </w:pPr>
      <w:r>
        <w:rPr>
          <w:noProof/>
        </w:rPr>
        <w:t xml:space="preserve">Като се има предвид, че процедурата по присъединяване подлежи на решение на Международния съвет по зърното, позицията на Съюза ще бъде установена въз основа на член 218, параграф 9 от ДФЕС.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xml:space="preserve">“ включва актове с правно действие по силата на нормите на международното право, които уреждат съответния орган. </w:t>
      </w:r>
    </w:p>
    <w:p>
      <w:pPr>
        <w:pStyle w:val="ManualHeading3"/>
        <w:rPr>
          <w:noProof/>
        </w:rPr>
      </w:pPr>
      <w:r>
        <w:t>4.1.2.</w:t>
      </w:r>
      <w:r>
        <w:tab/>
      </w:r>
      <w:r>
        <w:rPr>
          <w:noProof/>
        </w:rPr>
        <w:t>Приложение в конкретния случай</w:t>
      </w:r>
    </w:p>
    <w:p>
      <w:pPr>
        <w:rPr>
          <w:i/>
          <w:noProof/>
        </w:rPr>
      </w:pPr>
      <w:r>
        <w:rPr>
          <w:noProof/>
        </w:rPr>
        <w:t>Предвиденият акт на МСЗ ще доведе до увеличаване на броя на членовете на МСЗ. Предвиденият акт на МСЗ има правни последици, защото ще посочи условията за присъединяване и най-вече защото ще повлияе на баланса на силите при вземането на решения в рамките на МСЗ, чиито решения изискват мнозинство от членовете износители и вносители и са задължителни за нейните членове, както е посочено в член 14 от Конвенцията. Съответните финансови вноски на страните също ще бъдат засегнати. Поради това трябва да бъде установена позицията на Съюза.</w:t>
      </w:r>
    </w:p>
    <w:p>
      <w:pPr>
        <w:rPr>
          <w:noProof/>
        </w:rPr>
      </w:pPr>
      <w:r>
        <w:rPr>
          <w:noProof/>
        </w:rPr>
        <w:t xml:space="preserve">Предвиденият акт не допълва, нито изменя институционалната рамка на Споразумението. </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lastRenderedPageBreak/>
        <w:t>4.2.2.</w:t>
      </w:r>
      <w:r>
        <w:tab/>
      </w:r>
      <w:r>
        <w:rPr>
          <w:noProof/>
        </w:rPr>
        <w:t>Приложение в конкретния случай</w:t>
      </w:r>
    </w:p>
    <w:p>
      <w:pPr>
        <w:rPr>
          <w:noProof/>
        </w:rPr>
      </w:pPr>
      <w:r>
        <w:rPr>
          <w:noProof/>
        </w:rPr>
        <w:t xml:space="preserve">Основната цел и съдържание на предвидения акт са свързани с търговията със селскостопански продукти. </w:t>
      </w:r>
    </w:p>
    <w:p>
      <w:pPr>
        <w:rPr>
          <w:noProof/>
        </w:rPr>
      </w:pPr>
      <w:r>
        <w:rPr>
          <w:noProof/>
        </w:rPr>
        <w:t>Поради това материалноправното основание за предложеното решение е член 207, параграф 4, първа линея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параграф 4, първа алинея от ДФЕС във връзка с член 218, параграф 9 от ДФЕС.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2020/0162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установяване на позицията, която трябва да се заеме от името на Европейския съюз в рамките на Международния съвет по зърното относно присъединяването на Обединеното кралство към Конвенцията за търговията със зърно от 1995 г.</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Конвенцията за търговията със зърно от 1995 г. („Конвенцията“), която влезе в сила на 1 юли 1995 г., бе сключена от Съюза с Решение 96/88/ЕО на Съвета</w:t>
      </w:r>
      <w:r>
        <w:rPr>
          <w:rStyle w:val="FootnoteReference"/>
          <w:noProof/>
        </w:rPr>
        <w:footnoteReference w:id="7"/>
      </w:r>
      <w:r>
        <w:rPr>
          <w:noProof/>
        </w:rPr>
        <w:t>. Първоначално Конвенцията бе сключена за период от три години.</w:t>
      </w:r>
    </w:p>
    <w:p>
      <w:pPr>
        <w:pStyle w:val="ManualConsidrant"/>
        <w:rPr>
          <w:noProof/>
        </w:rPr>
      </w:pPr>
      <w:r>
        <w:t>(2)</w:t>
      </w:r>
      <w:r>
        <w:tab/>
      </w:r>
      <w:r>
        <w:rPr>
          <w:noProof/>
        </w:rPr>
        <w:t>В съответствие с член 33 от Конвенцията Международният съвет по зърното може да удължава срока на действие на Конвенцията с последователни периоди, всеки от които не превишава две години. От самото си сключване, Конвенцията и срокът на нейното действие редовно се удължават с допълнителен период от две години. За последно срокът на действие на Конвенцията беше удължен с решение на Международния съвет по зърното на 10 юни 2019 г.</w:t>
      </w:r>
      <w:r>
        <w:rPr>
          <w:rStyle w:val="FootnoteReference"/>
          <w:noProof/>
        </w:rPr>
        <w:footnoteReference w:id="8"/>
      </w:r>
      <w:r>
        <w:rPr>
          <w:noProof/>
        </w:rPr>
        <w:t xml:space="preserve"> и тя продължава да е в сила до 30 юни 2021 г.</w:t>
      </w:r>
    </w:p>
    <w:p>
      <w:pPr>
        <w:pStyle w:val="ManualConsidrant"/>
        <w:rPr>
          <w:noProof/>
        </w:rPr>
      </w:pPr>
      <w:r>
        <w:t>(3)</w:t>
      </w:r>
      <w:r>
        <w:tab/>
      </w:r>
      <w:r>
        <w:rPr>
          <w:noProof/>
        </w:rPr>
        <w:t>Съгласно член 27, параграф 2 от Конвенцията присъединяването към нея е отворено за правителствата на всички държави, при условията, които Международният съвет по зърното счете за целесъобразни.</w:t>
      </w:r>
    </w:p>
    <w:p>
      <w:pPr>
        <w:pStyle w:val="ManualConsidrant"/>
        <w:rPr>
          <w:noProof/>
        </w:rPr>
      </w:pPr>
      <w:r>
        <w:t>(4)</w:t>
      </w:r>
      <w:r>
        <w:tab/>
      </w:r>
      <w:r>
        <w:rPr>
          <w:noProof/>
        </w:rPr>
        <w:t>На 9 април 2020 г. Обединеното кралство официално подаде молба за присъединяване към Конвенцията, считано от 1 януари 2021 г.</w:t>
      </w:r>
    </w:p>
    <w:p>
      <w:pPr>
        <w:pStyle w:val="ManualConsidrant"/>
        <w:rPr>
          <w:noProof/>
        </w:rPr>
      </w:pPr>
      <w:r>
        <w:t>(5)</w:t>
      </w:r>
      <w:r>
        <w:tab/>
      </w:r>
      <w:r>
        <w:rPr>
          <w:noProof/>
        </w:rPr>
        <w:t xml:space="preserve">Обединеното кралство е основен производител на зърнени култури, по-специално на ечемик и пшеница. В случай че молбата на Обединеното кралство да се присъедини към Конвенцията и съответно да участва в нея бъде одобрена, Обединеното кралство ще бъде член вносител в съответствие с член 12 от Конвенцията. Тъй като Съюзът е член износител, присъединяването на Обединеното кралство няма да засегне броя на гласовете, предоставени на Съюза за целите на гласуването по член 12 от Конвенцията. Присъединяването </w:t>
      </w:r>
      <w:r>
        <w:rPr>
          <w:noProof/>
        </w:rPr>
        <w:lastRenderedPageBreak/>
        <w:t xml:space="preserve">на Обединеното кралство обаче ще намали, считано от финансовата 2021/22 година, броя на гласовете, предоставени на Съюза съгласно член 11 от Конвенцията, който се използва за определяне на финансовото участие на членовете. </w:t>
      </w:r>
    </w:p>
    <w:p>
      <w:pPr>
        <w:pStyle w:val="ManualConsidrant"/>
        <w:rPr>
          <w:noProof/>
        </w:rPr>
      </w:pPr>
      <w:r>
        <w:t>(6)</w:t>
      </w:r>
      <w:r>
        <w:tab/>
      </w:r>
      <w:r>
        <w:rPr>
          <w:noProof/>
        </w:rPr>
        <w:t>Целесъобразно е да се установи позицията, която трябва да се заеме от името на Съюза в рамките на Международния съвет по зърното, и да се одобри присъединяването на Обединеното кралство към Конвенцията въз основа на предвидените условия, изложени във финансовата обосновка, приложена към настоящото решение, и при условие че присъединяването не влезе в сила и Конвенцията не се прилага временно по отношение на Обединеното кралство преди края на преходния период, посочен в член 126 от Споразумението за оттегляне на Обединеното кралство Великобритания и Северна Ирландия от Европейския съюз и Европейската общност за атомна енергия,</w:t>
      </w:r>
    </w:p>
    <w:p>
      <w:pPr>
        <w:pStyle w:val="Formuledadoption"/>
        <w:rPr>
          <w:noProof/>
        </w:rPr>
      </w:pPr>
      <w:r>
        <w:rPr>
          <w:noProof/>
        </w:rPr>
        <w:t>ПРИЕ НАСТОЯЩОТО РЕШЕНИЕ:</w:t>
      </w:r>
    </w:p>
    <w:p>
      <w:pPr>
        <w:pStyle w:val="Titrearticle"/>
        <w:rPr>
          <w:noProof/>
        </w:rPr>
      </w:pPr>
      <w:r>
        <w:rPr>
          <w:noProof/>
        </w:rPr>
        <w:t>Член 1</w:t>
      </w:r>
    </w:p>
    <w:p>
      <w:pPr>
        <w:rPr>
          <w:i/>
          <w:noProof/>
        </w:rPr>
      </w:pPr>
      <w:r>
        <w:rPr>
          <w:noProof/>
        </w:rPr>
        <w:t>Позицията, която трябва да се заеме от името на Съюза в рамките на Международния съвет по зърното е за одобряване на присъединяването на Обединеното кралство към Конвенцията за търговията със зърно въз основа на предвидените условия, изложени във финансовата обосновка, приложена към настоящото решение, и при условие че присъединяването не влезе в сила и Конвенцията не се прилага временно по отношение на Обединеното кралство преди края на преходния период, посочен в член 126 от Споразумението за оттегляне на Обединеното кралство Великобритания и Северна Ирландия от Европейския съюз и Европейската общност за атомна енергия.</w:t>
      </w:r>
    </w:p>
    <w:p>
      <w:pPr>
        <w:pStyle w:val="Titrearticle"/>
        <w:rPr>
          <w:noProof/>
        </w:rPr>
      </w:pPr>
      <w:r>
        <w:rPr>
          <w:noProof/>
        </w:rPr>
        <w:t>Член 2</w:t>
      </w:r>
    </w:p>
    <w:p>
      <w:pPr>
        <w:keepNext/>
        <w:keepLines/>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keepNext/>
        <w:rPr>
          <w:noProof/>
        </w:rPr>
      </w:pPr>
      <w:r>
        <w:rPr>
          <w:noProof/>
        </w:rPr>
        <w:tab/>
        <w:t>Председател</w:t>
      </w:r>
    </w:p>
    <w:p>
      <w:pPr>
        <w:keepNext/>
        <w:rPr>
          <w:noProof/>
        </w:rPr>
        <w:sectPr>
          <w:pgSz w:w="11907" w:h="16839"/>
          <w:pgMar w:top="1134" w:right="1417" w:bottom="1134" w:left="1417"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567"/>
        <w:gridCol w:w="3884"/>
        <w:gridCol w:w="1417"/>
        <w:gridCol w:w="1276"/>
        <w:gridCol w:w="283"/>
        <w:gridCol w:w="567"/>
        <w:gridCol w:w="1134"/>
      </w:tblGrid>
      <w:tr>
        <w:trPr>
          <w:trHeight w:val="355"/>
        </w:trPr>
        <w:tc>
          <w:tcPr>
            <w:tcW w:w="7144" w:type="dxa"/>
            <w:gridSpan w:val="4"/>
            <w:vMerge w:val="restart"/>
            <w:tcBorders>
              <w:top w:val="single" w:sz="6" w:space="0" w:color="auto"/>
              <w:left w:val="single" w:sz="6" w:space="0" w:color="auto"/>
              <w:bottom w:val="nil"/>
              <w:right w:val="single" w:sz="6" w:space="0" w:color="auto"/>
            </w:tcBorders>
            <w:hideMark/>
          </w:tcPr>
          <w:p>
            <w:pPr>
              <w:pStyle w:val="Fichefinanciretitretable"/>
              <w:keepNext/>
              <w:rPr>
                <w:noProof/>
              </w:rPr>
            </w:pPr>
            <w:r>
              <w:rPr>
                <w:noProof/>
              </w:rPr>
              <w:lastRenderedPageBreak/>
              <w:t>ФИНАНСОВА ОБОСНОВКА</w:t>
            </w:r>
          </w:p>
        </w:tc>
        <w:tc>
          <w:tcPr>
            <w:tcW w:w="1984" w:type="dxa"/>
            <w:gridSpan w:val="3"/>
            <w:tcBorders>
              <w:top w:val="single" w:sz="6" w:space="0" w:color="auto"/>
              <w:left w:val="single" w:sz="6" w:space="0" w:color="auto"/>
              <w:bottom w:val="single" w:sz="6" w:space="0" w:color="auto"/>
              <w:right w:val="single" w:sz="6" w:space="0" w:color="auto"/>
            </w:tcBorders>
          </w:tcPr>
          <w:p>
            <w:pPr>
              <w:pStyle w:val="Fichefinanciretextetable"/>
              <w:keepNext/>
              <w:rPr>
                <w:noProof/>
              </w:rPr>
            </w:pPr>
            <w:r>
              <w:rPr>
                <w:noProof/>
              </w:rPr>
              <w:t>Fin Stat/20/MK/pl/3413793</w:t>
            </w:r>
          </w:p>
          <w:p>
            <w:pPr>
              <w:pStyle w:val="Fichefinanciretextetable"/>
              <w:keepNext/>
              <w:rPr>
                <w:noProof/>
              </w:rPr>
            </w:pPr>
          </w:p>
          <w:p>
            <w:pPr>
              <w:pStyle w:val="Fichefinanciretextetable"/>
              <w:keepNext/>
            </w:pPr>
            <w:r>
              <w:rPr>
                <w:noProof/>
              </w:rPr>
              <w:t>agri.ddg3.g.4(2020)3325110</w:t>
            </w:r>
          </w:p>
        </w:tc>
      </w:tr>
      <w:tr>
        <w:trPr>
          <w:trHeight w:val="355"/>
        </w:trPr>
        <w:tc>
          <w:tcPr>
            <w:tcW w:w="7144" w:type="dxa"/>
            <w:gridSpan w:val="4"/>
            <w:vMerge/>
            <w:tcBorders>
              <w:top w:val="single" w:sz="6" w:space="0" w:color="auto"/>
              <w:left w:val="single" w:sz="6" w:space="0" w:color="auto"/>
              <w:bottom w:val="nil"/>
              <w:right w:val="single" w:sz="6" w:space="0" w:color="auto"/>
            </w:tcBorders>
            <w:vAlign w:val="center"/>
            <w:hideMark/>
          </w:tcPr>
          <w:p>
            <w:pPr>
              <w:keepNext/>
              <w:rPr>
                <w:b/>
                <w:noProof/>
                <w:sz w:val="40"/>
                <w:szCs w:val="20"/>
              </w:rPr>
            </w:pPr>
          </w:p>
        </w:tc>
        <w:tc>
          <w:tcPr>
            <w:tcW w:w="1984" w:type="dxa"/>
            <w:gridSpan w:val="3"/>
            <w:tcBorders>
              <w:top w:val="single" w:sz="6" w:space="0" w:color="auto"/>
              <w:left w:val="single" w:sz="6" w:space="0" w:color="auto"/>
              <w:bottom w:val="single" w:sz="6" w:space="0" w:color="auto"/>
              <w:right w:val="single" w:sz="6" w:space="0" w:color="auto"/>
            </w:tcBorders>
            <w:hideMark/>
          </w:tcPr>
          <w:p>
            <w:pPr>
              <w:pStyle w:val="Fichefinanciretextetable"/>
              <w:keepNext/>
            </w:pPr>
            <w:r>
              <w:rPr>
                <w:rFonts w:ascii="Arial" w:hAnsi="Arial"/>
                <w:i/>
                <w:noProof/>
              </w:rPr>
              <w:t>6.22.2020</w:t>
            </w:r>
          </w:p>
        </w:tc>
      </w:tr>
      <w:tr>
        <w:tc>
          <w:tcPr>
            <w:tcW w:w="7144" w:type="dxa"/>
            <w:gridSpan w:val="4"/>
            <w:tcBorders>
              <w:top w:val="nil"/>
              <w:left w:val="single" w:sz="6" w:space="0" w:color="auto"/>
              <w:bottom w:val="single" w:sz="6" w:space="0" w:color="auto"/>
              <w:right w:val="single" w:sz="6" w:space="0" w:color="auto"/>
            </w:tcBorders>
          </w:tcPr>
          <w:p>
            <w:pPr>
              <w:pStyle w:val="Fichefinanciretextetable"/>
              <w:keepNext/>
              <w:rPr>
                <w:noProof/>
              </w:rPr>
            </w:pPr>
          </w:p>
        </w:tc>
        <w:tc>
          <w:tcPr>
            <w:tcW w:w="1984" w:type="dxa"/>
            <w:gridSpan w:val="3"/>
            <w:tcBorders>
              <w:top w:val="single" w:sz="6" w:space="0" w:color="auto"/>
              <w:left w:val="single" w:sz="6" w:space="0" w:color="auto"/>
              <w:bottom w:val="single" w:sz="6" w:space="0" w:color="auto"/>
              <w:right w:val="single" w:sz="6" w:space="0" w:color="auto"/>
            </w:tcBorders>
          </w:tcPr>
          <w:p>
            <w:pPr>
              <w:pStyle w:val="Fichefinanciretextetable"/>
              <w:keepNext/>
              <w:rPr>
                <w:noProof/>
              </w:rPr>
            </w:pPr>
            <w:r>
              <w:rPr>
                <w:noProof/>
              </w:rPr>
              <w:t>ДАТА: 6.6.2020 г.</w:t>
            </w:r>
          </w:p>
          <w:p>
            <w:pPr>
              <w:pStyle w:val="Fichefinanciretextetable"/>
              <w:keepNext/>
              <w:rPr>
                <w:noProof/>
              </w:rPr>
            </w:pP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1.</w:t>
            </w:r>
          </w:p>
        </w:tc>
        <w:tc>
          <w:tcPr>
            <w:tcW w:w="6577" w:type="dxa"/>
            <w:gridSpan w:val="3"/>
            <w:tcBorders>
              <w:top w:val="single" w:sz="6" w:space="0" w:color="auto"/>
              <w:left w:val="nil"/>
              <w:bottom w:val="single" w:sz="6" w:space="0" w:color="auto"/>
              <w:right w:val="nil"/>
            </w:tcBorders>
            <w:hideMark/>
          </w:tcPr>
          <w:p>
            <w:pPr>
              <w:pStyle w:val="Fichefinanciretextetable"/>
              <w:keepNext/>
              <w:rPr>
                <w:noProof/>
              </w:rPr>
            </w:pPr>
            <w:r>
              <w:rPr>
                <w:noProof/>
              </w:rPr>
              <w:t>БЮДЖЕТЕН РЕД:</w:t>
            </w:r>
          </w:p>
          <w:p>
            <w:pPr>
              <w:pStyle w:val="Fichefinanciretextetable"/>
              <w:keepNext/>
              <w:rPr>
                <w:noProof/>
              </w:rPr>
            </w:pPr>
            <w:r>
              <w:rPr>
                <w:noProof/>
              </w:rPr>
              <w:t>Глава 05 06 — МЕЖДУНАРОДНИ АСПЕКТИ НА ОБЛАСТ НА ПОЛИТИКАТА „ЗЕМЕДЕЛИЕ И РАЗВИТИЕ НА СЕЛСКИТЕ РАЙОНИ“</w:t>
            </w:r>
          </w:p>
          <w:p>
            <w:pPr>
              <w:pStyle w:val="Fichefinanciretextetable"/>
              <w:keepNext/>
              <w:rPr>
                <w:noProof/>
              </w:rPr>
            </w:pPr>
            <w:r>
              <w:rPr>
                <w:noProof/>
              </w:rPr>
              <w:t xml:space="preserve">05 06 01 — Международни споразумения в сферата на селското стопанство </w:t>
            </w:r>
          </w:p>
        </w:tc>
        <w:tc>
          <w:tcPr>
            <w:tcW w:w="1984" w:type="dxa"/>
            <w:gridSpan w:val="3"/>
            <w:tcBorders>
              <w:top w:val="single" w:sz="6" w:space="0" w:color="auto"/>
              <w:left w:val="nil"/>
              <w:bottom w:val="single" w:sz="6" w:space="0" w:color="auto"/>
              <w:right w:val="single" w:sz="6" w:space="0" w:color="auto"/>
            </w:tcBorders>
          </w:tcPr>
          <w:p>
            <w:pPr>
              <w:pStyle w:val="Fichefinanciretextetable"/>
              <w:keepNext/>
              <w:rPr>
                <w:noProof/>
              </w:rPr>
            </w:pPr>
            <w:r>
              <w:rPr>
                <w:noProof/>
              </w:rPr>
              <w:t>БЮДЖЕТНИ КРЕДИТИ:</w:t>
            </w:r>
          </w:p>
          <w:p>
            <w:pPr>
              <w:pStyle w:val="Fichefinanciretextetable"/>
              <w:keepNext/>
              <w:rPr>
                <w:noProof/>
              </w:rPr>
            </w:pPr>
          </w:p>
          <w:p>
            <w:pPr>
              <w:pStyle w:val="Fichefinanciretextetable"/>
              <w:keepNext/>
              <w:rPr>
                <w:noProof/>
              </w:rPr>
            </w:pPr>
            <w:r>
              <w:rPr>
                <w:noProof/>
              </w:rPr>
              <w:t xml:space="preserve">Б2020: 6 300 000 EUR </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2.</w:t>
            </w:r>
          </w:p>
        </w:tc>
        <w:tc>
          <w:tcPr>
            <w:tcW w:w="8561" w:type="dxa"/>
            <w:gridSpan w:val="6"/>
            <w:tcBorders>
              <w:top w:val="single" w:sz="6" w:space="0" w:color="auto"/>
              <w:left w:val="nil"/>
              <w:bottom w:val="single" w:sz="6" w:space="0" w:color="auto"/>
              <w:right w:val="single" w:sz="6" w:space="0" w:color="auto"/>
            </w:tcBorders>
          </w:tcPr>
          <w:p>
            <w:pPr>
              <w:pStyle w:val="Fichefinanciretextetable"/>
              <w:keepNext/>
              <w:rPr>
                <w:noProof/>
                <w:sz w:val="24"/>
                <w:szCs w:val="24"/>
              </w:rPr>
            </w:pPr>
            <w:r>
              <w:rPr>
                <w:noProof/>
              </w:rPr>
              <w:t xml:space="preserve">ЗАГЛАВИЕ: </w:t>
            </w:r>
            <w:r>
              <w:rPr>
                <w:noProof/>
              </w:rPr>
              <w:br/>
            </w:r>
            <w:r>
              <w:rPr>
                <w:noProof/>
                <w:sz w:val="24"/>
                <w:szCs w:val="24"/>
              </w:rPr>
              <w:t>Предложение за Решение на Съвета за установяване на позицията, която трябва да се заеме от името на Европейския съюз в рамките на Международния съвет по зърното относно присъединяването на Обединеното кралство към Конвенцията за търговията със зърно от 1995 г.</w:t>
            </w:r>
          </w:p>
          <w:p>
            <w:pPr>
              <w:pStyle w:val="Fichefinanciretextetable"/>
              <w:keepNext/>
              <w:rPr>
                <w:noProof/>
              </w:rPr>
            </w:pP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3.</w:t>
            </w:r>
          </w:p>
        </w:tc>
        <w:tc>
          <w:tcPr>
            <w:tcW w:w="8561" w:type="dxa"/>
            <w:gridSpan w:val="6"/>
            <w:tcBorders>
              <w:top w:val="single" w:sz="6" w:space="0" w:color="auto"/>
              <w:left w:val="nil"/>
              <w:bottom w:val="single" w:sz="6" w:space="0" w:color="auto"/>
              <w:right w:val="single" w:sz="6" w:space="0" w:color="auto"/>
            </w:tcBorders>
            <w:hideMark/>
          </w:tcPr>
          <w:p>
            <w:pPr>
              <w:keepNext/>
              <w:spacing w:after="240"/>
              <w:rPr>
                <w:rFonts w:eastAsia="Arial Unicode MS"/>
                <w:noProof/>
              </w:rPr>
            </w:pPr>
            <w:r>
              <w:rPr>
                <w:noProof/>
              </w:rPr>
              <w:t>ПРАВНО ОСНОВАНИЕ: Правното основание за настоящото предложение е член 207, параграф 4 във връзка с член 218, параграф 9 от Договора за функционирането на Европейския съюз.</w:t>
            </w: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4.</w:t>
            </w:r>
          </w:p>
        </w:tc>
        <w:tc>
          <w:tcPr>
            <w:tcW w:w="8561" w:type="dxa"/>
            <w:gridSpan w:val="6"/>
            <w:tcBorders>
              <w:top w:val="single" w:sz="6" w:space="0" w:color="auto"/>
              <w:left w:val="nil"/>
              <w:bottom w:val="single" w:sz="6" w:space="0" w:color="auto"/>
              <w:right w:val="single" w:sz="6" w:space="0" w:color="auto"/>
            </w:tcBorders>
            <w:hideMark/>
          </w:tcPr>
          <w:p>
            <w:pPr>
              <w:pStyle w:val="Fichefinanciretextetable"/>
              <w:keepNext/>
              <w:rPr>
                <w:noProof/>
                <w:sz w:val="24"/>
                <w:szCs w:val="24"/>
              </w:rPr>
            </w:pPr>
            <w:r>
              <w:rPr>
                <w:noProof/>
                <w:sz w:val="24"/>
                <w:szCs w:val="24"/>
              </w:rPr>
              <w:t>ЦЕЛИ:</w:t>
            </w:r>
          </w:p>
          <w:p>
            <w:pPr>
              <w:pStyle w:val="Fichefinanciretextetable"/>
              <w:keepNext/>
              <w:rPr>
                <w:noProof/>
                <w:sz w:val="24"/>
                <w:szCs w:val="24"/>
              </w:rPr>
            </w:pPr>
            <w:r>
              <w:rPr>
                <w:noProof/>
                <w:sz w:val="24"/>
                <w:szCs w:val="24"/>
              </w:rPr>
              <w:t xml:space="preserve">Да се одобри присъединяването на Обединеното кралство към Конвенцията за търговията със зърно от 1995 г. </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5.</w:t>
            </w:r>
          </w:p>
        </w:tc>
        <w:tc>
          <w:tcPr>
            <w:tcW w:w="3884" w:type="dxa"/>
            <w:tcBorders>
              <w:top w:val="single" w:sz="6" w:space="0" w:color="auto"/>
              <w:left w:val="nil"/>
              <w:bottom w:val="single" w:sz="6" w:space="0" w:color="auto"/>
              <w:right w:val="single" w:sz="6" w:space="0" w:color="auto"/>
            </w:tcBorders>
            <w:hideMark/>
          </w:tcPr>
          <w:p>
            <w:pPr>
              <w:pStyle w:val="Fichefinanciretextetable"/>
              <w:keepNext/>
              <w:rPr>
                <w:noProof/>
              </w:rPr>
            </w:pPr>
            <w:r>
              <w:rPr>
                <w:noProof/>
              </w:rPr>
              <w:t>ФИНАНСОВО ОТРАЖЕНИЕ</w:t>
            </w:r>
          </w:p>
        </w:tc>
        <w:tc>
          <w:tcPr>
            <w:tcW w:w="1417" w:type="dxa"/>
            <w:tcBorders>
              <w:top w:val="single" w:sz="6" w:space="0" w:color="auto"/>
              <w:left w:val="single" w:sz="6" w:space="0" w:color="auto"/>
              <w:bottom w:val="single" w:sz="6" w:space="0" w:color="auto"/>
              <w:right w:val="single" w:sz="6" w:space="0" w:color="auto"/>
            </w:tcBorders>
            <w:hideMark/>
          </w:tcPr>
          <w:p>
            <w:pPr>
              <w:pStyle w:val="Fichefinanciretextetable"/>
              <w:keepNext/>
              <w:jc w:val="center"/>
              <w:rPr>
                <w:noProof/>
              </w:rPr>
            </w:pPr>
            <w:r>
              <w:rPr>
                <w:noProof/>
              </w:rPr>
              <w:t xml:space="preserve">ПЕРИОД ОТ 12 МЕСЕЦА </w:t>
            </w:r>
            <w:r>
              <w:rPr>
                <w:noProof/>
              </w:rPr>
              <w:br/>
              <w:t xml:space="preserve"> </w:t>
            </w:r>
            <w:r>
              <w:rPr>
                <w:noProof/>
              </w:rPr>
              <w:br/>
              <w:t>(EUR)</w:t>
            </w:r>
          </w:p>
        </w:tc>
        <w:tc>
          <w:tcPr>
            <w:tcW w:w="1559" w:type="dxa"/>
            <w:gridSpan w:val="2"/>
            <w:tcBorders>
              <w:top w:val="single" w:sz="6" w:space="0" w:color="auto"/>
              <w:left w:val="single" w:sz="6" w:space="0" w:color="auto"/>
              <w:bottom w:val="single" w:sz="6" w:space="0" w:color="auto"/>
              <w:right w:val="single" w:sz="6" w:space="0" w:color="auto"/>
            </w:tcBorders>
            <w:hideMark/>
          </w:tcPr>
          <w:p>
            <w:pPr>
              <w:pStyle w:val="Fichefinanciretextetable"/>
              <w:keepNext/>
              <w:jc w:val="center"/>
              <w:rPr>
                <w:noProof/>
              </w:rPr>
            </w:pPr>
            <w:r>
              <w:rPr>
                <w:noProof/>
              </w:rPr>
              <w:t>ТЕКУЩА ФИНАНСОВА ГОДИНА 2020</w:t>
            </w:r>
          </w:p>
          <w:p>
            <w:pPr>
              <w:pStyle w:val="Fichefinanciretextetable"/>
              <w:keepNext/>
              <w:jc w:val="center"/>
              <w:rPr>
                <w:noProof/>
              </w:rPr>
            </w:pPr>
            <w:r>
              <w:rPr>
                <w:noProof/>
              </w:rPr>
              <w:t>(EUR)</w:t>
            </w:r>
          </w:p>
        </w:tc>
        <w:tc>
          <w:tcPr>
            <w:tcW w:w="1701" w:type="dxa"/>
            <w:gridSpan w:val="2"/>
            <w:tcBorders>
              <w:top w:val="single" w:sz="6" w:space="0" w:color="auto"/>
              <w:left w:val="single" w:sz="6" w:space="0" w:color="auto"/>
              <w:bottom w:val="single" w:sz="6" w:space="0" w:color="auto"/>
              <w:right w:val="single" w:sz="6" w:space="0" w:color="auto"/>
            </w:tcBorders>
            <w:hideMark/>
          </w:tcPr>
          <w:p>
            <w:pPr>
              <w:pStyle w:val="Fichefinanciretextetable"/>
              <w:keepNext/>
              <w:jc w:val="center"/>
              <w:rPr>
                <w:noProof/>
              </w:rPr>
            </w:pPr>
            <w:r>
              <w:rPr>
                <w:noProof/>
              </w:rPr>
              <w:t xml:space="preserve">СЛЕДВАЩА ФИНАНСОВА ГОДИНА 2021 </w:t>
            </w:r>
          </w:p>
          <w:p>
            <w:pPr>
              <w:pStyle w:val="Fichefinanciretextetable"/>
              <w:keepNext/>
              <w:jc w:val="center"/>
              <w:rPr>
                <w:noProof/>
              </w:rPr>
            </w:pPr>
            <w:r>
              <w:rPr>
                <w:noProof/>
              </w:rPr>
              <w:t>(EUR)</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5.0</w:t>
            </w:r>
          </w:p>
        </w:tc>
        <w:tc>
          <w:tcPr>
            <w:tcW w:w="3884" w:type="dxa"/>
            <w:tcBorders>
              <w:top w:val="single" w:sz="6" w:space="0" w:color="auto"/>
              <w:left w:val="nil"/>
              <w:bottom w:val="single" w:sz="6" w:space="0" w:color="auto"/>
              <w:right w:val="single" w:sz="6" w:space="0" w:color="auto"/>
            </w:tcBorders>
            <w:hideMark/>
          </w:tcPr>
          <w:p>
            <w:pPr>
              <w:pStyle w:val="Fichefinanciretextetable"/>
              <w:keepNext/>
              <w:rPr>
                <w:noProof/>
              </w:rPr>
            </w:pPr>
            <w:r>
              <w:rPr>
                <w:noProof/>
              </w:rPr>
              <w:t>РАЗХОДИ</w:t>
            </w:r>
          </w:p>
          <w:p>
            <w:pPr>
              <w:pStyle w:val="Fichefinanciretextetable"/>
              <w:keepNext/>
              <w:rPr>
                <w:noProof/>
              </w:rPr>
            </w:pPr>
            <w:r>
              <w:rPr>
                <w:noProof/>
              </w:rPr>
              <w:t>—</w:t>
            </w:r>
            <w:r>
              <w:rPr>
                <w:noProof/>
              </w:rPr>
              <w:tab/>
              <w:t xml:space="preserve">ЗА СМЕТКА НА БЮДЖЕТА НА ЕС  </w:t>
            </w:r>
            <w:r>
              <w:rPr>
                <w:noProof/>
              </w:rPr>
              <w:br/>
              <w:t>(ВЪЗСТАНОВЯВАНИЯ/ИНТЕРВЕНЦИИ)</w:t>
            </w:r>
          </w:p>
          <w:p>
            <w:pPr>
              <w:pStyle w:val="Fichefinanciretextetable"/>
              <w:keepNext/>
              <w:rPr>
                <w:noProof/>
              </w:rPr>
            </w:pPr>
            <w:r>
              <w:rPr>
                <w:noProof/>
              </w:rPr>
              <w:t>—</w:t>
            </w:r>
            <w:r>
              <w:rPr>
                <w:noProof/>
              </w:rPr>
              <w:tab/>
              <w:t>НА НАЦИОНАЛНИТЕ ОРГАНИ</w:t>
            </w:r>
          </w:p>
          <w:p>
            <w:pPr>
              <w:pStyle w:val="Fichefinanciretextetable"/>
              <w:keepNext/>
              <w:rPr>
                <w:noProof/>
              </w:rPr>
            </w:pPr>
            <w:r>
              <w:rPr>
                <w:noProof/>
              </w:rPr>
              <w:t>—</w:t>
            </w:r>
            <w:r>
              <w:rPr>
                <w:noProof/>
              </w:rPr>
              <w:tab/>
              <w:t>ДРУГИ</w:t>
            </w:r>
          </w:p>
        </w:tc>
        <w:tc>
          <w:tcPr>
            <w:tcW w:w="1417" w:type="dxa"/>
            <w:tcBorders>
              <w:top w:val="single" w:sz="6" w:space="0" w:color="auto"/>
              <w:left w:val="single" w:sz="6" w:space="0" w:color="auto"/>
              <w:bottom w:val="single" w:sz="6" w:space="0" w:color="auto"/>
              <w:right w:val="single" w:sz="6" w:space="0" w:color="auto"/>
            </w:tcBorders>
          </w:tcPr>
          <w:p>
            <w:pPr>
              <w:pStyle w:val="Fichefinanciretextetable"/>
              <w:keepNext/>
              <w:jc w:val="center"/>
              <w:rPr>
                <w:noProof/>
              </w:rPr>
            </w:pPr>
          </w:p>
        </w:tc>
        <w:tc>
          <w:tcPr>
            <w:tcW w:w="1559" w:type="dxa"/>
            <w:gridSpan w:val="2"/>
            <w:tcBorders>
              <w:top w:val="single" w:sz="6" w:space="0" w:color="auto"/>
              <w:left w:val="single" w:sz="6" w:space="0" w:color="auto"/>
              <w:bottom w:val="single" w:sz="6" w:space="0" w:color="auto"/>
              <w:right w:val="single" w:sz="6" w:space="0" w:color="auto"/>
            </w:tcBorders>
            <w:hideMark/>
          </w:tcPr>
          <w:p>
            <w:pPr>
              <w:pStyle w:val="Fichefinanciretextetable"/>
              <w:keepNext/>
              <w:jc w:val="center"/>
              <w:rPr>
                <w:noProof/>
              </w:rPr>
            </w:pPr>
          </w:p>
        </w:tc>
        <w:tc>
          <w:tcPr>
            <w:tcW w:w="1701" w:type="dxa"/>
            <w:gridSpan w:val="2"/>
            <w:tcBorders>
              <w:top w:val="single" w:sz="6" w:space="0" w:color="auto"/>
              <w:left w:val="single" w:sz="6" w:space="0" w:color="auto"/>
              <w:bottom w:val="single" w:sz="6" w:space="0" w:color="auto"/>
              <w:right w:val="single" w:sz="6" w:space="0" w:color="auto"/>
            </w:tcBorders>
            <w:hideMark/>
          </w:tcPr>
          <w:p>
            <w:pPr>
              <w:pStyle w:val="Fichefinanciretextetable"/>
              <w:keepNext/>
              <w:tabs>
                <w:tab w:val="left" w:pos="435"/>
                <w:tab w:val="center" w:pos="794"/>
              </w:tabs>
              <w:ind w:left="795"/>
              <w:rPr>
                <w:noProof/>
              </w:rPr>
            </w:pPr>
            <w:r>
              <w:rPr>
                <w:noProof/>
              </w:rPr>
              <w:t>-3 024</w:t>
            </w: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5.1</w:t>
            </w:r>
          </w:p>
        </w:tc>
        <w:tc>
          <w:tcPr>
            <w:tcW w:w="3884" w:type="dxa"/>
            <w:tcBorders>
              <w:top w:val="single" w:sz="6" w:space="0" w:color="auto"/>
              <w:left w:val="nil"/>
              <w:bottom w:val="single" w:sz="6" w:space="0" w:color="auto"/>
              <w:right w:val="single" w:sz="6" w:space="0" w:color="auto"/>
            </w:tcBorders>
            <w:hideMark/>
          </w:tcPr>
          <w:p>
            <w:pPr>
              <w:pStyle w:val="Fichefinanciretextetable"/>
              <w:keepNext/>
              <w:rPr>
                <w:noProof/>
              </w:rPr>
            </w:pPr>
            <w:r>
              <w:rPr>
                <w:noProof/>
              </w:rPr>
              <w:t>ПРИХОДИ</w:t>
            </w:r>
          </w:p>
          <w:p>
            <w:pPr>
              <w:pStyle w:val="Fichefinanciretextetable"/>
              <w:keepNext/>
              <w:rPr>
                <w:noProof/>
              </w:rPr>
            </w:pPr>
            <w:r>
              <w:rPr>
                <w:noProof/>
              </w:rPr>
              <w:t>—</w:t>
            </w:r>
            <w:r>
              <w:rPr>
                <w:noProof/>
              </w:rPr>
              <w:tab/>
              <w:t xml:space="preserve">СОБСТВЕНИ РЕСУРСИ НА ЕС </w:t>
            </w:r>
            <w:r>
              <w:rPr>
                <w:noProof/>
              </w:rPr>
              <w:br/>
              <w:t>(НАЛОЗИ/МИТА)</w:t>
            </w:r>
          </w:p>
          <w:p>
            <w:pPr>
              <w:pStyle w:val="Fichefinanciretextetable"/>
              <w:keepNext/>
              <w:rPr>
                <w:noProof/>
              </w:rPr>
            </w:pPr>
            <w:r>
              <w:rPr>
                <w:noProof/>
              </w:rPr>
              <w:t>—</w:t>
            </w:r>
            <w:r>
              <w:rPr>
                <w:noProof/>
              </w:rPr>
              <w:tab/>
              <w:t>НАЦИОНАЛНИ</w:t>
            </w:r>
          </w:p>
        </w:tc>
        <w:tc>
          <w:tcPr>
            <w:tcW w:w="1417" w:type="dxa"/>
            <w:tcBorders>
              <w:top w:val="single" w:sz="6" w:space="0" w:color="auto"/>
              <w:left w:val="single" w:sz="6" w:space="0" w:color="auto"/>
              <w:bottom w:val="single" w:sz="6" w:space="0" w:color="auto"/>
              <w:right w:val="single" w:sz="6" w:space="0" w:color="auto"/>
            </w:tcBorders>
          </w:tcPr>
          <w:p>
            <w:pPr>
              <w:pStyle w:val="Fichefinanciretextetable"/>
              <w:keepNext/>
              <w:jc w:val="center"/>
              <w:rPr>
                <w:noProof/>
              </w:rPr>
            </w:pPr>
          </w:p>
        </w:tc>
        <w:tc>
          <w:tcPr>
            <w:tcW w:w="1559" w:type="dxa"/>
            <w:gridSpan w:val="2"/>
            <w:tcBorders>
              <w:top w:val="single" w:sz="6" w:space="0" w:color="auto"/>
              <w:left w:val="single" w:sz="6" w:space="0" w:color="auto"/>
              <w:bottom w:val="single" w:sz="6" w:space="0" w:color="auto"/>
              <w:right w:val="single" w:sz="6" w:space="0" w:color="auto"/>
            </w:tcBorders>
          </w:tcPr>
          <w:p>
            <w:pPr>
              <w:pStyle w:val="Fichefinanciretextetable"/>
              <w:keepNext/>
              <w:jc w:val="center"/>
              <w:rPr>
                <w:noProof/>
              </w:rPr>
            </w:pPr>
          </w:p>
        </w:tc>
        <w:tc>
          <w:tcPr>
            <w:tcW w:w="1701" w:type="dxa"/>
            <w:gridSpan w:val="2"/>
            <w:tcBorders>
              <w:top w:val="single" w:sz="6" w:space="0" w:color="auto"/>
              <w:left w:val="single" w:sz="6" w:space="0" w:color="auto"/>
              <w:bottom w:val="single" w:sz="6" w:space="0" w:color="auto"/>
              <w:right w:val="single" w:sz="6" w:space="0" w:color="auto"/>
            </w:tcBorders>
          </w:tcPr>
          <w:p>
            <w:pPr>
              <w:pStyle w:val="Fichefinanciretextetable"/>
              <w:keepNext/>
              <w:jc w:val="center"/>
              <w:rPr>
                <w:noProof/>
              </w:rPr>
            </w:pPr>
          </w:p>
        </w:tc>
      </w:tr>
      <w:tr>
        <w:tc>
          <w:tcPr>
            <w:tcW w:w="567" w:type="dxa"/>
            <w:tcBorders>
              <w:top w:val="single" w:sz="6" w:space="0" w:color="auto"/>
              <w:left w:val="single" w:sz="6" w:space="0" w:color="auto"/>
              <w:bottom w:val="nil"/>
              <w:right w:val="nil"/>
            </w:tcBorders>
          </w:tcPr>
          <w:p>
            <w:pPr>
              <w:pStyle w:val="Fichefinanciretextetable"/>
              <w:keepNext/>
              <w:rPr>
                <w:noProof/>
              </w:rPr>
            </w:pPr>
          </w:p>
        </w:tc>
        <w:tc>
          <w:tcPr>
            <w:tcW w:w="3884" w:type="dxa"/>
            <w:tcBorders>
              <w:top w:val="single" w:sz="6" w:space="0" w:color="auto"/>
              <w:left w:val="nil"/>
              <w:bottom w:val="nil"/>
              <w:right w:val="single" w:sz="6" w:space="0" w:color="auto"/>
            </w:tcBorders>
          </w:tcPr>
          <w:p>
            <w:pPr>
              <w:pStyle w:val="Fichefinanciretextetable"/>
              <w:keepNext/>
              <w:rPr>
                <w:noProof/>
              </w:rPr>
            </w:pPr>
          </w:p>
        </w:tc>
        <w:tc>
          <w:tcPr>
            <w:tcW w:w="1417" w:type="dxa"/>
            <w:tcBorders>
              <w:top w:val="single" w:sz="6" w:space="0" w:color="auto"/>
              <w:left w:val="single" w:sz="6" w:space="0" w:color="auto"/>
              <w:bottom w:val="nil"/>
              <w:right w:val="single" w:sz="6" w:space="0" w:color="auto"/>
            </w:tcBorders>
          </w:tcPr>
          <w:p>
            <w:pPr>
              <w:pStyle w:val="Fichefinanciretextetable"/>
              <w:keepNext/>
              <w:jc w:val="center"/>
              <w:rPr>
                <w:noProof/>
              </w:rPr>
            </w:pPr>
          </w:p>
        </w:tc>
        <w:tc>
          <w:tcPr>
            <w:tcW w:w="1559" w:type="dxa"/>
            <w:gridSpan w:val="2"/>
            <w:tcBorders>
              <w:top w:val="single" w:sz="6" w:space="0" w:color="auto"/>
              <w:left w:val="single" w:sz="6" w:space="0" w:color="auto"/>
              <w:bottom w:val="nil"/>
              <w:right w:val="single" w:sz="6" w:space="0" w:color="auto"/>
            </w:tcBorders>
          </w:tcPr>
          <w:p>
            <w:pPr>
              <w:pStyle w:val="Fichefinanciretextetable"/>
              <w:keepNext/>
              <w:jc w:val="center"/>
            </w:pPr>
          </w:p>
        </w:tc>
        <w:tc>
          <w:tcPr>
            <w:tcW w:w="1701" w:type="dxa"/>
            <w:gridSpan w:val="2"/>
            <w:tcBorders>
              <w:top w:val="single" w:sz="6" w:space="0" w:color="auto"/>
              <w:left w:val="single" w:sz="6" w:space="0" w:color="auto"/>
              <w:bottom w:val="nil"/>
              <w:right w:val="single" w:sz="6" w:space="0" w:color="auto"/>
            </w:tcBorders>
          </w:tcPr>
          <w:p>
            <w:pPr>
              <w:pStyle w:val="Fichefinanciretextetable"/>
              <w:keepNext/>
              <w:jc w:val="center"/>
            </w:pPr>
          </w:p>
        </w:tc>
      </w:tr>
      <w:tr>
        <w:tc>
          <w:tcPr>
            <w:tcW w:w="567" w:type="dxa"/>
            <w:tcBorders>
              <w:top w:val="nil"/>
              <w:left w:val="single" w:sz="6" w:space="0" w:color="auto"/>
              <w:bottom w:val="nil"/>
              <w:right w:val="nil"/>
            </w:tcBorders>
            <w:hideMark/>
          </w:tcPr>
          <w:p>
            <w:pPr>
              <w:pStyle w:val="Fichefinanciretextetable"/>
              <w:keepNext/>
              <w:rPr>
                <w:noProof/>
              </w:rPr>
            </w:pPr>
            <w:r>
              <w:rPr>
                <w:noProof/>
              </w:rPr>
              <w:t>5.0.1</w:t>
            </w:r>
          </w:p>
        </w:tc>
        <w:tc>
          <w:tcPr>
            <w:tcW w:w="3884" w:type="dxa"/>
            <w:tcBorders>
              <w:top w:val="nil"/>
              <w:left w:val="nil"/>
              <w:bottom w:val="nil"/>
              <w:right w:val="single" w:sz="6" w:space="0" w:color="auto"/>
            </w:tcBorders>
            <w:hideMark/>
          </w:tcPr>
          <w:p>
            <w:pPr>
              <w:pStyle w:val="Fichefinanciretextetable"/>
              <w:keepNext/>
              <w:rPr>
                <w:noProof/>
              </w:rPr>
            </w:pPr>
            <w:r>
              <w:rPr>
                <w:noProof/>
              </w:rPr>
              <w:t>ОЧАКВАНИ РАЗХОДИ</w:t>
            </w:r>
          </w:p>
        </w:tc>
        <w:tc>
          <w:tcPr>
            <w:tcW w:w="1417" w:type="dxa"/>
            <w:tcBorders>
              <w:top w:val="single" w:sz="6" w:space="0" w:color="auto"/>
              <w:left w:val="single" w:sz="6" w:space="0" w:color="auto"/>
              <w:bottom w:val="nil"/>
              <w:right w:val="single" w:sz="6" w:space="0" w:color="auto"/>
            </w:tcBorders>
          </w:tcPr>
          <w:p>
            <w:pPr>
              <w:pStyle w:val="Fichefinanciretextetable"/>
              <w:keepNext/>
              <w:rPr>
                <w:noProof/>
              </w:rPr>
            </w:pPr>
          </w:p>
        </w:tc>
        <w:tc>
          <w:tcPr>
            <w:tcW w:w="1559" w:type="dxa"/>
            <w:gridSpan w:val="2"/>
            <w:tcBorders>
              <w:top w:val="single" w:sz="6" w:space="0" w:color="auto"/>
              <w:left w:val="single" w:sz="6" w:space="0" w:color="auto"/>
              <w:bottom w:val="nil"/>
              <w:right w:val="single" w:sz="6" w:space="0" w:color="auto"/>
            </w:tcBorders>
          </w:tcPr>
          <w:p>
            <w:pPr>
              <w:pStyle w:val="Fichefinanciretextetable"/>
              <w:keepNext/>
              <w:jc w:val="center"/>
              <w:rPr>
                <w:noProof/>
              </w:rPr>
            </w:pPr>
          </w:p>
        </w:tc>
        <w:tc>
          <w:tcPr>
            <w:tcW w:w="1701" w:type="dxa"/>
            <w:gridSpan w:val="2"/>
            <w:vMerge w:val="restart"/>
            <w:tcBorders>
              <w:top w:val="single" w:sz="6" w:space="0" w:color="auto"/>
              <w:left w:val="single" w:sz="6" w:space="0" w:color="auto"/>
              <w:right w:val="single" w:sz="6" w:space="0" w:color="auto"/>
            </w:tcBorders>
          </w:tcPr>
          <w:p>
            <w:pPr>
              <w:pStyle w:val="Fichefinanciretextetable"/>
              <w:keepNext/>
              <w:jc w:val="center"/>
              <w:rPr>
                <w:noProof/>
              </w:rPr>
            </w:pPr>
          </w:p>
        </w:tc>
      </w:tr>
      <w:tr>
        <w:tc>
          <w:tcPr>
            <w:tcW w:w="567" w:type="dxa"/>
            <w:tcBorders>
              <w:top w:val="nil"/>
              <w:left w:val="single" w:sz="6" w:space="0" w:color="auto"/>
              <w:bottom w:val="single" w:sz="6" w:space="0" w:color="auto"/>
              <w:right w:val="nil"/>
            </w:tcBorders>
            <w:hideMark/>
          </w:tcPr>
          <w:p>
            <w:pPr>
              <w:pStyle w:val="Fichefinanciretextetable"/>
              <w:keepNext/>
              <w:rPr>
                <w:noProof/>
              </w:rPr>
            </w:pPr>
            <w:r>
              <w:rPr>
                <w:noProof/>
              </w:rPr>
              <w:t>5.1.1</w:t>
            </w:r>
          </w:p>
        </w:tc>
        <w:tc>
          <w:tcPr>
            <w:tcW w:w="3884" w:type="dxa"/>
            <w:tcBorders>
              <w:top w:val="nil"/>
              <w:left w:val="nil"/>
              <w:bottom w:val="single" w:sz="6" w:space="0" w:color="auto"/>
              <w:right w:val="single" w:sz="6" w:space="0" w:color="auto"/>
            </w:tcBorders>
            <w:hideMark/>
          </w:tcPr>
          <w:p>
            <w:pPr>
              <w:pStyle w:val="Fichefinanciretextetable"/>
              <w:keepNext/>
              <w:rPr>
                <w:noProof/>
              </w:rPr>
            </w:pPr>
            <w:r>
              <w:rPr>
                <w:noProof/>
              </w:rPr>
              <w:t>ОЧАКВАНИ ПРИХОДИ</w:t>
            </w:r>
          </w:p>
        </w:tc>
        <w:tc>
          <w:tcPr>
            <w:tcW w:w="1417" w:type="dxa"/>
            <w:tcBorders>
              <w:top w:val="nil"/>
              <w:left w:val="single" w:sz="6" w:space="0" w:color="auto"/>
              <w:bottom w:val="single" w:sz="6" w:space="0" w:color="auto"/>
              <w:right w:val="single" w:sz="6" w:space="0" w:color="auto"/>
            </w:tcBorders>
          </w:tcPr>
          <w:p>
            <w:pPr>
              <w:pStyle w:val="Fichefinanciretextetable"/>
              <w:keepNext/>
              <w:jc w:val="center"/>
              <w:rPr>
                <w:noProof/>
              </w:rPr>
            </w:pPr>
          </w:p>
        </w:tc>
        <w:tc>
          <w:tcPr>
            <w:tcW w:w="1559" w:type="dxa"/>
            <w:gridSpan w:val="2"/>
            <w:tcBorders>
              <w:top w:val="nil"/>
              <w:left w:val="single" w:sz="6" w:space="0" w:color="auto"/>
              <w:bottom w:val="single" w:sz="6" w:space="0" w:color="auto"/>
              <w:right w:val="single" w:sz="6" w:space="0" w:color="auto"/>
            </w:tcBorders>
          </w:tcPr>
          <w:p>
            <w:pPr>
              <w:pStyle w:val="Fichefinanciretextetable"/>
              <w:keepNext/>
              <w:jc w:val="center"/>
              <w:rPr>
                <w:noProof/>
              </w:rPr>
            </w:pPr>
          </w:p>
        </w:tc>
        <w:tc>
          <w:tcPr>
            <w:tcW w:w="1701" w:type="dxa"/>
            <w:gridSpan w:val="2"/>
            <w:vMerge/>
            <w:tcBorders>
              <w:left w:val="single" w:sz="6" w:space="0" w:color="auto"/>
              <w:bottom w:val="single" w:sz="6" w:space="0" w:color="auto"/>
              <w:right w:val="single" w:sz="6" w:space="0" w:color="auto"/>
            </w:tcBorders>
          </w:tcPr>
          <w:p>
            <w:pPr>
              <w:pStyle w:val="Fichefinanciretextetable"/>
              <w:keepNext/>
              <w:jc w:val="center"/>
              <w:rPr>
                <w:noProof/>
              </w:rPr>
            </w:pP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5.2</w:t>
            </w:r>
          </w:p>
        </w:tc>
        <w:tc>
          <w:tcPr>
            <w:tcW w:w="8561" w:type="dxa"/>
            <w:gridSpan w:val="6"/>
            <w:tcBorders>
              <w:top w:val="single" w:sz="6" w:space="0" w:color="auto"/>
              <w:left w:val="nil"/>
              <w:bottom w:val="single" w:sz="6" w:space="0" w:color="auto"/>
              <w:right w:val="single" w:sz="6" w:space="0" w:color="auto"/>
            </w:tcBorders>
            <w:hideMark/>
          </w:tcPr>
          <w:p>
            <w:pPr>
              <w:pStyle w:val="Fichefinanciretextetable"/>
              <w:keepNext/>
              <w:spacing w:before="60" w:after="60"/>
              <w:rPr>
                <w:noProof/>
              </w:rPr>
            </w:pPr>
            <w:r>
              <w:rPr>
                <w:noProof/>
              </w:rPr>
              <w:t>МЕТОД НА ИЗЧИСЛЕНИЕ: 4 гласа по-малко за ЕС, 756 GBP/глас</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6.0</w:t>
            </w:r>
          </w:p>
        </w:tc>
        <w:tc>
          <w:tcPr>
            <w:tcW w:w="7427" w:type="dxa"/>
            <w:gridSpan w:val="5"/>
            <w:tcBorders>
              <w:top w:val="single" w:sz="6" w:space="0" w:color="auto"/>
              <w:left w:val="nil"/>
              <w:bottom w:val="single" w:sz="6" w:space="0" w:color="auto"/>
              <w:right w:val="nil"/>
            </w:tcBorders>
            <w:hideMark/>
          </w:tcPr>
          <w:p>
            <w:pPr>
              <w:pStyle w:val="Fichefinanciretextetable"/>
              <w:keepNext/>
              <w:spacing w:before="60" w:after="60"/>
              <w:rPr>
                <w:noProof/>
              </w:rPr>
            </w:pPr>
            <w:r>
              <w:rPr>
                <w:noProof/>
              </w:rPr>
              <w:t>МОЖЕ ЛИ ПРОЕКТЪТ ДА БЪДЕ ФИНАНСИРАН ОТ БЮДЖЕТНИ КРЕДИТИ, ВПИСАНИ В СЪОТВЕТНАТА ГЛАВА НА ТЕКУЩИЯ БЮДЖЕТ?</w:t>
            </w:r>
          </w:p>
        </w:tc>
        <w:tc>
          <w:tcPr>
            <w:tcW w:w="1134" w:type="dxa"/>
            <w:tcBorders>
              <w:top w:val="single" w:sz="6" w:space="0" w:color="auto"/>
              <w:left w:val="nil"/>
              <w:bottom w:val="nil"/>
              <w:right w:val="single" w:sz="6" w:space="0" w:color="auto"/>
            </w:tcBorders>
            <w:hideMark/>
          </w:tcPr>
          <w:p>
            <w:pPr>
              <w:pStyle w:val="Fichefinanciretextetable"/>
              <w:keepNext/>
              <w:jc w:val="center"/>
              <w:rPr>
                <w:strike/>
                <w:noProof/>
              </w:rPr>
            </w:pPr>
            <w:r>
              <w:rPr>
                <w:noProof/>
              </w:rPr>
              <w:t>ДА НЕ</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6.1</w:t>
            </w:r>
          </w:p>
        </w:tc>
        <w:tc>
          <w:tcPr>
            <w:tcW w:w="7427" w:type="dxa"/>
            <w:gridSpan w:val="5"/>
            <w:tcBorders>
              <w:top w:val="single" w:sz="6" w:space="0" w:color="auto"/>
              <w:left w:val="nil"/>
              <w:bottom w:val="single" w:sz="6" w:space="0" w:color="auto"/>
              <w:right w:val="nil"/>
            </w:tcBorders>
            <w:hideMark/>
          </w:tcPr>
          <w:p>
            <w:pPr>
              <w:pStyle w:val="Fichefinanciretextetable"/>
              <w:keepNext/>
              <w:spacing w:before="60" w:after="60"/>
              <w:rPr>
                <w:noProof/>
              </w:rPr>
            </w:pPr>
            <w:r>
              <w:rPr>
                <w:noProof/>
              </w:rPr>
              <w:t>МОЖЕ ЛИ ПРОЕКТЪТ ДА БЪДЕ ФИНАНСИРАН ЧРЕЗ ПРЕХВЪРЛЯНЕ МЕЖДУ ГЛАВИ ОТ ТЕКУЩИЯ БЮДЖЕТ?</w:t>
            </w:r>
          </w:p>
        </w:tc>
        <w:tc>
          <w:tcPr>
            <w:tcW w:w="1134" w:type="dxa"/>
            <w:tcBorders>
              <w:top w:val="single" w:sz="6" w:space="0" w:color="auto"/>
              <w:left w:val="nil"/>
              <w:bottom w:val="nil"/>
              <w:right w:val="single" w:sz="6" w:space="0" w:color="auto"/>
            </w:tcBorders>
            <w:hideMark/>
          </w:tcPr>
          <w:p>
            <w:pPr>
              <w:pStyle w:val="Fichefinanciretextetable"/>
              <w:keepNext/>
              <w:jc w:val="center"/>
              <w:rPr>
                <w:strike/>
                <w:noProof/>
              </w:rPr>
            </w:pPr>
            <w:r>
              <w:rPr>
                <w:noProof/>
              </w:rPr>
              <w:t>ДА НЕ</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6.2</w:t>
            </w:r>
          </w:p>
        </w:tc>
        <w:tc>
          <w:tcPr>
            <w:tcW w:w="7427" w:type="dxa"/>
            <w:gridSpan w:val="5"/>
            <w:tcBorders>
              <w:top w:val="single" w:sz="6" w:space="0" w:color="auto"/>
              <w:left w:val="nil"/>
              <w:bottom w:val="single" w:sz="6" w:space="0" w:color="auto"/>
              <w:right w:val="nil"/>
            </w:tcBorders>
            <w:hideMark/>
          </w:tcPr>
          <w:p>
            <w:pPr>
              <w:pStyle w:val="Fichefinanciretextetable"/>
              <w:keepNext/>
              <w:spacing w:before="60" w:after="60"/>
              <w:rPr>
                <w:noProof/>
              </w:rPr>
            </w:pPr>
            <w:r>
              <w:rPr>
                <w:noProof/>
              </w:rPr>
              <w:t>ЩЕ БЪДЕ ЛИ НЕОБХОДИМ ДОПЪЛНИТЕЛЕН БЮДЖЕТ?</w:t>
            </w:r>
          </w:p>
        </w:tc>
        <w:tc>
          <w:tcPr>
            <w:tcW w:w="1134" w:type="dxa"/>
            <w:tcBorders>
              <w:top w:val="single" w:sz="6" w:space="0" w:color="auto"/>
              <w:left w:val="nil"/>
              <w:bottom w:val="nil"/>
              <w:right w:val="single" w:sz="6" w:space="0" w:color="auto"/>
            </w:tcBorders>
            <w:hideMark/>
          </w:tcPr>
          <w:p>
            <w:pPr>
              <w:pStyle w:val="Fichefinanciretextetable"/>
              <w:keepNext/>
              <w:rPr>
                <w:strike/>
                <w:noProof/>
              </w:rPr>
            </w:pPr>
            <w:r>
              <w:rPr>
                <w:noProof/>
              </w:rPr>
              <w:t xml:space="preserve">    ДА НЕ</w:t>
            </w: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6.3</w:t>
            </w:r>
          </w:p>
        </w:tc>
        <w:tc>
          <w:tcPr>
            <w:tcW w:w="7427" w:type="dxa"/>
            <w:gridSpan w:val="5"/>
            <w:tcBorders>
              <w:top w:val="single" w:sz="6" w:space="0" w:color="auto"/>
              <w:left w:val="nil"/>
              <w:bottom w:val="single" w:sz="6" w:space="0" w:color="auto"/>
              <w:right w:val="nil"/>
            </w:tcBorders>
            <w:hideMark/>
          </w:tcPr>
          <w:p>
            <w:pPr>
              <w:pStyle w:val="Fichefinanciretextetable"/>
              <w:keepNext/>
              <w:spacing w:before="60" w:after="60"/>
              <w:rPr>
                <w:noProof/>
              </w:rPr>
            </w:pPr>
            <w:r>
              <w:rPr>
                <w:noProof/>
              </w:rPr>
              <w:t>ЩЕ БЪДЕ ЛИ НЕОБХОДИМО ВПИСВАНЕТО НА БЮДЖЕТНИ КРЕДИТИ В БЪДЕЩИ БЮДЖЕТИ?</w:t>
            </w:r>
          </w:p>
        </w:tc>
        <w:tc>
          <w:tcPr>
            <w:tcW w:w="1134" w:type="dxa"/>
            <w:tcBorders>
              <w:top w:val="single" w:sz="6" w:space="0" w:color="auto"/>
              <w:left w:val="nil"/>
              <w:bottom w:val="single" w:sz="6" w:space="0" w:color="auto"/>
              <w:right w:val="single" w:sz="6" w:space="0" w:color="auto"/>
            </w:tcBorders>
            <w:hideMark/>
          </w:tcPr>
          <w:p>
            <w:pPr>
              <w:pStyle w:val="Fichefinanciretextetable"/>
              <w:keepNext/>
              <w:jc w:val="center"/>
            </w:pPr>
            <w:r>
              <w:rPr>
                <w:noProof/>
              </w:rPr>
              <w:t>ДА НЕ</w:t>
            </w:r>
          </w:p>
        </w:tc>
      </w:tr>
      <w:tr>
        <w:tc>
          <w:tcPr>
            <w:tcW w:w="9128" w:type="dxa"/>
            <w:gridSpan w:val="7"/>
            <w:tcBorders>
              <w:top w:val="single" w:sz="6" w:space="0" w:color="auto"/>
              <w:left w:val="single" w:sz="6" w:space="0" w:color="auto"/>
              <w:bottom w:val="single" w:sz="6" w:space="0" w:color="auto"/>
              <w:right w:val="single" w:sz="6" w:space="0" w:color="auto"/>
            </w:tcBorders>
          </w:tcPr>
          <w:p>
            <w:pPr>
              <w:pStyle w:val="Fichefinanciretextetable"/>
              <w:rPr>
                <w:noProof/>
              </w:rPr>
            </w:pPr>
            <w:r>
              <w:rPr>
                <w:noProof/>
                <w:sz w:val="24"/>
                <w:szCs w:val="24"/>
              </w:rPr>
              <w:t xml:space="preserve">Решението ще има незначително положително въздействие върху бюджета на ЕС от </w:t>
            </w:r>
            <w:r>
              <w:rPr>
                <w:noProof/>
                <w:sz w:val="24"/>
                <w:szCs w:val="24"/>
              </w:rPr>
              <w:lastRenderedPageBreak/>
              <w:t>бюджета за 2021 г. Очаква се вноската на ЕС да бъде с 3 024 EUR по-малко, тъй като Обединеното кралство ще плати собствения си членски внос. Размерът може да варира в зависимост от сумата, която трябва да се плати за всеки един глас в GBP, и от обменния курс EUR/GBP.</w:t>
            </w:r>
          </w:p>
        </w:tc>
      </w:tr>
    </w:tbl>
    <w:p>
      <w:pPr>
        <w:rPr>
          <w:noProof/>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ОВ L 21, 27.1.1996 г., стр. 47. </w:t>
      </w:r>
    </w:p>
  </w:footnote>
  <w:footnote w:id="2">
    <w:p>
      <w:pPr>
        <w:pStyle w:val="FootnoteText"/>
      </w:pPr>
      <w:r>
        <w:rPr>
          <w:rStyle w:val="FootnoteReference"/>
        </w:rPr>
        <w:footnoteRef/>
      </w:r>
      <w:r>
        <w:tab/>
        <w:t>Работата на Международния съвет по зърното е организирана въз основа на финансова година, която продължава от 1 юли до 30 юни следващата година.</w:t>
      </w:r>
    </w:p>
  </w:footnote>
  <w:footnote w:id="3">
    <w:p>
      <w:pPr>
        <w:pStyle w:val="FootnoteText"/>
      </w:pPr>
      <w:r>
        <w:rPr>
          <w:rStyle w:val="FootnoteReference"/>
        </w:rPr>
        <w:footnoteRef/>
      </w:r>
      <w:r>
        <w:tab/>
        <w:t>С писмо от министъра на околната среда, храните и селските райони (DEFRA), от министъра на международното развитие (DFID) и от министъра на външните работи и въпросите на Британската общност (FCO) на Обединеното кралство.</w:t>
      </w:r>
    </w:p>
  </w:footnote>
  <w:footnote w:id="4">
    <w:p>
      <w:pPr>
        <w:pStyle w:val="FootnoteText"/>
      </w:pPr>
      <w:r>
        <w:rPr>
          <w:rStyle w:val="FootnoteReference"/>
        </w:rPr>
        <w:footnoteRef/>
      </w:r>
      <w:r>
        <w:tab/>
        <w:t xml:space="preserve">Споразумение за оттегляне на Обединено кралство Великобритания и Северна Ирландия от Европейския съюз и Европейската общност за атомна енергия. </w:t>
      </w:r>
    </w:p>
  </w:footnote>
  <w:footnote w:id="5">
    <w:p>
      <w:pPr>
        <w:pStyle w:val="FootnoteText"/>
      </w:pPr>
      <w:r>
        <w:rPr>
          <w:rStyle w:val="FootnoteReference"/>
        </w:rPr>
        <w:footnoteRef/>
      </w:r>
      <w:r>
        <w:tab/>
        <w:t>ОВ L 21, 27.1.1996 г., стр. 47.</w:t>
      </w:r>
    </w:p>
  </w:footnote>
  <w:footnote w:id="6">
    <w:p>
      <w:pPr>
        <w:pStyle w:val="FootnoteText"/>
      </w:pPr>
      <w:r>
        <w:rPr>
          <w:rStyle w:val="FootnoteReference"/>
        </w:rPr>
        <w:footnoteRef/>
      </w:r>
      <w:r>
        <w:tab/>
        <w:t>Решение (ЕС) 2019/813 на Съвета от 17 май 2019 г. (ОВ L 133, 21.5.2019 г., стр. 19).</w:t>
      </w:r>
    </w:p>
  </w:footnote>
  <w:footnote w:id="7">
    <w:p>
      <w:pPr>
        <w:pStyle w:val="FootnoteText"/>
      </w:pPr>
      <w:r>
        <w:rPr>
          <w:rStyle w:val="FootnoteReference"/>
        </w:rPr>
        <w:footnoteRef/>
      </w:r>
      <w:r>
        <w:tab/>
        <w:t>Решение 96/88/ЕО на Съвета от 19 декември 1995 г. относно одобряването от Европейската общност на Конвенцията за търговията със зърно и Конвенцията за продоволствената помощ, които съставляват Международното споразумение за зърното от 1995 г. (ОВ L 21, 27.1.1996 г., стр. 47).</w:t>
      </w:r>
    </w:p>
  </w:footnote>
  <w:footnote w:id="8">
    <w:p>
      <w:pPr>
        <w:pStyle w:val="FootnoteText"/>
      </w:pPr>
      <w:r>
        <w:rPr>
          <w:rStyle w:val="FootnoteReference"/>
        </w:rPr>
        <w:footnoteRef/>
      </w:r>
      <w:r>
        <w:tab/>
        <w:t>Решение (ЕС) 2019/813 на Съвета от 17 май 2019 г. за позицията, която трябва да се заеме от името на Европейския съюз в рамките на Международния съвет по зърното по отношение на удължаването на срока на действие на Конвенцията за търговията със зърно от 1995 г. (ОВ L 133, 21.5.2019 г., стр.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EFE4B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70049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F8F6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6983B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54C72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A222D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98E00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2672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03 08:54:2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BF483DB-2807-4C76-8F38-B616E1377A0A"/>
    <w:docVar w:name="LW_COVERPAGE_TYPE" w:val="1"/>
    <w:docVar w:name="LW_CROSSREFERENCE" w:val="&lt;UNUSED&gt;"/>
    <w:docVar w:name="LW_DocType" w:val="COM"/>
    <w:docVar w:name="LW_EMISSION" w:val="4.8.2020"/>
    <w:docVar w:name="LW_EMISSION_ISODATE" w:val="2020-08-04"/>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62"/>
    <w:docVar w:name="LW_REF.II.NEW.CP_YEAR" w:val="2020"/>
    <w:docVar w:name="LW_REF.INST.NEW" w:val="COM"/>
    <w:docVar w:name="LW_REF.INST.NEW_ADOPTED" w:val="final"/>
    <w:docVar w:name="LW_REF.INST.NEW_TEXT" w:val="(2020) 3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91?\u1089?\u1090?\u1072?\u1085?\u1086?\u1074?\u1103?\u1074?\u1072?\u1085?\u1077? \u1085?\u1072?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2?\u1077?\u1078?\u1076?\u1091?\u1085?\u1072?\u1088?\u1086?\u1076?\u1085?\u1080?\u1103? \u1089?\u1098?\u1074?\u1077?\u1090? \u1087?\u1086? \u1079?\u1098?\u1088?\u1085?\u1086?\u1090?\u1086? \u1086?\u1090?\u1085?\u1086?\u1089?\u1085?\u1086? \u1087?\u1088?\u1080?\u1089?\u1098?\u1077?\u1076?\u1080?\u1085?\u1103?\u1074?\u1072?\u1085?\u1077?\u1090?\u1086? \u1085?\u1072? \u1054?\u1073?\u1077?\u1076?\u1080?\u1085?\u1077?\u1085?\u1086?\u1090?\u1086? \u1082?\u1088?\u1072?\u1083?\u1089?\u1090?\u1074?\u1086? \u1082?\u1098?\u1084? \u1050?\u1086?\u1085?\u1074?\u1077?\u1085?\u1094?\u1080?\u1103?\u1090?\u1072? \u1079?\u1072? \u1090?\u1098?\u1088?\u1075?\u1086?\u1074?\u1080?\u1103?\u1090?\u1072? \u1089?\u1098?\u1089? \u1079?\u1098?\u1088?\u1085?\u1086? \u1086?\u1090? 1995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7D0CADD-134E-4632-984B-435429F9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2604</Words>
  <Characters>14244</Characters>
  <Application>Microsoft Office Word</Application>
  <DocSecurity>0</DocSecurity>
  <Lines>347</Lines>
  <Paragraphs>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2020-07-27T11:36:00Z</dcterms:created>
  <dcterms:modified xsi:type="dcterms:W3CDTF">2020-08-03T06:54:00Z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