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B3B16D9-C008-4218-86B7-E8E43B264DDD" style="width:450.55pt;height:334.9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keepNext/>
        <w:numPr>
          <w:ilvl w:val="0"/>
          <w:numId w:val="2"/>
        </w:numPr>
        <w:shd w:val="clear" w:color="auto" w:fill="FFFFFF"/>
        <w:spacing w:before="360" w:after="120" w:line="240" w:lineRule="auto"/>
        <w:jc w:val="both"/>
        <w:outlineLvl w:val="0"/>
        <w:rPr>
          <w:rStyle w:val="Heading1Char"/>
          <w:rFonts w:eastAsia="Calibri"/>
          <w:noProof/>
        </w:rPr>
      </w:pPr>
      <w:bookmarkStart w:id="1" w:name="_Toc410373480"/>
      <w:bookmarkStart w:id="2" w:name="_Toc413919809"/>
      <w:bookmarkStart w:id="3" w:name="_Toc413920795"/>
      <w:bookmarkStart w:id="4" w:name="_Toc414992036"/>
      <w:bookmarkStart w:id="5" w:name="_Toc415146506"/>
      <w:bookmarkStart w:id="6" w:name="_GoBack"/>
      <w:bookmarkEnd w:id="6"/>
      <w:r>
        <w:rPr>
          <w:rStyle w:val="Heading1Char"/>
          <w:rFonts w:eastAsia="Calibri"/>
          <w:noProof/>
        </w:rPr>
        <w:lastRenderedPageBreak/>
        <w:t>Background</w:t>
      </w:r>
      <w:bookmarkEnd w:id="1"/>
      <w:bookmarkEnd w:id="2"/>
      <w:bookmarkEnd w:id="3"/>
      <w:bookmarkEnd w:id="4"/>
      <w:bookmarkEnd w:id="5"/>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Regulation (EU) 2016/792 of the European Parliament and of the Council on harmonised indices of consumer prices and the house price index was adopted in May 2016</w:t>
      </w:r>
      <w:r>
        <w:rPr>
          <w:rStyle w:val="FootnoteReference"/>
          <w:noProof/>
        </w:rPr>
        <w:footnoteReference w:id="1"/>
      </w:r>
      <w:r>
        <w:rPr>
          <w:rFonts w:ascii="Times New Roman" w:hAnsi="Times New Roman"/>
          <w:noProof/>
          <w:sz w:val="24"/>
          <w:lang w:eastAsia="en-GB"/>
        </w:rPr>
        <w:t>.</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Article 10 of Regulation (EU) 2016/792 confers powers on the Commission to adopt delegated acts. According to Article 4(3), this power can be used to amend the European COICOP</w:t>
      </w:r>
      <w:r>
        <w:rPr>
          <w:rStyle w:val="FootnoteReference"/>
          <w:rFonts w:ascii="Times New Roman" w:hAnsi="Times New Roman"/>
          <w:noProof/>
          <w:sz w:val="24"/>
          <w:lang w:eastAsia="en-GB"/>
        </w:rPr>
        <w:footnoteReference w:id="2"/>
      </w:r>
      <w:r>
        <w:rPr>
          <w:rFonts w:ascii="Times New Roman" w:hAnsi="Times New Roman"/>
          <w:noProof/>
          <w:sz w:val="24"/>
          <w:lang w:eastAsia="en-GB"/>
        </w:rPr>
        <w:t xml:space="preserve"> classification set out in Annex I. Article 4(5) provides for the power to adopt delegated acts to amend Article 4(4), and, pursuant to Article 5(8), the power can be used to amend the list of excluded sub-indices.</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Under Article 10(3), the power to adopt delegated acts is conferred for a period of 5 years from 13 June 2016. This power is to be tacitly extended for periods of 5 years unless the European Parliament or the Council objects.</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Commission is obliged to draw up a report on the delegation of power not later than 9 months before the end of the five-year period. This report fulfils this obligation.</w:t>
      </w:r>
    </w:p>
    <w:p>
      <w:pPr>
        <w:keepNext/>
        <w:numPr>
          <w:ilvl w:val="0"/>
          <w:numId w:val="2"/>
        </w:numPr>
        <w:shd w:val="clear" w:color="auto" w:fill="FFFFFF"/>
        <w:spacing w:before="360" w:after="120" w:line="240" w:lineRule="auto"/>
        <w:jc w:val="both"/>
        <w:outlineLvl w:val="0"/>
        <w:rPr>
          <w:rFonts w:ascii="Times New Roman" w:eastAsia="Times New Roman" w:hAnsi="Times New Roman"/>
          <w:b/>
          <w:bCs/>
          <w:smallCaps/>
          <w:noProof/>
          <w:sz w:val="24"/>
          <w:szCs w:val="28"/>
          <w:lang w:eastAsia="en-GB"/>
        </w:rPr>
      </w:pPr>
      <w:bookmarkStart w:id="7" w:name="_Toc413919810"/>
      <w:bookmarkStart w:id="8" w:name="_Toc413920796"/>
      <w:bookmarkStart w:id="9" w:name="_Toc414992037"/>
      <w:bookmarkStart w:id="10" w:name="_Toc415146507"/>
      <w:bookmarkStart w:id="11" w:name="_Toc342558478"/>
      <w:bookmarkStart w:id="12" w:name="_Toc410373481"/>
      <w:r>
        <w:rPr>
          <w:rStyle w:val="Heading1Char"/>
          <w:rFonts w:eastAsia="Calibri"/>
          <w:noProof/>
        </w:rPr>
        <w:t>Commission exercise of delegated powers under</w:t>
      </w:r>
      <w:r>
        <w:rPr>
          <w:rFonts w:ascii="Times New Roman" w:eastAsia="Times New Roman" w:hAnsi="Times New Roman"/>
          <w:b/>
          <w:bCs/>
          <w:smallCaps/>
          <w:noProof/>
          <w:sz w:val="24"/>
          <w:szCs w:val="28"/>
          <w:lang w:eastAsia="en-GB"/>
        </w:rPr>
        <w:t xml:space="preserve"> Regulation (EU) </w:t>
      </w:r>
      <w:bookmarkEnd w:id="7"/>
      <w:bookmarkEnd w:id="8"/>
      <w:bookmarkEnd w:id="9"/>
      <w:bookmarkEnd w:id="10"/>
      <w:r>
        <w:rPr>
          <w:rFonts w:ascii="Times New Roman" w:eastAsia="Times New Roman" w:hAnsi="Times New Roman"/>
          <w:b/>
          <w:bCs/>
          <w:smallCaps/>
          <w:noProof/>
          <w:sz w:val="24"/>
          <w:szCs w:val="28"/>
          <w:lang w:eastAsia="en-GB"/>
        </w:rPr>
        <w:t>2016/792</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Commission has not yet exercised its power to adopt delegated acts as conferred on it by Regulation (EU) 2016/792.</w:t>
      </w:r>
    </w:p>
    <w:p>
      <w:pPr>
        <w:spacing w:before="120" w:after="120" w:line="240" w:lineRule="auto"/>
        <w:ind w:left="850"/>
        <w:jc w:val="both"/>
        <w:rPr>
          <w:noProof/>
        </w:rPr>
      </w:pPr>
      <w:r>
        <w:rPr>
          <w:rFonts w:ascii="Times New Roman" w:hAnsi="Times New Roman"/>
          <w:noProof/>
          <w:sz w:val="24"/>
          <w:lang w:eastAsia="en-GB"/>
        </w:rPr>
        <w:t>Since Regulation  (EU) 2016/792 entered into force, the Commission has seen no need to update Article 4(4), Article 5(8) or Annex I. It is, however, expected that Annex I will need to be updated within the next 5 years to take into account changes to the United Nations’ COICOP. This update will make the harmonised indices for consumer prices more relevant for current economic structures.</w:t>
      </w:r>
    </w:p>
    <w:p>
      <w:pPr>
        <w:keepNext/>
        <w:numPr>
          <w:ilvl w:val="0"/>
          <w:numId w:val="2"/>
        </w:numPr>
        <w:shd w:val="clear" w:color="auto" w:fill="FFFFFF"/>
        <w:spacing w:before="360" w:after="120" w:line="240" w:lineRule="auto"/>
        <w:jc w:val="both"/>
        <w:outlineLvl w:val="0"/>
        <w:rPr>
          <w:rStyle w:val="Heading1Char"/>
          <w:rFonts w:eastAsia="Calibri"/>
          <w:noProof/>
        </w:rPr>
      </w:pPr>
      <w:r>
        <w:rPr>
          <w:rStyle w:val="Heading1Char"/>
          <w:rFonts w:eastAsia="Calibri"/>
          <w:noProof/>
        </w:rPr>
        <w:t>Conclusions</w:t>
      </w:r>
    </w:p>
    <w:bookmarkEnd w:id="11"/>
    <w:bookmarkEnd w:id="12"/>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Commission has not yet exercised its power to adopt delegated acts as conferred on it by Regulation (EU) 2016/792.</w:t>
      </w:r>
    </w:p>
    <w:p>
      <w:pPr>
        <w:spacing w:after="0" w:line="240" w:lineRule="auto"/>
        <w:ind w:left="851"/>
        <w:jc w:val="both"/>
        <w:rPr>
          <w:rFonts w:ascii="Times New Roman" w:hAnsi="Times New Roman"/>
          <w:noProof/>
          <w:sz w:val="24"/>
          <w:lang w:eastAsia="en-GB"/>
        </w:rPr>
      </w:pPr>
      <w:r>
        <w:rPr>
          <w:rFonts w:ascii="Times New Roman" w:hAnsi="Times New Roman"/>
          <w:noProof/>
          <w:sz w:val="24"/>
          <w:lang w:eastAsia="en-GB"/>
        </w:rPr>
        <w:t xml:space="preserve">The Commission considers that it should continue to have these delegated powers, as in the future it may need to adopt a delegated act to modify Article 4(4), Article 5(8) or Annex I in order to improve the harmonised indices of consumer prices and the house price index.  </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0460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851" w:hanging="851"/>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Fonts w:ascii="Times New Roman" w:hAnsi="Times New Roman"/>
        </w:rPr>
        <w:t>OJ L 135, 24.5.2016, p. 11.</w:t>
      </w:r>
    </w:p>
  </w:footnote>
  <w:footnote w:id="2">
    <w:p>
      <w:pPr>
        <w:pStyle w:val="FootnoteText"/>
        <w:spacing w:after="0" w:line="240" w:lineRule="auto"/>
        <w:ind w:left="851" w:hanging="851"/>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Classification of Individual Consumption according to Purpose. The European COICOP classification is a version of the COICOP classification as maintained by the United Nations.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B3B16D9-C008-4218-86B7-E8E43B264DDD"/>
    <w:docVar w:name="LW_COVERPAGE_TYPE" w:val="1"/>
    <w:docVar w:name="LW_CROSSREFERENCE" w:val="&lt;UNUSED&gt;"/>
    <w:docVar w:name="LW_DocType" w:val="NORMAL"/>
    <w:docVar w:name="LW_EMISSION" w:val="4.8.2020"/>
    <w:docVar w:name="LW_EMISSION_ISODATE" w:val="2020-08-0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power to adopt delegated acts conferred on the Commission under Regulation (EU) 2016/792 on harmonised indices of consumer prices and the house price index"/>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1624</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dcterms:created xsi:type="dcterms:W3CDTF">2020-07-16T12:39:00Z</dcterms:created>
  <dcterms:modified xsi:type="dcterms:W3CDTF">2020-08-04T10:20:00Z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