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509968FD-C0E6-4FE5-9D1A-4FF3D0CECB10" style="width:450.35pt;height:320.6pt">
            <v:imagedata r:id="rId8" o:title=""/>
          </v:shape>
        </w:pict>
      </w:r>
    </w:p>
    <w:bookmarkEnd w:id="0"/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keepNext/>
        <w:numPr>
          <w:ilvl w:val="0"/>
          <w:numId w:val="2"/>
        </w:numPr>
        <w:shd w:val="clear" w:color="auto" w:fill="FFFFFF"/>
        <w:spacing w:before="360" w:after="120" w:line="240" w:lineRule="auto"/>
        <w:jc w:val="both"/>
        <w:outlineLvl w:val="0"/>
        <w:rPr>
          <w:rStyle w:val="Heading1Char"/>
          <w:rFonts w:eastAsia="Calibri"/>
          <w:noProof/>
        </w:rPr>
      </w:pPr>
      <w:bookmarkStart w:id="1" w:name="_Toc410373480"/>
      <w:bookmarkStart w:id="2" w:name="_Toc413919809"/>
      <w:bookmarkStart w:id="3" w:name="_Toc413920795"/>
      <w:bookmarkStart w:id="4" w:name="_Toc414992036"/>
      <w:bookmarkStart w:id="5" w:name="_Toc415146506"/>
      <w:bookmarkStart w:id="6" w:name="_GoBack"/>
      <w:bookmarkEnd w:id="6"/>
      <w:r>
        <w:rPr>
          <w:rStyle w:val="Heading1Char"/>
          <w:rFonts w:eastAsiaTheme="minorHAnsi"/>
          <w:noProof/>
        </w:rPr>
        <w:lastRenderedPageBreak/>
        <w:t>Контекст</w:t>
      </w:r>
      <w:bookmarkEnd w:id="1"/>
      <w:bookmarkEnd w:id="2"/>
      <w:bookmarkEnd w:id="3"/>
      <w:bookmarkEnd w:id="4"/>
      <w:bookmarkEnd w:id="5"/>
    </w:p>
    <w:p>
      <w:pPr>
        <w:spacing w:before="120" w:after="120" w:line="240" w:lineRule="auto"/>
        <w:ind w:left="85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Регламент (ЕС) 2016/792 на Европейския парламент и на Съвета за хармонизираните индекси на потребителските цени и за индекса на цените на жилищата беше приет през май 2016 г.</w:t>
      </w:r>
      <w:r>
        <w:rPr>
          <w:rStyle w:val="FootnoteReference"/>
          <w:noProof/>
        </w:rPr>
        <w:footnoteReference w:id="1"/>
      </w:r>
      <w:r>
        <w:rPr>
          <w:noProof/>
        </w:rPr>
        <w:cr/>
      </w:r>
      <w:r>
        <w:rPr>
          <w:noProof/>
        </w:rPr>
        <w:br/>
      </w:r>
      <w:r>
        <w:rPr>
          <w:noProof/>
        </w:rPr>
        <w:cr/>
      </w:r>
      <w:r>
        <w:rPr>
          <w:noProof/>
        </w:rPr>
        <w:br/>
      </w:r>
    </w:p>
    <w:p>
      <w:pPr>
        <w:spacing w:before="120" w:after="120" w:line="240" w:lineRule="auto"/>
        <w:ind w:left="85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С член 10 от Регламент (ЕС) 2016/792 на Комисията се предоставя правомощието да приема делегирани актове. В съответствие с член 4, параграф 3 това правомощие може да бъде използвано за изменение на европейската класификация КОИКОП</w:t>
      </w:r>
      <w:r>
        <w:rPr>
          <w:rStyle w:val="FootnoteReference"/>
          <w:rFonts w:ascii="Times New Roman" w:hAnsi="Times New Roman"/>
          <w:noProof/>
          <w:sz w:val="24"/>
          <w:lang w:eastAsia="en-GB"/>
        </w:rPr>
        <w:footnoteReference w:id="2"/>
      </w:r>
      <w:r>
        <w:rPr>
          <w:rFonts w:ascii="Times New Roman" w:hAnsi="Times New Roman"/>
          <w:noProof/>
          <w:sz w:val="24"/>
        </w:rPr>
        <w:t>, определена в приложение I. В член 5, параграф 5 е предвидено правомощието за приемане на делегирани актове за изменение на член 4, параграф 4, а съгласно член 5, параграф 8 това правомощие може да се използва за изменение на списъка на изключените подиндекси.</w:t>
      </w:r>
    </w:p>
    <w:p>
      <w:pPr>
        <w:spacing w:before="120" w:after="120" w:line="240" w:lineRule="auto"/>
        <w:ind w:left="85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Съгласно член 10, параграф 3 правомощието да приема делегирани актове се предоставя за срок от 5 години, считано от 13 юни 2016 г. Правомощието се продължава мълчаливо за срокове от по 5 години, освен ако Европейският парламент или Съветът не представят възражения.</w:t>
      </w:r>
    </w:p>
    <w:p>
      <w:pPr>
        <w:spacing w:before="120" w:after="120" w:line="240" w:lineRule="auto"/>
        <w:ind w:left="85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Комисията е длъжна да изготви доклад относно делегираното правомощие не по-късно от 9 месеца преди изтичането на петгодишния срок. С настоящия доклад се изпълнява това задължение.</w:t>
      </w:r>
    </w:p>
    <w:p>
      <w:pPr>
        <w:keepNext/>
        <w:numPr>
          <w:ilvl w:val="0"/>
          <w:numId w:val="2"/>
        </w:numPr>
        <w:shd w:val="clear" w:color="auto" w:fill="FFFFFF"/>
        <w:spacing w:before="360" w:after="120" w:line="240" w:lineRule="auto"/>
        <w:jc w:val="both"/>
        <w:outlineLvl w:val="0"/>
        <w:rPr>
          <w:rFonts w:ascii="Times New Roman" w:eastAsia="Times New Roman" w:hAnsi="Times New Roman"/>
          <w:b/>
          <w:bCs/>
          <w:smallCaps/>
          <w:noProof/>
          <w:sz w:val="24"/>
          <w:szCs w:val="28"/>
        </w:rPr>
      </w:pPr>
      <w:bookmarkStart w:id="7" w:name="_Toc413919810"/>
      <w:bookmarkStart w:id="8" w:name="_Toc413920796"/>
      <w:bookmarkStart w:id="9" w:name="_Toc414992037"/>
      <w:bookmarkStart w:id="10" w:name="_Toc415146507"/>
      <w:bookmarkStart w:id="11" w:name="_Toc342558478"/>
      <w:bookmarkStart w:id="12" w:name="_Toc410373481"/>
      <w:r>
        <w:rPr>
          <w:rStyle w:val="Heading1Char"/>
          <w:rFonts w:eastAsiaTheme="minorHAnsi"/>
          <w:noProof/>
        </w:rPr>
        <w:t xml:space="preserve">Упражняване на делегирани правомощия от страна на Комисията съгласно </w:t>
      </w:r>
      <w:r>
        <w:rPr>
          <w:rFonts w:ascii="Times New Roman" w:hAnsi="Times New Roman"/>
          <w:b/>
          <w:bCs/>
          <w:smallCaps/>
          <w:noProof/>
          <w:sz w:val="24"/>
          <w:szCs w:val="28"/>
        </w:rPr>
        <w:t xml:space="preserve"> Регламент (ЕС) </w:t>
      </w:r>
      <w:bookmarkEnd w:id="7"/>
      <w:bookmarkEnd w:id="8"/>
      <w:bookmarkEnd w:id="9"/>
      <w:bookmarkEnd w:id="10"/>
      <w:r>
        <w:rPr>
          <w:rFonts w:ascii="Times New Roman" w:hAnsi="Times New Roman"/>
          <w:b/>
          <w:bCs/>
          <w:smallCaps/>
          <w:noProof/>
          <w:sz w:val="24"/>
          <w:szCs w:val="28"/>
        </w:rPr>
        <w:t>2016/792</w:t>
      </w:r>
    </w:p>
    <w:p>
      <w:pPr>
        <w:spacing w:before="120" w:after="120" w:line="240" w:lineRule="auto"/>
        <w:ind w:left="85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Комисията все още не е упражнявала правомощието си за приемане на делегирани актове, предоставено ѝ с Регламент (ЕС) № 2016/792.</w:t>
      </w:r>
    </w:p>
    <w:p>
      <w:pPr>
        <w:spacing w:before="120" w:after="120" w:line="240" w:lineRule="auto"/>
        <w:ind w:left="850"/>
        <w:jc w:val="both"/>
        <w:rPr>
          <w:noProof/>
        </w:rPr>
      </w:pPr>
      <w:r>
        <w:rPr>
          <w:rFonts w:ascii="Times New Roman" w:hAnsi="Times New Roman"/>
          <w:noProof/>
          <w:sz w:val="24"/>
        </w:rPr>
        <w:t>От влизането на Регламент (ЕС) 2016/792 в сила Комисията не е намирала за необходимо да актуализира член 4, параграф 4, член 5, параграф 8 или приложение I. Очаква се обаче през следващите 5 години да бъде необходимо да се актуализира приложение I, за да се отразят промените в КОИКОП на ООН. Чрез тази актуализация хармонизираните индекси на потребителските цени ще отговорят по-добре на настоящите икономически структури.</w:t>
      </w:r>
    </w:p>
    <w:p>
      <w:pPr>
        <w:keepNext/>
        <w:numPr>
          <w:ilvl w:val="0"/>
          <w:numId w:val="2"/>
        </w:numPr>
        <w:shd w:val="clear" w:color="auto" w:fill="FFFFFF"/>
        <w:spacing w:before="360" w:after="120" w:line="240" w:lineRule="auto"/>
        <w:jc w:val="both"/>
        <w:outlineLvl w:val="0"/>
        <w:rPr>
          <w:rStyle w:val="Heading1Char"/>
          <w:rFonts w:eastAsia="Calibri"/>
          <w:noProof/>
        </w:rPr>
      </w:pPr>
      <w:r>
        <w:rPr>
          <w:rStyle w:val="Heading1Char"/>
          <w:rFonts w:eastAsiaTheme="minorHAnsi"/>
          <w:noProof/>
        </w:rPr>
        <w:t>Заключения</w:t>
      </w:r>
    </w:p>
    <w:bookmarkEnd w:id="11"/>
    <w:bookmarkEnd w:id="12"/>
    <w:p>
      <w:pPr>
        <w:spacing w:before="120" w:after="120" w:line="240" w:lineRule="auto"/>
        <w:ind w:left="850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Комисията все още не е упражнявала правомощието си за приемане на делегирани актове, предоставено ѝ с Регламент (ЕС) № 2016/792.</w:t>
      </w:r>
    </w:p>
    <w:p>
      <w:pPr>
        <w:spacing w:after="0" w:line="240" w:lineRule="auto"/>
        <w:ind w:left="851"/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Комисията счита, че следва да продължи да разполага с тези делегирани правомощия, тъй като в бъдеще може да се наложи да приеме делегиран акт за изменение на член 4, параграф 4, член 5, параграф 8 или приложение I с цел да подобри хармонизираните индекси на потребителските цени и цените на жилищата.  </w:t>
      </w:r>
    </w:p>
    <w:p>
      <w:pPr>
        <w:rPr>
          <w:noProof/>
        </w:rPr>
      </w:pPr>
    </w:p>
    <w:sectPr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704609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spacing w:after="0" w:line="240" w:lineRule="auto"/>
        <w:ind w:left="851" w:hanging="851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Style w:val="FootnoteReference"/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ОВ L 135, 24.5.2016 г., стр. 11.</w:t>
      </w:r>
    </w:p>
  </w:footnote>
  <w:footnote w:id="2">
    <w:p>
      <w:pPr>
        <w:pStyle w:val="FootnoteText"/>
        <w:spacing w:after="0" w:line="240" w:lineRule="auto"/>
        <w:ind w:left="851" w:hanging="851"/>
        <w:rPr>
          <w:rFonts w:ascii="Times New Roman" w:hAnsi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Класификация на индивидуалното потребление по цели. Европейската класификация КОИКОП е версия на класификацията КОИКОП, поддържана от Организацията на обединените нации.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509968FD-C0E6-4FE5-9D1A-4FF3D0CECB10"/>
    <w:docVar w:name="LW_COVERPAGE_TYPE" w:val="1"/>
    <w:docVar w:name="LW_CROSSREFERENCE" w:val="&lt;UNUSED&gt;"/>
    <w:docVar w:name="LW_DocType" w:val="NORMAL"/>
    <w:docVar w:name="LW_EMISSION" w:val="4.8.2020"/>
    <w:docVar w:name="LW_EMISSION_ISODATE" w:val="2020-08-04"/>
    <w:docVar w:name="LW_EMISSION_LOCATION" w:val="BRX"/>
    <w:docVar w:name="LW_EMISSION_PREFIX" w:val="Брюксел, "/>
    <w:docVar w:name="LW_EMISSION_SUFFIX" w:val=" \u1075?."/>
    <w:docVar w:name="LW_ID_DOCTYPE_NONLW" w:val="CP-00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20) 35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\u1086?\u1090?\u1085?\u1086?\u1089?\u1085?\u1086? \u1091?\u1087?\u1088?\u1072?\u1078?\u1085?\u1103?\u1074?\u1072?\u1085?\u1077?\u1090?\u1086? \u1085?\u1072? \u1087?\u1088?\u1072?\u1074?\u1086?\u1084?\u1086?\u1097?\u1080?\u1077?\u1090?\u1086? \u1079?\u1072? \u1087?\u1088?\u1080?\u1077?\u1084?\u1072?\u1085?\u1077? \u1085?\u1072? \u1076?\u1077?\u1083?\u1077?\u1075?\u1080?\u1088?\u1072?\u1085?\u1080? \u1072?\u1082?\u1090?\u1086?\u1074?\u1077?, \u1087?\u1088?\u1077?\u1076?\u1086?\u1089?\u1090?\u1072?\u1074?\u1077?\u1085?\u1086? \u1085?\u1072? \u1050?\u1086?\u1084?\u1080?\u1089?\u1080?\u1103?\u1090?\u1072? \u1089?\u1098?\u1075?\u1083?\u1072?\u1089?\u1085?\u1086? \u1056?\u1077?\u1075?\u1083?\u1072?\u1084?\u1077?\u1085?\u1090? (\u1045?\u1057?) 2016/792 \u1079?\u1072? \u1093?\u1072?\u1088?\u1084?\u1086?\u1085?\u1080?\u1079?\u1080?\u1088?\u1072?\u1085?\u1080?\u1090?\u1077? \u1080?\u1085?\u1076?\u1077?\u1082?\u1089?\u1080? \u1085?\u1072? \u1087?\u1086?\u1090?\u1088?\u1077?\u1073?\u1080?\u1090?\u1077?\u1083?\u1089?\u1082?\u1080?\u1090?\u1077? \u1094?\u1077?\u1085?\u1080? \u1080? \u1079?\u1072? \u1080?\u1085?\u1076?\u1077?\u1082?\u1089?\u1072? \u1085?\u1072? \u1094?\u1077?\u1085?\u1080?\u1090?\u1077? \u1085?\u1072? \u1078?\u1080?\u1083?\u1080?\u1097?\u1072?\u1090?\u1072?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mallCaps/>
      <w:sz w:val="24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Cs/>
      <w:i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Cs/>
      <w:iCs/>
      <w:sz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Pr>
      <w:shd w:val="clear" w:color="auto" w:fill="auto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1"/>
      </w:numPr>
      <w:spacing w:before="36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mallCaps/>
      <w:sz w:val="24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Times New Roman"/>
      <w:bCs/>
      <w:i/>
      <w:sz w:val="24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numPr>
        <w:ilvl w:val="3"/>
        <w:numId w:val="1"/>
      </w:numPr>
      <w:spacing w:before="120" w:after="120" w:line="240" w:lineRule="auto"/>
      <w:jc w:val="both"/>
      <w:outlineLvl w:val="3"/>
    </w:pPr>
    <w:rPr>
      <w:rFonts w:ascii="Times New Roman" w:eastAsia="Times New Roman" w:hAnsi="Times New Roman" w:cs="Times New Roman"/>
      <w:bCs/>
      <w:iCs/>
      <w:sz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smallCaps/>
      <w:sz w:val="24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bCs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Cs/>
      <w:i/>
      <w:sz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="Times New Roman" w:hAnsi="Times New Roman" w:cs="Times New Roman"/>
      <w:bCs/>
      <w:iCs/>
      <w:sz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Pr>
      <w:shd w:val="clear" w:color="auto" w:fill="auto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349</Words>
  <Characters>1873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15</cp:revision>
  <dcterms:created xsi:type="dcterms:W3CDTF">2020-07-16T12:39:00Z</dcterms:created>
  <dcterms:modified xsi:type="dcterms:W3CDTF">2020-08-04T10:21:00Z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Part">
    <vt:lpwstr>1</vt:lpwstr>
  </property>
  <property fmtid="{D5CDD505-2E9C-101B-9397-08002B2CF9AE}" pid="4" name="Total parts">
    <vt:lpwstr>1</vt:lpwstr>
  </property>
  <property fmtid="{D5CDD505-2E9C-101B-9397-08002B2CF9AE}" pid="5" name="DocStatus">
    <vt:lpwstr>Green</vt:lpwstr>
  </property>
  <property fmtid="{D5CDD505-2E9C-101B-9397-08002B2CF9AE}" pid="6" name="CPTemplateID">
    <vt:lpwstr>CP-006</vt:lpwstr>
  </property>
  <property fmtid="{D5CDD505-2E9C-101B-9397-08002B2CF9AE}" pid="7" name="Last edited using">
    <vt:lpwstr>LW 7.0, Build 20190717</vt:lpwstr>
  </property>
  <property fmtid="{D5CDD505-2E9C-101B-9397-08002B2CF9AE}" pid="8" name="Created using">
    <vt:lpwstr>LW 7.0, Build 20190717</vt:lpwstr>
  </property>
</Properties>
</file>