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494D983-D387-4C83-8013-D01B2A69C3A7" style="width:450.75pt;height:34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numPr>
          <w:ilvl w:val="0"/>
          <w:numId w:val="12"/>
        </w:numPr>
        <w:rPr>
          <w:noProof/>
        </w:rPr>
      </w:pPr>
      <w:bookmarkStart w:id="1" w:name="_GoBack"/>
      <w:bookmarkEnd w:id="1"/>
      <w:r>
        <w:rPr>
          <w:noProof/>
        </w:rPr>
        <w:lastRenderedPageBreak/>
        <w:t>Интегрирана енергийна система за неутрална по отношение на климата Европа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С Европейския зелен пакт</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ЕС се насочва към постигане на неутралност по отношение на климата до 2050 г. чрез дълбока декарбонизация на всички сектори на икономиката и по-големи намаления на емисиите на парникови газове за 2030 г.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Енергийната система е от решаващо значение за постигането на тези цели. Намаляването на разходите при технологиите за получаване на енергия от възобновяеми източници в последно време, цифровизацията на нашата икономика и нововъзникващите технологии в областта на акумулаторите, термопомпите, електрическите превозни средства или водорода предлагат възможност да се ускори през следващите две десетилетия дълбоката трансформация на нашата енергийна система и нейната структура. В бъдеще енергетиката на Европа трябва да разчита в нарастваща степен на енергия от географски разпределени възобновяеми източници, да интегрира гъвкаво различни енергоносители и същевременно да продължава да използва ефективно ресурсите и да предотвратява замърсяването и загубата на биологично разнообразие.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Днешната енергийна система все още се основава на редица успоредни, вертикални енергийни вериги за създаване на стойност, които обвързват по негъвкав начин специфични енергийни ресурси със специфични сектори на крайното потребление. Например, нефтопродуктите се използват преобладаващо в транспортния сектор и като суровини за промишлеността. Въглищата и природният газ се използват главно за производството на електроенергия и топлина. Електроенергийните и газопреносните мрежи се планират и управляват независимо една от друга. Пазарните правила също са до голяма степен специфични за различните сектори. Този модел на отделни и несвързани области не може да доведе до неутрална по отношение на климата икономика. Той е технически и икономически неефективен и води до значителни загуби под формата на отпадна топлина и ниска енергийна ефективност.</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Интеграцията на енергийната система, т.е. координираното планиране и функциониране на енергийната система като едно цяло, обединяващо различни енергоносители, инфраструктури и сектори на потреблението</w:t>
      </w:r>
      <w:r>
        <w:rPr>
          <w:rFonts w:ascii="Times New Roman" w:hAnsi="Times New Roman"/>
          <w:noProof/>
          <w:sz w:val="24"/>
          <w:szCs w:val="24"/>
        </w:rPr>
        <w:t xml:space="preserve">, е пътят към ефективната, финансово достъпна и дълбока декарбонизация на европейската икономика в съответствие с Парижкото споразумение и Програмата на ООН за устойчиво развитие до 2030 г.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Намаляващите разходи при технологиите за получаване на енергия от възобновяеми източници, развитието на пазара, бързите иновации в областта на системите за акумулиране, електрическите превозни средства, както и цифровизацията са фактори, които по естествен начин водят до по-голяма интеграция на енергийната система в Европа. За да постигнем обаче по-добри показатели относно декарбонизацията до 2030 г. и неутралността по отношение на климата до 2050 г., трябва да направим следващата крачка, като свържем липсващите звена в енергийната система и то по начин, който е ефективен от гледна точка на разходите и в съответствие със „зелената клетва“ от Европейския зелен пакт да не се вреди на природата. Тъй като за интеграцията на системата се разчита на по-широкото използване на чисти и иновативни процеси и инструменти, тя ще доведе до нови инвестиции, работни места и растеж и ще укрепи водещите позиции на промишлеността на ЕС на световно равнище. Това може да бъде и елемент на икономическото възстановяване след кризата, предизвикана от COVID-19. </w:t>
      </w:r>
      <w:r>
        <w:rPr>
          <w:rStyle w:val="None"/>
          <w:rFonts w:ascii="Times New Roman" w:hAnsi="Times New Roman"/>
          <w:noProof/>
          <w:sz w:val="24"/>
        </w:rPr>
        <w:t>В представения на 27 май 2020 г. план на Комисията за възстановяване</w:t>
      </w:r>
      <w:r>
        <w:rPr>
          <w:rStyle w:val="FootnoteReference"/>
          <w:rFonts w:ascii="Times New Roman" w:hAnsi="Times New Roman" w:cs="Times New Roman"/>
          <w:noProof/>
          <w:sz w:val="24"/>
          <w:szCs w:val="24"/>
        </w:rPr>
        <w:footnoteReference w:id="3"/>
      </w:r>
      <w:r>
        <w:rPr>
          <w:rStyle w:val="None"/>
          <w:rFonts w:ascii="Times New Roman" w:hAnsi="Times New Roman"/>
          <w:noProof/>
          <w:sz w:val="24"/>
        </w:rPr>
        <w:t xml:space="preserve"> се подчертава необходимостта от по-добро интегриране на енергийната система като част от усилията на Комисията за привличане на инвестиции в ключови чисти технологии и вериги за създаване на стойност и за повишаване на устойчивостта на цялата икономика.</w:t>
      </w:r>
      <w:r>
        <w:rPr>
          <w:rFonts w:ascii="Times New Roman" w:hAnsi="Times New Roman"/>
          <w:noProof/>
          <w:sz w:val="24"/>
        </w:rPr>
        <w:t xml:space="preserve"> Освен това инвестициите в тези дейности ще се ръководят от таксономията на ЕС за финансиране за устойчиво развитие, за да се гарантира, че те са в съответствие с нашите дългосрочни амбиции</w:t>
      </w:r>
      <w:r>
        <w:rPr>
          <w:rStyle w:val="FootnoteReference"/>
          <w:rFonts w:ascii="Times New Roman" w:hAnsi="Times New Roman" w:cs="Times New Roman"/>
          <w:noProof/>
          <w:sz w:val="24"/>
          <w:szCs w:val="24"/>
        </w:rPr>
        <w:footnoteReference w:id="4"/>
      </w:r>
      <w:r>
        <w:rPr>
          <w:rFonts w:ascii="Times New Roman" w:hAnsi="Times New Roman"/>
          <w:noProof/>
          <w:sz w:val="24"/>
        </w:rPr>
        <w:t>.</w:t>
      </w:r>
      <w:r>
        <w:rPr>
          <w:noProof/>
        </w:rPr>
        <w:t xml:space="preserve"> </w:t>
      </w:r>
      <w:r>
        <w:rPr>
          <w:rFonts w:ascii="Times New Roman" w:hAnsi="Times New Roman"/>
          <w:noProof/>
          <w:sz w:val="24"/>
          <w:szCs w:val="24"/>
        </w:rPr>
        <w:t>Интегрираната енергийна система ще сведе до минимум цената на прехода към неутралност по отношение на климата за потребителите и ще разкрие нови възможности за намаляване на техните сметки за енергия и за активно участие на пазара.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Пакетът за чиста енергия</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xml:space="preserve">, приет през 2018 г., дава основата за по-добра интеграция между инфраструктурата, енергоносителите и секторите. Въпреки това продължават да съществуват регулаторни и практически пречки. Без солидни политически действия енергийната система през 2030 г. по-скоро ще е подобна на тази от 2020 г., вместо да отразява промените, необходими за постигане на неутралност по отношение на климата до 2050 г.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настоящата стратегия се представя </w:t>
      </w:r>
      <w:r>
        <w:rPr>
          <w:rFonts w:ascii="Times New Roman" w:hAnsi="Times New Roman"/>
          <w:b/>
          <w:noProof/>
          <w:sz w:val="24"/>
        </w:rPr>
        <w:t>визия за ускоряване на прехода към по-интегрирана енергийна система</w:t>
      </w:r>
      <w:r>
        <w:rPr>
          <w:rFonts w:ascii="Times New Roman" w:hAnsi="Times New Roman"/>
          <w:noProof/>
          <w:sz w:val="24"/>
        </w:rPr>
        <w:t xml:space="preserve">, която подкрепя изграждането на неутрална по отношение на климата икономика на най-ниската възможна цена и във всички сектори, като същевременно укрепва енергийната сигурност, подпомага опазването на здравето и околната среда и насърчава растежа, иновациите и водещите позиции на промишлеността на ЕС в световен мащаб.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Превръщането на тази визия в реалност изисква решителни и незабавни действия. Инвестициите в енергийната инфраструктура обикновено имат икономически живот от 20 до 60 години. Стъпките, предприемани през следващите пет до десет години, ще бъдат от решаващо значение за изграждането на една енергийна система, която да е двигател за постигането на неутралност по отношение на климата в Европа през 2050 г.</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Поради това в настоящата </w:t>
      </w:r>
      <w:r>
        <w:rPr>
          <w:rFonts w:ascii="Times New Roman" w:hAnsi="Times New Roman"/>
          <w:b/>
          <w:noProof/>
          <w:sz w:val="24"/>
        </w:rPr>
        <w:t>стратегия се предлагат конкретни политически и законодателни мерки на равнището на ЕС за постепенно изграждане на нова интегрирана енергийна система</w:t>
      </w:r>
      <w:r>
        <w:rPr>
          <w:rFonts w:ascii="Times New Roman" w:hAnsi="Times New Roman"/>
          <w:noProof/>
          <w:sz w:val="24"/>
        </w:rPr>
        <w:t xml:space="preserve">, като същевременно се вземат предвид различните отправни точки на държавите членки. С нея се допринася в широк план за работата на Комисията за повишаване по отговорен начин на целта на ЕС в областта на климата до най-малко 50 % и дори до 55 % до 2030 г. и се набелязват последващи предложения, които ще бъдат изготвени в рамките на законодателните прегледи от юни 2021 г., обявени в Европейския зелен пакт.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Паралелното съобщение „</w:t>
      </w:r>
      <w:r>
        <w:rPr>
          <w:rFonts w:ascii="Times New Roman" w:hAnsi="Times New Roman"/>
          <w:b/>
          <w:i/>
          <w:noProof/>
          <w:sz w:val="24"/>
          <w:szCs w:val="24"/>
        </w:rPr>
        <w:t>Стратегия за използването на водорода за неутрална по отношение на климата Европа</w:t>
      </w:r>
      <w:r>
        <w:rPr>
          <w:rFonts w:ascii="Times New Roman" w:hAnsi="Times New Roman"/>
          <w:noProof/>
          <w:sz w:val="24"/>
          <w:szCs w:val="24"/>
        </w:rPr>
        <w:t>“</w:t>
      </w:r>
      <w:r>
        <w:rPr>
          <w:rStyle w:val="FootnoteReference"/>
          <w:rFonts w:ascii="Times New Roman" w:hAnsi="Times New Roman" w:cs="Times New Roman"/>
          <w:b/>
          <w:i/>
          <w:noProof/>
          <w:sz w:val="24"/>
          <w:szCs w:val="24"/>
        </w:rPr>
        <w:footnoteReference w:id="6"/>
      </w:r>
      <w:r>
        <w:rPr>
          <w:rFonts w:ascii="Times New Roman" w:hAnsi="Times New Roman"/>
          <w:noProof/>
          <w:sz w:val="24"/>
          <w:szCs w:val="24"/>
        </w:rPr>
        <w:t xml:space="preserve"> допълва настоящата стратегия, като разглежда по-подробно възможностите и необходимите мерки за увеличаване на използването на водорода в контекста на една интегрирана енергийна система.</w:t>
      </w:r>
    </w:p>
    <w:p>
      <w:pPr>
        <w:spacing w:after="120" w:line="240" w:lineRule="auto"/>
        <w:jc w:val="both"/>
        <w:rPr>
          <w:rFonts w:ascii="Times New Roman" w:hAnsi="Times New Roman" w:cs="Times New Roman"/>
          <w:noProof/>
          <w:sz w:val="24"/>
          <w:szCs w:val="24"/>
        </w:rPr>
      </w:pPr>
    </w:p>
    <w:p>
      <w:pPr>
        <w:pStyle w:val="Heading1"/>
        <w:numPr>
          <w:ilvl w:val="0"/>
          <w:numId w:val="12"/>
        </w:numPr>
        <w:rPr>
          <w:noProof/>
        </w:rPr>
      </w:pPr>
      <w:r>
        <w:rPr>
          <w:noProof/>
        </w:rPr>
        <w:t>Интеграция на енергийната система и ползите от нея за ефективна по отношение на разходите декарбонизация</w:t>
      </w:r>
    </w:p>
    <w:p>
      <w:pPr>
        <w:pStyle w:val="Heading2"/>
        <w:numPr>
          <w:ilvl w:val="1"/>
          <w:numId w:val="12"/>
        </w:numPr>
        <w:rPr>
          <w:b w:val="0"/>
          <w:i/>
          <w:noProof/>
        </w:rPr>
      </w:pPr>
      <w:r>
        <w:rPr>
          <w:noProof/>
        </w:rPr>
        <w:t>Какво представлява интеграцията на енергийната система?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Интеграция на енергийната система означава планиране и функциониране на енергийната система „като едно цяло“, при което се обхващат множество енергоносители, инфраструктури и потребителски сектори, като се създават по-здрави връзки между тях с цел осигуряване на нисковъглеродни, надеждни и използващи ефективно ресурсите енергийни услуги, при възможно най-ниски разходи за обществото. Тя обхваща три допълващи се и подсилващи се взаимно концепции. </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Първо — енергийна система, по-близка до модела на кръговата икономика, в центъра на която е енергийната ефективност</w:t>
      </w:r>
      <w:r>
        <w:rPr>
          <w:rFonts w:ascii="Times New Roman" w:hAnsi="Times New Roman"/>
          <w:noProof/>
          <w:sz w:val="24"/>
        </w:rPr>
        <w:t xml:space="preserve"> и при която се предпочитат решенията с най-нисък разход на енергия, използват се повторно за енергийни цели неизбежните потоци от отпадъци и се осъществяват полезни взаимодействия между различните сектори. Това вече се случва в централите за комбинирано производство на топло- и електроенергия или чрез използването на определени отпадъци и остатъци. Съществува обаче допълнителен потенциал, например при повторното използване на отпадна топлина от промишлени процеси и центрове за данни, или енергия, произведена от биологични отпадъци или от пречиствателни станции за отпадъчни води. </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Второ — увеличаване на пряката електрификация на секторите на крайно потребление</w:t>
      </w:r>
      <w:r>
        <w:rPr>
          <w:rFonts w:ascii="Times New Roman" w:hAnsi="Times New Roman"/>
          <w:noProof/>
          <w:sz w:val="24"/>
        </w:rPr>
        <w:t>. Чрез бърз растеж и конкурентоспособност по отношение на разходите производството на електроенергия от възобновяеми източници може да обслужва нарастващ дял от потребностите от енергия — например чрез използване на топлинни помпи за отопление на помещения или за нискотемпературни промишлени процеси, електрически превозни средства в транспорта или електрически пещи в определени промишлени отрасли.</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Трето — използване на горива от възобновяеми източници и нисковъглеродни източници, включително водород, за приложения в секторите на крайно потребление, при които прякото отопление или електрификация не са практически осъществими</w:t>
      </w:r>
      <w:r>
        <w:rPr>
          <w:rFonts w:ascii="Times New Roman" w:hAnsi="Times New Roman"/>
          <w:noProof/>
          <w:sz w:val="24"/>
        </w:rPr>
        <w:t>, или не са ефективни, или пък налагат по-високи разходи. Газообразните и течните горива от възобновяеми източници, произведени от биомаса, или водородът от възобновяеми и нисковъглеродни източници, могат да предложат решения, позволяващи да се акумулира енергията от различни възобновяеми източници и да се използват полезните взаимодействия между електроенергийния сектор, сектора на природния газ и секторите на крайно потребление. Примерите включват използването на водород от възобновяеми източници в промишлени процеси и тежкотоварния автомобилен и железопътен транспорт, синтетични горива във въздушния и морския транспорт, произведени с електроенергия от възобновяеми източници, или биомаса в секторите, където тя осигурява най-голяма добавена стойност.</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szCs w:val="24"/>
        </w:rPr>
        <w:t>Една по-интегрирана система ще бъде също „многопосочна“ и в нея потребителите ще играят активна роля при енергоснабдяването</w:t>
      </w:r>
      <w:r>
        <w:rPr>
          <w:rFonts w:ascii="Times New Roman" w:hAnsi="Times New Roman"/>
          <w:noProof/>
          <w:sz w:val="24"/>
          <w:szCs w:val="24"/>
        </w:rPr>
        <w:t>. „Вертикално“, като децентрализирани производствени единици и клиенти, допринасящи активно за цялостния баланс и гъвкавостта на системата — например чрез подаването на местно равнище към газопреносните мрежи на биометан, получен от органични отпадъци, или чрез услугите за свързване на превозни средства към електрическата мрежа като източници на енергия. „Хоризонтално“, под формата на нарастване на обмена на енергия, който се осъществява между потребяващи сектори — например потребители на енергия, които обменят топлина в интелигентни районни отоплителни (топлофикационни) и охладителни системи или които захранват мрежата с електроенергията, която произвеждат индивидуално или като част от енергийни общности.</w:t>
      </w:r>
    </w:p>
    <w:p>
      <w:pPr>
        <w:pStyle w:val="Heading2"/>
        <w:numPr>
          <w:ilvl w:val="1"/>
          <w:numId w:val="12"/>
        </w:numPr>
        <w:rPr>
          <w:b w:val="0"/>
          <w:i/>
          <w:noProof/>
        </w:rPr>
      </w:pPr>
      <w:r>
        <w:rPr>
          <w:noProof/>
        </w:rPr>
        <w:t>Какви са ползите от интеграцията на енергийната система?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Интеграцията на енергийната система помага за </w:t>
      </w:r>
      <w:r>
        <w:rPr>
          <w:rFonts w:ascii="Times New Roman" w:hAnsi="Times New Roman"/>
          <w:b/>
          <w:noProof/>
          <w:sz w:val="24"/>
          <w:szCs w:val="24"/>
        </w:rPr>
        <w:t>намаляване на емисиите на парникови газове в сектори, които са по-трудни за декарбонизация</w:t>
      </w:r>
      <w:r>
        <w:rPr>
          <w:rFonts w:ascii="Times New Roman" w:hAnsi="Times New Roman"/>
          <w:noProof/>
          <w:sz w:val="24"/>
          <w:szCs w:val="24"/>
        </w:rPr>
        <w:t xml:space="preserve">, например чрез използване на електроенергия от възобновяеми източници в строителството и автомобилния транспорт или на нисковъглеродни горива от възобновяеми източници в морския и въздушния транспорт или в някои промишлени процеси. </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Тя би могла също така да осигури по-ефективно използване на енергийните източници, </w:t>
      </w:r>
      <w:r>
        <w:rPr>
          <w:rFonts w:ascii="Times New Roman" w:hAnsi="Times New Roman"/>
          <w:b/>
          <w:bCs/>
          <w:noProof/>
          <w:sz w:val="24"/>
          <w:szCs w:val="24"/>
        </w:rPr>
        <w:t>като намали необходимото количество енергия и съответните въздействия върху климата и околната среда</w:t>
      </w:r>
      <w:r>
        <w:rPr>
          <w:rFonts w:ascii="Times New Roman" w:hAnsi="Times New Roman"/>
          <w:noProof/>
          <w:sz w:val="24"/>
          <w:szCs w:val="24"/>
        </w:rPr>
        <w:t>. При някои крайни приложения вероятно ще бъдат необходими нови горива, за чието производство ще се изискват значителни количества енергия, например водород или синтетични горива. В същото време електрификацията на голяма част от нашето потребление може да намали потреблението на енергия от първични енергийни източници с една трета</w:t>
      </w:r>
      <w:r>
        <w:rPr>
          <w:rFonts w:ascii="Times New Roman" w:hAnsi="Times New Roman"/>
          <w:noProof/>
          <w:sz w:val="24"/>
          <w:szCs w:val="24"/>
          <w:vertAlign w:val="superscript"/>
        </w:rPr>
        <w:footnoteReference w:id="7"/>
      </w:r>
      <w:r>
        <w:rPr>
          <w:rFonts w:ascii="Times New Roman" w:hAnsi="Times New Roman"/>
          <w:noProof/>
          <w:sz w:val="24"/>
          <w:szCs w:val="24"/>
        </w:rPr>
        <w:t xml:space="preserve"> благодарение на ефективността на технологиите за крайно потребление. Освен това 29 % от употребяваната в промишлеността енергия се разсейва като отпадна топлина, като този дял може да бъде намален или енергията – повторно използвана. Малките и средните предприятия могат да създават полезни взаимодействия както чрез подобряване на енергийната ефективност, така и чрез увеличаване на използването на възобновяеми ресурси и отпадна топлина. Като цяло се очаква преходът към по-интегрирана енергийна система да доведе до намаляване на брутното вътрешно потребление с една трета до 2050 г.</w:t>
      </w:r>
      <w:r>
        <w:rPr>
          <w:rFonts w:ascii="Times New Roman" w:hAnsi="Times New Roman"/>
          <w:noProof/>
          <w:sz w:val="24"/>
          <w:szCs w:val="24"/>
          <w:vertAlign w:val="superscript"/>
        </w:rPr>
        <w:footnoteReference w:id="8"/>
      </w:r>
      <w:r>
        <w:rPr>
          <w:rFonts w:ascii="Times New Roman" w:hAnsi="Times New Roman"/>
          <w:noProof/>
          <w:sz w:val="24"/>
          <w:szCs w:val="24"/>
        </w:rPr>
        <w:t>, като същевременно даде принос за увеличаването на БВП с две трети</w:t>
      </w:r>
      <w:r>
        <w:rPr>
          <w:rFonts w:ascii="Times New Roman" w:hAnsi="Times New Roman"/>
          <w:noProof/>
          <w:sz w:val="24"/>
          <w:szCs w:val="24"/>
          <w:vertAlign w:val="superscript"/>
        </w:rPr>
        <w:footnoteReference w:id="9"/>
      </w:r>
      <w:r>
        <w:rPr>
          <w:rFonts w:ascii="Times New Roman" w:hAnsi="Times New Roman"/>
          <w:noProof/>
          <w:sz w:val="24"/>
          <w:szCs w:val="24"/>
        </w:rPr>
        <w:t xml:space="preserve">. </w:t>
      </w:r>
    </w:p>
    <w:p>
      <w:pPr>
        <w:pBdr>
          <w:top w:val="nil"/>
          <w:left w:val="nil"/>
          <w:bottom w:val="nil"/>
          <w:right w:val="nil"/>
          <w:between w:val="nil"/>
          <w:bar w:val="nil"/>
        </w:pBdr>
        <w:spacing w:after="240" w:line="240" w:lineRule="auto"/>
        <w:jc w:val="both"/>
        <w:rPr>
          <w:rFonts w:ascii="Times New Roman" w:hAnsi="Times New Roman" w:cs="Times New Roman"/>
          <w:noProof/>
          <w:sz w:val="24"/>
          <w:szCs w:val="24"/>
        </w:rPr>
      </w:pPr>
      <w:r>
        <w:rPr>
          <w:rFonts w:ascii="Times New Roman" w:hAnsi="Times New Roman"/>
          <w:noProof/>
          <w:sz w:val="24"/>
          <w:szCs w:val="24"/>
        </w:rPr>
        <w:t>Освен че ще донесе икономии на енергия и намаления на емисиите на парникови газове, това би намалило също така замърсяването на въздуха, както и водния отпечатък</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xml:space="preserve"> на енергетиката, което е от съществено значение за адаптирането към изменението на климата, здравето и опазването на природните ресурси.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Интеграцията на енергийната система </w:t>
      </w:r>
      <w:r>
        <w:rPr>
          <w:rFonts w:ascii="Times New Roman" w:hAnsi="Times New Roman"/>
          <w:b/>
          <w:bCs/>
          <w:noProof/>
          <w:sz w:val="24"/>
          <w:szCs w:val="24"/>
        </w:rPr>
        <w:t>ще засили и конкурентоспособността на европейската икономика</w:t>
      </w:r>
      <w:r>
        <w:rPr>
          <w:rFonts w:ascii="Times New Roman" w:hAnsi="Times New Roman"/>
          <w:noProof/>
          <w:sz w:val="24"/>
          <w:szCs w:val="24"/>
        </w:rPr>
        <w:t>, като насърчи във всички промишлени екосистеми по-устойчиви и ефективни технологии и решения, свързани с енергийния преход, тяхната стандартизация и навлизането им на пазара. Специализирани предприятия ще предоставят услуги на местно равнище и ще създават повече регионални икономически ползи. Това създава възможност Съюзът да запази и засили водещите си позиции в областта на чистите технологии, като например в технологиите за интелигентни електроенергийни мрежи и районни отоплителни (топлофикационни) системи, и да поеме водеща роля при новите, по-ефективни и комплексни технологии и процеси, които се очаква да играят все по-голяма роля в енергийните системи в световен мащаб, като например акумулаторните батерии или водородните технологии. Териториите, регионите и държавите членки, изправени пред най-големите предизвикателства по отношение на прехода, ще бъдат подкрепени от механизма за справедлив преход и принадлежащия към него Фонд за справедлив преход.</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по-доброто интегриране </w:t>
      </w:r>
      <w:r>
        <w:rPr>
          <w:rFonts w:ascii="Times New Roman" w:hAnsi="Times New Roman"/>
          <w:b/>
          <w:noProof/>
          <w:sz w:val="24"/>
        </w:rPr>
        <w:t>ще осигури допълнителна гъвкавост</w:t>
      </w:r>
      <w:r>
        <w:rPr>
          <w:rFonts w:ascii="Times New Roman" w:hAnsi="Times New Roman"/>
          <w:noProof/>
          <w:sz w:val="24"/>
        </w:rPr>
        <w:t xml:space="preserve"> за цялостното управление на енергийната система и по този начин ще спомогне за интегриране на нарастващите дялове на енергията, произвеждана от променливи възобновяеми източници. То също така ще даде тласък на </w:t>
      </w:r>
      <w:r>
        <w:rPr>
          <w:rFonts w:ascii="Times New Roman" w:hAnsi="Times New Roman"/>
          <w:b/>
          <w:noProof/>
          <w:sz w:val="24"/>
        </w:rPr>
        <w:t>технологиите за акумулиране</w:t>
      </w:r>
      <w:r>
        <w:rPr>
          <w:rFonts w:ascii="Times New Roman" w:hAnsi="Times New Roman"/>
          <w:noProof/>
          <w:sz w:val="24"/>
        </w:rPr>
        <w:t xml:space="preserve"> на енергия, като помпено-акумулиращите ВЕЦ, акумулаторните батерии и електролизьорите на равнището на електроенергийната мрежа ще осигуряват гъвкавост в електроенергийния сектор. Домашните акумулаторни батерии и електрическите превозни средства („зад електромера“) в сградите могат да спомогнат за по-доброто управление на разпределителните мрежи. До 2050 г. електрическите превозни средства биха могли да осигуряват до 20 % от ежедневно необходимата гъвкавост</w:t>
      </w:r>
      <w:r>
        <w:rPr>
          <w:rFonts w:ascii="Times New Roman" w:hAnsi="Times New Roman"/>
          <w:noProof/>
          <w:sz w:val="24"/>
          <w:szCs w:val="24"/>
          <w:vertAlign w:val="superscript"/>
        </w:rPr>
        <w:footnoteReference w:id="11"/>
      </w:r>
      <w:r>
        <w:rPr>
          <w:rFonts w:ascii="Times New Roman" w:hAnsi="Times New Roman"/>
          <w:noProof/>
          <w:sz w:val="24"/>
        </w:rPr>
        <w:t>. Акумулирането на топлинна енергия на равнището на производствени обекти може да осигури гъвкавост в промишления сектор. Благодарение на по-тясната интеграция между секторите на електроенергията и отоплението електрическите отоплителни уреди вече могат да се възползват от цени на електроенергията в реално време, което води до „по-интелигентна“ реакция на потребителите. Хибридните термопомпи</w:t>
      </w:r>
      <w:r>
        <w:rPr>
          <w:rFonts w:ascii="Times New Roman" w:hAnsi="Times New Roman"/>
          <w:noProof/>
          <w:sz w:val="24"/>
          <w:szCs w:val="24"/>
          <w:vertAlign w:val="superscript"/>
        </w:rPr>
        <w:footnoteReference w:id="12"/>
      </w:r>
      <w:r>
        <w:rPr>
          <w:rFonts w:ascii="Times New Roman" w:hAnsi="Times New Roman"/>
          <w:noProof/>
          <w:sz w:val="24"/>
        </w:rPr>
        <w:t xml:space="preserve"> и интелигентните районни отоплителни (топлофикационни) системи също предоставят възможности за балансиране между пазарите на електроенергия и газ. Освен това електролизьорите могат да преобразуват електроенергия от възобновяеми източници във „възобновяем“ водород, като осигуряват на системата способност за дългосрочно акумулиране и буфериране и допълнително интегрират пазарите на електроенергия и газ.</w:t>
      </w:r>
    </w:p>
    <w:p>
      <w:pPr>
        <w:spacing w:after="240" w:line="240" w:lineRule="auto"/>
        <w:jc w:val="both"/>
        <w:rPr>
          <w:noProof/>
        </w:rPr>
      </w:pPr>
      <w:r>
        <w:rPr>
          <w:rFonts w:ascii="Times New Roman" w:hAnsi="Times New Roman"/>
          <w:noProof/>
          <w:sz w:val="24"/>
          <w:szCs w:val="24"/>
        </w:rPr>
        <w:t xml:space="preserve">Най-накрая, чрез свързване на различните енергоносители и чрез местно производство, производство за собствено потребление и интелигентно използване на разпределените енергийни доставки, интеграцията на системата може също да допринесе за </w:t>
      </w:r>
      <w:r>
        <w:rPr>
          <w:rFonts w:ascii="Times New Roman" w:hAnsi="Times New Roman"/>
          <w:b/>
          <w:noProof/>
          <w:sz w:val="24"/>
          <w:szCs w:val="24"/>
        </w:rPr>
        <w:t xml:space="preserve">увеличаване на правата на потребителите, подобряване на устойчивостта и сигурността на доставките. </w:t>
      </w:r>
      <w:r>
        <w:rPr>
          <w:rFonts w:ascii="Times New Roman" w:hAnsi="Times New Roman"/>
          <w:noProof/>
          <w:sz w:val="24"/>
          <w:szCs w:val="24"/>
        </w:rPr>
        <w:t xml:space="preserve">Някои от технологиите, необходими за интегрирана енергийна система, ще изискват големи количества суровини, включително такива, включени в списъка на ЕС на суровините от изключителна важност. Чрез замяната обаче на вносния природен газ и вносните нефтопродукти с електроенергия, газообразни и течни горива от възобновяеми източници местно производство, в съчетание с по-широкото прилагане на кръгови модели, ще се намалят преди всичко разходите за внос, а също и зависимостта от външните доставки на изкопаеми горива, с което ще се създаде по-устойчива европейска икономика. </w:t>
      </w:r>
    </w:p>
    <w:p>
      <w:pPr>
        <w:pStyle w:val="Heading1"/>
        <w:numPr>
          <w:ilvl w:val="0"/>
          <w:numId w:val="12"/>
        </w:numPr>
        <w:ind w:left="482" w:hanging="482"/>
        <w:rPr>
          <w:noProof/>
        </w:rPr>
      </w:pPr>
      <w:r>
        <w:rPr>
          <w:noProof/>
        </w:rPr>
        <w:t>Превръщане на визията в реалност — план за действие за ускоряване на прехода към чиста енергия чрез интеграция на енергийната система</w:t>
      </w:r>
    </w:p>
    <w:p>
      <w:pPr>
        <w:spacing w:after="240" w:line="240" w:lineRule="auto"/>
        <w:jc w:val="both"/>
        <w:rPr>
          <w:noProof/>
          <w:szCs w:val="24"/>
        </w:rPr>
      </w:pPr>
      <w:r>
        <w:rPr>
          <w:rFonts w:ascii="Times New Roman" w:hAnsi="Times New Roman"/>
          <w:noProof/>
          <w:sz w:val="24"/>
          <w:szCs w:val="24"/>
        </w:rPr>
        <w:t xml:space="preserve">В настоящата стратегия се набелязват шест стълба, в които са определени координирани мерки за преодоляване на съществуващите пречки за интеграцията на енергийната система. </w:t>
      </w:r>
    </w:p>
    <w:p>
      <w:pPr>
        <w:pStyle w:val="Heading2"/>
        <w:numPr>
          <w:ilvl w:val="1"/>
          <w:numId w:val="12"/>
        </w:numPr>
        <w:rPr>
          <w:noProof/>
        </w:rPr>
      </w:pPr>
      <w:r>
        <w:rPr>
          <w:noProof/>
        </w:rPr>
        <w:t xml:space="preserve">Енергийна система, която е по-близка до модела на кръговата икономика и е изградена около идеята за „енергийната ефективност на първо място“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Прилагането на принципа за поставяне на енергийната ефективност на първо място във всички секторни политики е в основата на интеграцията на системата. Енергийната ефективност намалява общите нужди от инвестиции и разходите, свързани с производството, инфраструктурата и потреблението на енергия. Тя намалява също така използването на земя и материали в тази връзка, както и свързаните с това загуби на биологично разнообразие и замърсяването В същото време интеграцията на системата може да помогне на ЕС да постигне по-голяма енергийна ефективност чрез по-близко до модела на кръговата икономика използване на наличните ресурси и пренасочване към по-ефективни енергийни технологии. Електрическите превозни средства например показват много по-висока енергийна ефективност в сравнение с двигателите с вътрешно горене, а замяната на котел, работещ с изкопаеми горива, с термопомпа, използваща електроенергия от възобновяеми източници, осигурява икономия от две трети от първичната енергия</w:t>
      </w:r>
      <w:r>
        <w:rPr>
          <w:rFonts w:ascii="Times New Roman" w:hAnsi="Times New Roman"/>
          <w:noProof/>
          <w:sz w:val="24"/>
          <w:szCs w:val="24"/>
          <w:vertAlign w:val="superscript"/>
        </w:rPr>
        <w:footnoteReference w:id="13"/>
      </w:r>
      <w:r>
        <w:rPr>
          <w:rFonts w:ascii="Times New Roman" w:hAnsi="Times New Roman"/>
          <w:noProof/>
          <w:sz w:val="24"/>
          <w:szCs w:val="24"/>
        </w:rPr>
        <w:t xml:space="preserve">. </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 xml:space="preserve">Първото предизвикателство е да се </w:t>
      </w:r>
      <w:r>
        <w:rPr>
          <w:rFonts w:ascii="Times New Roman" w:hAnsi="Times New Roman"/>
          <w:b/>
          <w:noProof/>
          <w:sz w:val="24"/>
        </w:rPr>
        <w:t>прилага принципът за поставяне на енергийната ефективност на първо място последователно в цялата енергийна система</w:t>
      </w:r>
      <w:r>
        <w:rPr>
          <w:rFonts w:ascii="Times New Roman" w:hAnsi="Times New Roman"/>
          <w:noProof/>
          <w:sz w:val="24"/>
        </w:rPr>
        <w:t>. Това включва даването на приоритет на решения, свързани с управление на потреблението, когато за постигането на целите на политиката те са по-ефективни от гледна точка на разходите от инвестициите в инфраструктура за енергоснабдяване, но също така и правилното отчитане на енергийната ефективност при оценките на адекватността на производството на електроенергия. Директивата за енергийната ефективност</w:t>
      </w:r>
      <w:r>
        <w:rPr>
          <w:rStyle w:val="FootnoteReference"/>
          <w:rFonts w:ascii="Times New Roman" w:eastAsia="Times New Roman" w:hAnsi="Times New Roman"/>
          <w:noProof/>
          <w:sz w:val="24"/>
          <w:szCs w:val="24"/>
        </w:rPr>
        <w:footnoteReference w:id="14"/>
      </w:r>
      <w:r>
        <w:rPr>
          <w:rFonts w:ascii="Times New Roman" w:hAnsi="Times New Roman"/>
          <w:noProof/>
          <w:sz w:val="24"/>
        </w:rPr>
        <w:t xml:space="preserve"> и Директивата относно енергийните характеристики на сградите</w:t>
      </w:r>
      <w:r>
        <w:rPr>
          <w:rStyle w:val="FootnoteReference"/>
          <w:rFonts w:ascii="Times New Roman" w:eastAsia="Times New Roman" w:hAnsi="Times New Roman"/>
          <w:noProof/>
          <w:sz w:val="24"/>
          <w:szCs w:val="24"/>
        </w:rPr>
        <w:footnoteReference w:id="15"/>
      </w:r>
      <w:r>
        <w:rPr>
          <w:rFonts w:ascii="Times New Roman" w:hAnsi="Times New Roman"/>
          <w:noProof/>
          <w:sz w:val="24"/>
        </w:rPr>
        <w:t xml:space="preserve"> предоставят стимули за потребителите, които обаче не са достатъчни за цялата верига на доставки. Необходими са допълнителни мерки, за да се гарантира, че решенията на клиентите за икономия, пренасочване или споделяне на енергия </w:t>
      </w:r>
      <w:r>
        <w:rPr>
          <w:rFonts w:ascii="Times New Roman" w:hAnsi="Times New Roman"/>
          <w:b/>
          <w:bCs/>
          <w:noProof/>
          <w:sz w:val="24"/>
        </w:rPr>
        <w:t>отразяват правилно жизнения цикъл, използването на енергията</w:t>
      </w:r>
      <w:r>
        <w:rPr>
          <w:rFonts w:ascii="Times New Roman" w:hAnsi="Times New Roman"/>
          <w:noProof/>
          <w:sz w:val="24"/>
        </w:rPr>
        <w:t xml:space="preserve"> на различните енергоносители, включително получаването, производството и повторното използване или рециклиране на суровини, конверсията, преобразуването, транспорта и акумулирането на енергия, както и нарастващият дял на възобновяемите енергийни източници в електроснабдяването. В някои отрасли, за които преходът от изкопаеми горива към електроенергия ще доведе до по-голямо потребление, ще трябва да се обмислят внимателно компромиси.</w:t>
      </w:r>
    </w:p>
    <w:p>
      <w:pPr>
        <w:keepNext/>
        <w:spacing w:after="240" w:line="240" w:lineRule="auto"/>
        <w:jc w:val="both"/>
        <w:rPr>
          <w:rFonts w:ascii="Times New Roman" w:eastAsia="Times New Roman" w:hAnsi="Times New Roman"/>
          <w:noProof/>
          <w:sz w:val="24"/>
          <w:szCs w:val="24"/>
        </w:rPr>
      </w:pPr>
      <w:r>
        <w:rPr>
          <w:rFonts w:ascii="Times New Roman" w:hAnsi="Times New Roman"/>
          <w:noProof/>
          <w:sz w:val="24"/>
        </w:rPr>
        <w:t xml:space="preserve">В този контекст </w:t>
      </w:r>
      <w:r>
        <w:rPr>
          <w:rFonts w:ascii="Times New Roman" w:hAnsi="Times New Roman"/>
          <w:b/>
          <w:noProof/>
          <w:sz w:val="24"/>
        </w:rPr>
        <w:t>коефициентът на първична енергия</w:t>
      </w:r>
      <w:r>
        <w:rPr>
          <w:rFonts w:ascii="Times New Roman" w:hAnsi="Times New Roman"/>
          <w:noProof/>
          <w:sz w:val="24"/>
        </w:rPr>
        <w:t xml:space="preserve"> (PEF)</w:t>
      </w:r>
      <w:r>
        <w:rPr>
          <w:rFonts w:ascii="Times New Roman" w:hAnsi="Times New Roman"/>
          <w:noProof/>
          <w:sz w:val="24"/>
          <w:szCs w:val="24"/>
          <w:vertAlign w:val="superscript"/>
        </w:rPr>
        <w:footnoteReference w:id="16"/>
      </w:r>
      <w:r>
        <w:rPr>
          <w:rFonts w:ascii="Times New Roman" w:hAnsi="Times New Roman"/>
          <w:noProof/>
          <w:sz w:val="24"/>
        </w:rPr>
        <w:t xml:space="preserve"> е важен инструмент за улесняване на сравнението на икономиите при енергийните носители. При по-голямата част от възобновяемите източници ефективността е 100 %, а стойността на PEF е ниска. PEF следва да отразява реалните икономии, реализирани от възобновяемите източници на електроенергия и топлинна енергия. Комисията ще направи преглед на стойността на PEF и ще оцени дали настоящите разпоредби в законодателството на ЕС гарантират подходящото прилагане на PEF от държавите членки. </w:t>
      </w:r>
    </w:p>
    <w:p>
      <w:pPr>
        <w:keepNext/>
        <w:spacing w:after="24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В предстоящата инициатива за </w:t>
      </w:r>
      <w:r>
        <w:rPr>
          <w:rFonts w:ascii="Times New Roman" w:hAnsi="Times New Roman"/>
          <w:b/>
          <w:noProof/>
          <w:sz w:val="24"/>
          <w:szCs w:val="24"/>
        </w:rPr>
        <w:t>цялостно модернизиране на строителния сектор</w:t>
      </w:r>
      <w:r>
        <w:rPr>
          <w:rFonts w:ascii="Times New Roman" w:hAnsi="Times New Roman"/>
          <w:noProof/>
          <w:sz w:val="24"/>
          <w:szCs w:val="24"/>
        </w:rPr>
        <w:t>, обявена в Европейския зелен пакт, ще бъдат предложени и конкретни действия за ускоряване на въвеждането на мерки за ефективност по отношение на енергията и ресурсите, както и за използване на възобновяеми енергийни източници в сградите в целия ЕС през следващите няколко години.</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 xml:space="preserve">Второто предизвикателство е, че </w:t>
      </w:r>
      <w:r>
        <w:rPr>
          <w:rFonts w:ascii="Times New Roman" w:hAnsi="Times New Roman"/>
          <w:b/>
          <w:noProof/>
          <w:sz w:val="24"/>
        </w:rPr>
        <w:t>местните енергийни източници не се използват достатъчно или не се използват ефективно в нашите сгради и общини.</w:t>
      </w:r>
      <w:r>
        <w:rPr>
          <w:rFonts w:ascii="Times New Roman" w:hAnsi="Times New Roman"/>
          <w:noProof/>
          <w:sz w:val="24"/>
        </w:rPr>
        <w:t xml:space="preserve"> При прилагането на принципа на кръговата икономика в съответствие с новия план за действие за кръгова икономика</w:t>
      </w:r>
      <w:r>
        <w:rPr>
          <w:rFonts w:ascii="Times New Roman" w:hAnsi="Times New Roman"/>
          <w:noProof/>
          <w:sz w:val="24"/>
          <w:szCs w:val="24"/>
          <w:vertAlign w:val="superscript"/>
        </w:rPr>
        <w:footnoteReference w:id="17"/>
      </w:r>
      <w:r>
        <w:rPr>
          <w:rFonts w:ascii="Times New Roman" w:hAnsi="Times New Roman"/>
          <w:noProof/>
          <w:sz w:val="24"/>
        </w:rPr>
        <w:t xml:space="preserve"> се очертава големият, но слабо използван потенциал на повторната употреба на </w:t>
      </w:r>
      <w:r>
        <w:rPr>
          <w:rFonts w:ascii="Times New Roman" w:hAnsi="Times New Roman"/>
          <w:b/>
          <w:noProof/>
          <w:sz w:val="24"/>
        </w:rPr>
        <w:t>отпадна топлина</w:t>
      </w:r>
      <w:r>
        <w:rPr>
          <w:rFonts w:ascii="Times New Roman" w:hAnsi="Times New Roman"/>
          <w:noProof/>
          <w:sz w:val="24"/>
        </w:rPr>
        <w:t xml:space="preserve"> от промишлени обекти, центрове за данни или други източници. Повторната употреба на енергия може да се извършва на място (например чрез повторно използване на топлинна енергия от технологични процеси в рамките на производствени инсталации) или чрез районна отоплителна (топлофикационна) и охладителна мрежа. В Директивата за енергийната ефективност и Директивата за енергията от възобновяеми източници вече има разпоредби, насочени към оползотворяването на този потенциал, но е необходимо допълнително да се укрепи регулаторната рамка, за да се премахнат пречките, затрудняващи по-широкото прилагане на тези решения. Тези пречки включват недостатъчната осведоменост и познания за тези решения, нежеланието на предприятията да навлязат в нова стопанска дейност, която не е тяхната основна дейност, липсата на регулаторни и договорни рамки за споделяне на разходите и ползите от нови инвестиции, както и пречки, свързани с планирането, разходите за трансакции и ценовите сигнали. Конкретно по отношение на центровете за данни в Стратегията в областта на цифровите технологии</w:t>
      </w:r>
      <w:r>
        <w:rPr>
          <w:rStyle w:val="FootnoteReference"/>
          <w:rFonts w:ascii="Times New Roman" w:eastAsia="Times New Roman" w:hAnsi="Times New Roman"/>
          <w:noProof/>
          <w:sz w:val="24"/>
          <w:szCs w:val="24"/>
        </w:rPr>
        <w:footnoteReference w:id="18"/>
      </w:r>
      <w:r>
        <w:rPr>
          <w:rFonts w:ascii="Times New Roman" w:hAnsi="Times New Roman"/>
          <w:noProof/>
          <w:sz w:val="24"/>
        </w:rPr>
        <w:t xml:space="preserve"> е обявена амбицията те да постигнат неутралност по отношение на климата и висока ефективност при използването на енергията не по-късно от 2030 г.; Увеличеното повторно използване на отпадната топлина ще допринесе значително за постигането на тази цел.</w:t>
      </w:r>
      <w:r>
        <w:rPr>
          <w:rFonts w:ascii="Arial" w:hAnsi="Arial"/>
          <w:noProof/>
          <w:sz w:val="20"/>
          <w:szCs w:val="20"/>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Третото предизвикателство е свързано с неизползвания потенциал на </w:t>
      </w:r>
      <w:r>
        <w:rPr>
          <w:rFonts w:ascii="Times New Roman" w:hAnsi="Times New Roman"/>
          <w:b/>
          <w:noProof/>
          <w:sz w:val="24"/>
        </w:rPr>
        <w:t>отпадъчните води</w:t>
      </w:r>
      <w:r>
        <w:rPr>
          <w:rStyle w:val="FootnoteReference"/>
          <w:rFonts w:ascii="Times New Roman" w:hAnsi="Times New Roman" w:cs="Times New Roman"/>
          <w:noProof/>
          <w:sz w:val="24"/>
          <w:szCs w:val="24"/>
        </w:rPr>
        <w:footnoteReference w:id="19"/>
      </w:r>
      <w:r>
        <w:rPr>
          <w:rFonts w:ascii="Times New Roman" w:hAnsi="Times New Roman"/>
          <w:b/>
          <w:noProof/>
          <w:sz w:val="24"/>
        </w:rPr>
        <w:t xml:space="preserve"> и биологичните отпадъци и остатъци за производство на биоенергия</w:t>
      </w:r>
      <w:r>
        <w:rPr>
          <w:rFonts w:ascii="Times New Roman" w:hAnsi="Times New Roman"/>
          <w:noProof/>
          <w:sz w:val="24"/>
        </w:rPr>
        <w:t>, включително на биогаз. Биогазът може да се експлоатира на място, за да се намали потреблението на изкопаеми горива, или да бъде подобрен до биометан, за да може да се подаде в мрежата за природен газ или да се използва в транспорта. Също така, някои земеделски инфраструктури са подходящи за интегрирано производство на слънчева електрическа и топлинна енергия, което създава потенциал за задоволяване на собствено потребление от енергия от възобновяеми източници и подаване на такава енергия в мрежата. Прилагането на новия план за действие за кръговата икономика, на законодателството в областта на отпадъците и на системи за устойчиво управление на селското и горското стопанство би могло да доведе до увеличаване на устойчивото производство на биоенергия от отпадъчни води, отпадъци и остатъци</w:t>
      </w:r>
      <w:r>
        <w:rPr>
          <w:rFonts w:ascii="Times New Roman" w:hAnsi="Times New Roman" w:cs="Times New Roman"/>
          <w:noProof/>
          <w:sz w:val="24"/>
          <w:szCs w:val="24"/>
          <w:vertAlign w:val="superscript"/>
        </w:rPr>
        <w:footnoteReference w:id="20"/>
      </w:r>
      <w:r>
        <w:rPr>
          <w:rFonts w:ascii="Times New Roman" w:hAnsi="Times New Roman"/>
          <w:noProof/>
          <w:sz w:val="24"/>
        </w:rPr>
        <w:t>. Необходимо е да се положат повече усилия, за да се оползотвори целият потенциал на интеграцията на енергийната система, да се използват полезните взаимодействия и да се избегнат компромиси. В областта на селското стопанство земеделските стопани биха могли да бъдат стимулирани чрез общата селскостопанска политика да допринасят за по-голямото използване на устойчиво развиваната биомаса за производство на енергия. Общностите за енергия от възобновяеми източници могат да осигурят стабилна рамка за използването на такава енергия в местен контекст.</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noProof/>
                <w:sz w:val="24"/>
                <w:szCs w:val="24"/>
              </w:rPr>
            </w:pPr>
            <w:r>
              <w:rPr>
                <w:rFonts w:ascii="Times New Roman" w:hAnsi="Times New Roman"/>
                <w:b/>
                <w:bCs/>
                <w:noProof/>
                <w:sz w:val="24"/>
                <w:szCs w:val="24"/>
              </w:rPr>
              <w:t>Ключови действия</w:t>
            </w:r>
          </w:p>
          <w:p>
            <w:pPr>
              <w:jc w:val="both"/>
              <w:rPr>
                <w:rFonts w:ascii="Times New Roman" w:hAnsi="Times New Roman" w:cs="Times New Roman"/>
                <w:i/>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szCs w:val="24"/>
              </w:rPr>
              <w:t>С цел по-добро прилагане на принципа за поставяне на енергийната ефективност на първо място:</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изготвят </w:t>
            </w:r>
            <w:r>
              <w:rPr>
                <w:rFonts w:ascii="Times New Roman" w:hAnsi="Times New Roman"/>
                <w:b/>
                <w:noProof/>
                <w:sz w:val="24"/>
                <w:szCs w:val="24"/>
              </w:rPr>
              <w:t>насоки</w:t>
            </w:r>
            <w:r>
              <w:rPr>
                <w:rFonts w:ascii="Times New Roman" w:hAnsi="Times New Roman"/>
                <w:noProof/>
                <w:sz w:val="24"/>
                <w:szCs w:val="24"/>
              </w:rPr>
              <w:t xml:space="preserve"> за държавите членки как </w:t>
            </w:r>
            <w:r>
              <w:rPr>
                <w:rFonts w:ascii="Times New Roman" w:hAnsi="Times New Roman"/>
                <w:b/>
                <w:noProof/>
                <w:sz w:val="24"/>
                <w:szCs w:val="24"/>
              </w:rPr>
              <w:t>да приведат в действие принципа за поставяне на енергийната ефективност на първо място</w:t>
            </w:r>
            <w:r>
              <w:rPr>
                <w:rFonts w:ascii="Times New Roman" w:hAnsi="Times New Roman"/>
                <w:noProof/>
                <w:sz w:val="24"/>
                <w:szCs w:val="24"/>
              </w:rPr>
              <w:t xml:space="preserve"> в рамките на енергийната система при прилагането на законодателството на ЕС и националното законодателство (до 2021 г.);</w:t>
            </w:r>
          </w:p>
          <w:p>
            <w:pPr>
              <w:pStyle w:val="ListParagraph"/>
              <w:numPr>
                <w:ilvl w:val="0"/>
                <w:numId w:val="17"/>
              </w:numPr>
              <w:jc w:val="both"/>
              <w:rPr>
                <w:rFonts w:ascii="Times New Roman" w:hAnsi="Times New Roman" w:cs="Times New Roman"/>
                <w:noProof/>
                <w:sz w:val="24"/>
                <w:szCs w:val="24"/>
              </w:rPr>
            </w:pPr>
            <w:r>
              <w:rPr>
                <w:rFonts w:ascii="Times New Roman" w:hAnsi="Times New Roman"/>
                <w:b/>
                <w:bCs/>
                <w:noProof/>
                <w:sz w:val="24"/>
                <w:szCs w:val="24"/>
              </w:rPr>
              <w:t>да се насърчава още повече</w:t>
            </w:r>
            <w:r>
              <w:rPr>
                <w:rFonts w:ascii="Times New Roman" w:hAnsi="Times New Roman"/>
                <w:noProof/>
                <w:sz w:val="24"/>
                <w:szCs w:val="24"/>
              </w:rPr>
              <w:t xml:space="preserve"> прилагането на принципа за поставяне на енергийната ефективност на първо място във всички използвани оттук нататък съответни методики (например в контекста на европейската оценка на адекватността на ресурсите) и преразглеждания на законодателството (например в Регламента за TEN-E</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направи преглед на </w:t>
            </w:r>
            <w:r>
              <w:rPr>
                <w:rFonts w:ascii="Times New Roman" w:hAnsi="Times New Roman"/>
                <w:b/>
                <w:bCs/>
                <w:noProof/>
                <w:sz w:val="24"/>
                <w:szCs w:val="24"/>
              </w:rPr>
              <w:t>коефициента на първична енергия</w:t>
            </w:r>
            <w:r>
              <w:rPr>
                <w:rFonts w:ascii="Times New Roman" w:hAnsi="Times New Roman"/>
                <w:noProof/>
                <w:sz w:val="24"/>
                <w:szCs w:val="24"/>
              </w:rPr>
              <w:t>, за да се отчетат в пълна степен в енергийната ефективност икономиите, постигнати чрез използване на електроенергия и топлинна енергия от възобновяеми източници, като част от прегледа на Директивата за енергийната ефективност (юни 2021 г.).</w:t>
            </w:r>
          </w:p>
          <w:p>
            <w:pPr>
              <w:jc w:val="both"/>
              <w:rPr>
                <w:noProof/>
              </w:rPr>
            </w:pPr>
          </w:p>
          <w:p>
            <w:pPr>
              <w:spacing w:after="120"/>
              <w:jc w:val="both"/>
              <w:rPr>
                <w:rFonts w:ascii="Times New Roman" w:hAnsi="Times New Roman" w:cs="Times New Roman"/>
                <w:i/>
                <w:noProof/>
                <w:sz w:val="24"/>
                <w:szCs w:val="24"/>
              </w:rPr>
            </w:pPr>
            <w:r>
              <w:rPr>
                <w:rFonts w:ascii="Times New Roman" w:hAnsi="Times New Roman"/>
                <w:i/>
                <w:noProof/>
                <w:sz w:val="24"/>
                <w:szCs w:val="24"/>
              </w:rPr>
              <w:t>С цел изграждане на енергийна система, по-близка до модела на кръговата икономика:</w:t>
            </w:r>
          </w:p>
          <w:p>
            <w:pPr>
              <w:pStyle w:val="ListParagraph"/>
              <w:numPr>
                <w:ilvl w:val="0"/>
                <w:numId w:val="17"/>
              </w:numPr>
              <w:jc w:val="both"/>
              <w:rPr>
                <w:noProof/>
              </w:rPr>
            </w:pPr>
            <w:r>
              <w:rPr>
                <w:rFonts w:ascii="Times New Roman" w:hAnsi="Times New Roman"/>
                <w:noProof/>
                <w:sz w:val="24"/>
                <w:szCs w:val="24"/>
              </w:rPr>
              <w:t xml:space="preserve">да се улесни </w:t>
            </w:r>
            <w:r>
              <w:rPr>
                <w:rFonts w:ascii="Times New Roman" w:hAnsi="Times New Roman"/>
                <w:b/>
                <w:noProof/>
                <w:sz w:val="24"/>
                <w:szCs w:val="24"/>
              </w:rPr>
              <w:t>повторната употреба на отпадна топлина от промишлени обекти и центрове за данни</w:t>
            </w:r>
            <w:r>
              <w:rPr>
                <w:rFonts w:ascii="Times New Roman" w:hAnsi="Times New Roman"/>
                <w:noProof/>
                <w:sz w:val="24"/>
                <w:szCs w:val="24"/>
              </w:rPr>
              <w:t xml:space="preserve"> чрез по-строги изисквания относно свързването към районните отоплителни (топлофикационни) мрежи, отчитането на енергийната ефективност и договорните рамки като част от преразглеждането на Директивата за енергията от възобновяеми източници и Директивата за енергийната ефективност (юни 2021 г.);</w:t>
            </w:r>
          </w:p>
          <w:p>
            <w:pPr>
              <w:pStyle w:val="ListParagraph"/>
              <w:numPr>
                <w:ilvl w:val="0"/>
                <w:numId w:val="17"/>
              </w:numPr>
              <w:spacing w:after="120"/>
              <w:ind w:left="357" w:hanging="357"/>
              <w:jc w:val="both"/>
              <w:rPr>
                <w:noProof/>
              </w:rPr>
            </w:pPr>
            <w:r>
              <w:rPr>
                <w:rFonts w:ascii="Times New Roman" w:hAnsi="Times New Roman"/>
                <w:noProof/>
                <w:sz w:val="24"/>
              </w:rPr>
              <w:t xml:space="preserve">да се насърчи </w:t>
            </w:r>
            <w:r>
              <w:rPr>
                <w:rFonts w:ascii="Times New Roman" w:hAnsi="Times New Roman"/>
                <w:b/>
                <w:bCs/>
                <w:noProof/>
                <w:sz w:val="24"/>
              </w:rPr>
              <w:t>използването на биологичните отпадъци и остатъци в секторите на земеделието, хранително-вкусовата промишленост и горското стопанство</w:t>
            </w:r>
            <w:r>
              <w:rPr>
                <w:rFonts w:ascii="Times New Roman" w:hAnsi="Times New Roman"/>
                <w:noProof/>
                <w:sz w:val="24"/>
              </w:rPr>
              <w:t xml:space="preserve"> и да се подкрепи изграждането на капацитет за </w:t>
            </w:r>
            <w:r>
              <w:rPr>
                <w:rFonts w:ascii="Times New Roman" w:hAnsi="Times New Roman"/>
                <w:b/>
                <w:bCs/>
                <w:noProof/>
                <w:sz w:val="24"/>
              </w:rPr>
              <w:t>селските общности за кръгово енергийно стопанство</w:t>
            </w:r>
            <w:r>
              <w:rPr>
                <w:rFonts w:ascii="Times New Roman" w:hAnsi="Times New Roman"/>
                <w:noProof/>
                <w:sz w:val="24"/>
              </w:rPr>
              <w:t xml:space="preserve"> чрез общата селскостопанска политика, структурните фондове и новата програма LIFE (от 2021 г. нататък). </w:t>
            </w:r>
          </w:p>
        </w:tc>
      </w:tr>
    </w:tbl>
    <w:p>
      <w:pPr>
        <w:spacing w:after="0" w:line="240" w:lineRule="auto"/>
        <w:jc w:val="both"/>
        <w:rPr>
          <w:rFonts w:ascii="Times New Roman" w:hAnsi="Times New Roman" w:cs="Times New Roman"/>
          <w:noProof/>
          <w:sz w:val="24"/>
          <w:szCs w:val="24"/>
        </w:rPr>
      </w:pPr>
    </w:p>
    <w:p>
      <w:pPr>
        <w:pStyle w:val="Heading2"/>
        <w:numPr>
          <w:ilvl w:val="1"/>
          <w:numId w:val="12"/>
        </w:numPr>
        <w:rPr>
          <w:noProof/>
        </w:rPr>
      </w:pPr>
      <w:r>
        <w:rPr>
          <w:noProof/>
        </w:rPr>
        <w:t>Ускоряване на електрифицирането на енергийното потребление на основата на електроенергийна система, която използва в голяма степен възобновяеми енергийни източници</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Очаква се потреблението на електроенергия да нарасне значително по пътя към постигането на неутралност по отношение на климата</w:t>
      </w:r>
      <w:r>
        <w:rPr>
          <w:rFonts w:ascii="Times New Roman" w:hAnsi="Times New Roman"/>
          <w:noProof/>
          <w:sz w:val="24"/>
          <w:szCs w:val="24"/>
        </w:rPr>
        <w:t>, като делът на електроенергията в крайното потребление на енергия нарасне</w:t>
      </w:r>
      <w:r>
        <w:rPr>
          <w:rFonts w:ascii="Times New Roman" w:hAnsi="Times New Roman"/>
          <w:noProof/>
          <w:sz w:val="24"/>
          <w:szCs w:val="24"/>
          <w:vertAlign w:val="superscript"/>
        </w:rPr>
        <w:footnoteReference w:id="22"/>
      </w:r>
      <w:r>
        <w:rPr>
          <w:rFonts w:ascii="Times New Roman" w:hAnsi="Times New Roman"/>
          <w:noProof/>
          <w:sz w:val="24"/>
          <w:szCs w:val="24"/>
        </w:rPr>
        <w:t xml:space="preserve"> от 23 % понастоящем до около 30 % през 2030 г. и до 50 % до 2050 г. За сравнение, този дял се е увеличил само с 5 процентни пункта през последните тридесет години. </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Удовлетворяването на това растящо потребление на електроенергия ще трябва да се основава до голяма степен на енергията от възобновяеми източници</w:t>
      </w:r>
      <w:r>
        <w:rPr>
          <w:rFonts w:ascii="Times New Roman" w:hAnsi="Times New Roman"/>
          <w:noProof/>
          <w:sz w:val="24"/>
          <w:szCs w:val="24"/>
        </w:rPr>
        <w:t>. До 2030 г. делът на енергията от възобновяеми източници в електроенергийния микс следва да се удвои до 55—60 %, а до 2050 г. да достигне според прогнозите около 84 %. Оставащата разлика следва да бъде покрита от други варианти на производство с ниски нива на въглеродни емисии</w:t>
      </w:r>
      <w:r>
        <w:rPr>
          <w:rFonts w:ascii="Times New Roman" w:hAnsi="Times New Roman"/>
          <w:noProof/>
          <w:sz w:val="24"/>
          <w:szCs w:val="24"/>
          <w:vertAlign w:val="superscript"/>
        </w:rPr>
        <w:footnoteReference w:id="23"/>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последните десетилетия се наблюдава значително намаляване на разходите при технологиите за производство на енергия от възобновяеми източници и се очаква тази тенденция да продължи, поради което възникват перспективи инвестициите да се набавят в нарастваща степен от пазара под въздействието на пазарните сили. Предвид мащаба на нужните инвестиции обаче е спешно необходимо да се преодолеят пречките, които все още възпрепятстват мащабното използване на електроенергия от възобновяеми източници във всички технологии. Сред тях са недостатъчно развитите вериги на доставки, необходимостта от повече и по-интелигентна инфраструктура на електроенергийната мрежа — както национална, така и трансгранична — липсата на приемане от страна на обществеността, административни пречки и продължителни процедури за издаване на разрешения (включително за повторно пускане в експлоатация), финансиране, необходимост от публични или частни възможности за дългосрочно хеджиране или високи разходи за някои не толкова напреднали технологии.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Необходимостта от увеличаване на електроснабдяването може да бъде задоволена отчасти от производството на енергия от възобновяеми източници в морето, наред с други подходящи технологии за получаване на енергия от възобновяеми източници на сушата, като например слънчева или вятърна енергия. Потенциалът за получаване на вятърна енергия чрез разположени в морето инсталации в ЕС ще достигне 300—450 GW до 2050 г.</w:t>
      </w:r>
      <w:r>
        <w:rPr>
          <w:rFonts w:ascii="Times New Roman" w:hAnsi="Times New Roman"/>
          <w:noProof/>
          <w:sz w:val="24"/>
          <w:szCs w:val="24"/>
          <w:vertAlign w:val="superscript"/>
        </w:rPr>
        <w:footnoteReference w:id="24"/>
      </w:r>
      <w:r>
        <w:rPr>
          <w:rFonts w:ascii="Times New Roman" w:hAnsi="Times New Roman"/>
          <w:noProof/>
          <w:sz w:val="24"/>
          <w:szCs w:val="24"/>
        </w:rPr>
        <w:t xml:space="preserve"> спрямо мощности от около 12 GW понастоящем</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Това представлява огромна възможност за промишлеността на ЕС да се превърне в световен лидер в областта на морските технологии за получаване на енергия, но ще изискват значителни усилия за повишаване на европейския промишлен капацитет и изграждане на нови вериги за създаване на стойност. Производството на електроенергия в морето създава също така възможност в близост да се разполагат електролизьори за производство на водород, включително за възможно повторно използване на съществуваща инфраструктура на изчерпани находища на природен газ. Освен това развитието на технологиите за слънчевата енергия ще бъде допълнително улеснено.</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 краткосрочен план Комисията ще използва новия инструмент за икономическо възстановяване NextGenerationEU, за да подкрепи продължаващото използване на енергия от възобновяеми източници. Тя ще направи оценка на възможностите за насочване на финансирането от ЕС посредством или в съчетание със средствата от новия </w:t>
      </w:r>
      <w:r>
        <w:rPr>
          <w:rFonts w:ascii="Times New Roman" w:hAnsi="Times New Roman"/>
          <w:b/>
          <w:noProof/>
          <w:sz w:val="24"/>
          <w:szCs w:val="24"/>
        </w:rPr>
        <w:t>механизъм на ЕС за финансиране на енергията от възобновяеми източници</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От страната на потреблението се осигуряват някои стимули за електрифициране, например чрез секторните цели, определени в Директивата за енергията от възобновяеми източници, и в транспорта чрез стандарти за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за превозни средства, Директивата за инфраструктурата за алтернативни горива и Директивата за чистите превозни средства</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xml:space="preserve">. Но предизвикателствата пред </w:t>
      </w:r>
      <w:r>
        <w:rPr>
          <w:rFonts w:ascii="Times New Roman" w:hAnsi="Times New Roman"/>
          <w:b/>
          <w:noProof/>
          <w:sz w:val="24"/>
          <w:szCs w:val="24"/>
        </w:rPr>
        <w:t>увеличаването на електрификацията продължават да са налице</w:t>
      </w:r>
      <w:r>
        <w:rPr>
          <w:rFonts w:ascii="Times New Roman" w:hAnsi="Times New Roman"/>
          <w:noProof/>
          <w:sz w:val="24"/>
          <w:szCs w:val="24"/>
        </w:rPr>
        <w:t xml:space="preserve"> и са различни за различните сектори и държави членки, </w:t>
      </w:r>
      <w:r>
        <w:rPr>
          <w:rFonts w:ascii="Times New Roman" w:hAnsi="Times New Roman"/>
          <w:b/>
          <w:noProof/>
          <w:sz w:val="24"/>
          <w:szCs w:val="24"/>
        </w:rPr>
        <w:t>поради което трябва да се положат още усилия</w:t>
      </w:r>
      <w:r>
        <w:rPr>
          <w:rFonts w:ascii="Times New Roman" w:hAnsi="Times New Roman"/>
          <w:noProof/>
          <w:sz w:val="24"/>
          <w:szCs w:val="24"/>
        </w:rPr>
        <w:t xml:space="preserve">.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Очаква се в </w:t>
      </w:r>
      <w:r>
        <w:rPr>
          <w:rFonts w:ascii="Times New Roman" w:hAnsi="Times New Roman"/>
          <w:b/>
          <w:bCs/>
          <w:noProof/>
          <w:sz w:val="24"/>
          <w:szCs w:val="24"/>
        </w:rPr>
        <w:t>сградите</w:t>
      </w:r>
      <w:r>
        <w:rPr>
          <w:rFonts w:ascii="Times New Roman" w:hAnsi="Times New Roman"/>
          <w:noProof/>
          <w:sz w:val="24"/>
          <w:szCs w:val="24"/>
        </w:rPr>
        <w:t xml:space="preserve"> електрификацията да играе централна роля, по-специално чрез внедряването на термопомпи за отопление и охлаждане на помещения. В жилищния сектор делът на електроенергията в потреблението на енергия с цел отопление следва да нарасне на 40 % до 2030 г. и на 50—70 % до 2050 г.; в сектора на услугите се очаква тези стойности да бъдат около 65 % до 2030 г. и 80 % до 2050 г</w:t>
      </w:r>
      <w:r>
        <w:rPr>
          <w:rFonts w:ascii="Times New Roman" w:hAnsi="Times New Roman"/>
          <w:noProof/>
          <w:sz w:val="24"/>
          <w:szCs w:val="24"/>
          <w:vertAlign w:val="superscript"/>
        </w:rPr>
        <w:footnoteReference w:id="28"/>
      </w:r>
      <w:r>
        <w:rPr>
          <w:rFonts w:ascii="Times New Roman" w:hAnsi="Times New Roman"/>
          <w:noProof/>
          <w:sz w:val="24"/>
          <w:szCs w:val="24"/>
        </w:rPr>
        <w:t>. Широкомащабното използване на термопомпи ще играе важна роля в районните отоплителни (топлофикационни) и охладителни системи. Най-важната пречка е относително по-високото равнище на данъците и налозите, прилагани за електроенергията, и по-ниските нива на данъчно облагане на изкопаемите горива (нефт, газ и въглища), използвани в сектора на отоплението, което води до липса на равнопоставеност. Напредъкът се възпрепятства също от редица други пречки, включително неподходящо планиране на инфраструктурата, строителни правилници и стандарти за строителните продукти, липса на квалифицирана работна ръка за инсталиране и техническо обслужване, липса на публични и частни финансови инструменти и липса на интернализиране на разходите за CO</w:t>
      </w:r>
      <w:r>
        <w:rPr>
          <w:rFonts w:ascii="Times New Roman" w:hAnsi="Times New Roman"/>
          <w:noProof/>
          <w:sz w:val="24"/>
          <w:szCs w:val="24"/>
          <w:vertAlign w:val="subscript"/>
        </w:rPr>
        <w:t>2</w:t>
      </w:r>
      <w:r>
        <w:rPr>
          <w:rFonts w:ascii="Times New Roman" w:hAnsi="Times New Roman"/>
          <w:noProof/>
          <w:sz w:val="24"/>
          <w:szCs w:val="24"/>
        </w:rPr>
        <w:t xml:space="preserve"> в горивата за отопление. Това води до ниски темпове на заместване на изкопаемите горива в ЕС, слабо развитие и модернизиране на мрежите на районните отоплителни (топлофикационни) и охладителни системи и ниски темпове на обновяване на сградите. С инициативата за цялостно модернизиране на строителния сектор Комисията ще осигури по-голямо навлизане на възобновяемите енергийни източници в сградите. Тя ще подкрепи също програмите за обучение по Актуализираната програма за умения.</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bCs/>
          <w:noProof/>
          <w:sz w:val="24"/>
          <w:szCs w:val="24"/>
        </w:rPr>
        <w:t>промишлеността</w:t>
      </w:r>
      <w:r>
        <w:rPr>
          <w:rFonts w:ascii="Times New Roman" w:hAnsi="Times New Roman"/>
          <w:noProof/>
          <w:sz w:val="24"/>
          <w:szCs w:val="24"/>
        </w:rPr>
        <w:t xml:space="preserve"> над 60 % от консумираната енергия е под формата на топлина. Промишлените термопомпи могат да спомогнат за декарбонизиране на подаването на нискотемпературна топлина в промишлеността и могат да бъдат съчетани с повторното използване на отпадна топлина. Други технологии се разработват за производството на високотемпературна топлина (например микровълнови или ултразвукови) и за електрифицирането на процесите чрез електрохимични методи. Сред пречките пред разгръщането са липсата на информация и дългите периоди за възвръщане на инвестиции поради високата цена на електроенергията в сравнение с газа и високите разходи за намаляване на емисиите, свързани с тези технологии, в сравнение с текущите цени на СО</w:t>
      </w:r>
      <w:r>
        <w:rPr>
          <w:rFonts w:ascii="Times New Roman" w:hAnsi="Times New Roman"/>
          <w:noProof/>
          <w:sz w:val="24"/>
          <w:szCs w:val="24"/>
          <w:vertAlign w:val="subscript"/>
        </w:rPr>
        <w:t>2</w:t>
      </w:r>
      <w:r>
        <w:rPr>
          <w:rFonts w:ascii="Times New Roman" w:hAnsi="Times New Roman"/>
          <w:noProof/>
          <w:sz w:val="24"/>
          <w:szCs w:val="24"/>
        </w:rPr>
        <w:t xml:space="preserve">. Промените в производствения процес, водещи до по-високи разходи, биха могли да засегнат и конкурентоспособността на отраслите, изложени на международна конкуренция. С подкрепата от ЕС би могло да се подпомогне разработването на редица водещи проекти и да се демонстрират иновативни процеси, основани на електроенергията. Освен това промишлената верига на доставки за тези технологии не е достатъчно развита и интегрирането на тези технологии за електрификация в промишлените процеси изисква обучение и нови умения. Комисията ще проучи заедно с промишлеността начините за справяне с тези проблеми.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b/>
          <w:bCs/>
          <w:noProof/>
          <w:sz w:val="24"/>
        </w:rPr>
        <w:t>областта на транспорта</w:t>
      </w:r>
      <w:r>
        <w:rPr>
          <w:rStyle w:val="FootnoteReference"/>
          <w:rFonts w:ascii="Times New Roman" w:hAnsi="Times New Roman" w:cs="Times New Roman"/>
          <w:b/>
          <w:bCs/>
          <w:noProof/>
          <w:sz w:val="24"/>
          <w:szCs w:val="24"/>
        </w:rPr>
        <w:footnoteReference w:id="29"/>
      </w:r>
      <w:r>
        <w:rPr>
          <w:rFonts w:ascii="Times New Roman" w:hAnsi="Times New Roman"/>
          <w:noProof/>
          <w:sz w:val="24"/>
        </w:rPr>
        <w:t xml:space="preserve"> по-късно тази година се предвижда приемането на стратегия за устойчива и интелигентна мобилност, която ще определи начина, по който нашата транспортна система трябва да се декарбонизира и модернизира, за да се намалят емисиите в нея с 90 % през 2050 г</w:t>
      </w:r>
      <w:r>
        <w:rPr>
          <w:rStyle w:val="FootnoteReference"/>
          <w:rFonts w:ascii="Times New Roman" w:hAnsi="Times New Roman" w:cs="Times New Roman"/>
          <w:noProof/>
          <w:sz w:val="24"/>
          <w:szCs w:val="24"/>
        </w:rPr>
        <w:footnoteReference w:id="30"/>
      </w:r>
      <w:r>
        <w:rPr>
          <w:rFonts w:ascii="Times New Roman" w:hAnsi="Times New Roman"/>
          <w:noProof/>
          <w:sz w:val="24"/>
        </w:rPr>
        <w:t>. Електромобилността е от ключово значение и ще ускори декарбонизацията и намали замърсяването, особено в нашите градове, а нови услуги за мобилност ще повишат ефективността на транспортната система и ще намалят задръстванията. Бързото спадане на разходите за електрически превозни средства означава, че те биха могли да станат конкурентоспособни спрямо превозните средства с двигатели с вътрешно горене около 2025 г. на базата на общите разходи по собствеността</w:t>
      </w:r>
      <w:r>
        <w:rPr>
          <w:rStyle w:val="FootnoteReference"/>
          <w:rFonts w:ascii="Times New Roman" w:hAnsi="Times New Roman" w:cs="Times New Roman"/>
          <w:noProof/>
          <w:sz w:val="24"/>
          <w:szCs w:val="24"/>
        </w:rPr>
        <w:footnoteReference w:id="31"/>
      </w:r>
      <w:r>
        <w:rPr>
          <w:rFonts w:ascii="Times New Roman" w:hAnsi="Times New Roman"/>
          <w:noProof/>
          <w:sz w:val="24"/>
        </w:rPr>
        <w:t xml:space="preserve">. В Европейския зелен пакт се посочва необходимостта да се ускори разгръщането на инфраструктурата за зареждане с електроенергия, като се започне с амбициозната цел броят на публично достъпните станции за зареждане с електроенергия и гориво да достигне поне един милион до 2025 г., както и да се използва подаване на електроенергия от брега за корабите в пристанищата. За тази цел Комисията ще използва инструмента InvestEU, който ще бъде подсилен </w:t>
      </w:r>
      <w:r>
        <w:rPr>
          <w:rStyle w:val="None"/>
          <w:rFonts w:ascii="Times New Roman" w:hAnsi="Times New Roman"/>
          <w:noProof/>
          <w:sz w:val="24"/>
        </w:rPr>
        <w:t>и ще включи нов механизъм за стратегически инвестиции</w:t>
      </w:r>
      <w:r>
        <w:rPr>
          <w:rFonts w:ascii="Times New Roman" w:hAnsi="Times New Roman"/>
          <w:noProof/>
          <w:sz w:val="24"/>
        </w:rPr>
        <w:t>, както и финансирането по линия на Механизма за свързване на Европа, за да се разшири обхватът на инфраструктурната мрежа. Оказването на подкрепа за чистите превозни средства и инфраструктурата за алтернативни горива чрез Механизма за възстановяване и устойчивост и чрез политиката на сближаване ще бъде приоритет като част от засиления акцент върху осъществяването на Европейския зелен пакт в нашите региони и градове, включително в обществени сгради, офиси, складове и частни жилища. Инициативата за цялостно модернизиране на строителния сектор също предлага възможности за насърчаване на инсталирането на зарядни устройства и зарядни станции за електрически превозни средства. Освен това Комисията ще предложи преразглеждане на Директивата за инфраструктурата за алтернативни горива и на Регламента за TEN-T и ще направи също така оценка как допълнително да се засилят полезните взаимодействия между политиките за TEN-T и TEN-E. В допълнение към продължаващата подкрепа по Механизма за свързване на Европа Комисията ще картографира възможностите за финансиране и регулаторните инициативи за разгръщането на инфраструктурата за зареждане с електроенергия. Комисията също така ще се заеме с обстоятелствата, пречещи на електромобилността да бъде по-привлекателна за потребителя, като например непрозрачното ценообразуване в обществените зарядни станции и трайната липса на трансгранична оперативна съвместимост на услугите за зареждане. Необходими са също така мерки за насърчаване на използването на електроенергията от възобновяеми източници в пристанищата и улесняване на електрификацията на автомобилния товарен транспорт. Може да се проучат възможностите за допълнително електрифициране на железниците, като се отчита неговата икономическа целесъобразност</w:t>
      </w:r>
      <w:r>
        <w:rPr>
          <w:rStyle w:val="FootnoteReference"/>
          <w:rFonts w:ascii="Times New Roman" w:hAnsi="Times New Roman"/>
          <w:noProof/>
          <w:sz w:val="24"/>
        </w:rPr>
        <w:footnoteReference w:id="32"/>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цяло </w:t>
      </w:r>
      <w:r>
        <w:rPr>
          <w:rFonts w:ascii="Times New Roman" w:hAnsi="Times New Roman"/>
          <w:b/>
          <w:noProof/>
          <w:sz w:val="24"/>
          <w:szCs w:val="24"/>
        </w:rPr>
        <w:t>нарастващото използване на електроенергия в секторите на крайното потребление ще доведе до необходимост от преразглеждане на адекватността на електроснабдяването от възобновяеми източници</w:t>
      </w:r>
      <w:r>
        <w:rPr>
          <w:rFonts w:ascii="Times New Roman" w:hAnsi="Times New Roman"/>
          <w:noProof/>
          <w:sz w:val="24"/>
          <w:szCs w:val="24"/>
        </w:rPr>
        <w:t>, за да се гарантира, че то ще отговаря на мащаба, необходим за подпомагането на декарбонизацията на горепосочените сектори.</w:t>
      </w:r>
    </w:p>
    <w:p>
      <w:pPr>
        <w:spacing w:after="240" w:line="240" w:lineRule="auto"/>
        <w:jc w:val="both"/>
        <w:rPr>
          <w:rFonts w:ascii="Times New Roman" w:hAnsi="Times New Roman" w:cs="Times New Roman"/>
          <w:noProof/>
          <w:sz w:val="24"/>
          <w:szCs w:val="24"/>
        </w:rPr>
      </w:pPr>
      <w:r>
        <w:rPr>
          <w:rFonts w:ascii="Times New Roman" w:hAnsi="Times New Roman"/>
          <w:b/>
          <w:noProof/>
          <w:sz w:val="24"/>
          <w:szCs w:val="24"/>
        </w:rPr>
        <w:t>Електрификацията може да доведе до проблеми в управлението на електроенергийната система</w:t>
      </w:r>
      <w:r>
        <w:rPr>
          <w:rFonts w:ascii="Times New Roman" w:hAnsi="Times New Roman"/>
          <w:noProof/>
          <w:sz w:val="24"/>
          <w:szCs w:val="24"/>
        </w:rPr>
        <w:t>. Регионалната и трансграничната координация между държавите членки ще става все по-важна. Това ще намери отражение в изграждането на регионални координационни центрове</w:t>
      </w:r>
      <w:r>
        <w:rPr>
          <w:rFonts w:ascii="Times New Roman" w:hAnsi="Times New Roman"/>
          <w:noProof/>
          <w:sz w:val="24"/>
          <w:szCs w:val="24"/>
          <w:vertAlign w:val="superscript"/>
        </w:rPr>
        <w:footnoteReference w:id="33"/>
      </w:r>
      <w:r>
        <w:rPr>
          <w:rFonts w:ascii="Times New Roman" w:hAnsi="Times New Roman"/>
          <w:noProof/>
          <w:sz w:val="24"/>
          <w:szCs w:val="24"/>
        </w:rPr>
        <w:t xml:space="preserve"> през 2022 г., което ще даде възможност за по-солиден анализ на сигурността, координация при извънредни ситуации и изключвания и общо планиране на инфраструктурата, както и за разгръщане на съоръжения за акумулиране и други възможности за гъвкавост. Комисията ще подкрепи разгръщането на </w:t>
      </w:r>
      <w:r>
        <w:rPr>
          <w:rFonts w:ascii="Times New Roman" w:hAnsi="Times New Roman"/>
          <w:b/>
          <w:noProof/>
          <w:sz w:val="24"/>
          <w:szCs w:val="24"/>
        </w:rPr>
        <w:t>съоръжения за акумулиране на енергия</w:t>
      </w:r>
      <w:r>
        <w:rPr>
          <w:rFonts w:ascii="Times New Roman" w:hAnsi="Times New Roman"/>
          <w:noProof/>
          <w:sz w:val="24"/>
          <w:szCs w:val="24"/>
        </w:rPr>
        <w:t xml:space="preserve"> чрез пълно прилагане на пакета за чиста енергия, както и при предстоящите преразглеждания на законодателни актове, включително преразглеждането на Регламента за TEN-E.</w:t>
      </w:r>
    </w:p>
    <w:p>
      <w:pPr>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Предизвикателства се очакват и на по-местно равнище. </w:t>
      </w:r>
      <w:r>
        <w:rPr>
          <w:rFonts w:ascii="Times New Roman" w:hAnsi="Times New Roman"/>
          <w:noProof/>
          <w:sz w:val="24"/>
        </w:rPr>
        <w:t xml:space="preserve">Така например пълната електрификация на пътническия автомобилен транспорт ще изисква в някои части на Съюза да се подобри инфраструктурата на местната електроенергийна мрежа. Същевременно това може да създаде </w:t>
      </w:r>
      <w:r>
        <w:rPr>
          <w:rFonts w:ascii="Times New Roman" w:hAnsi="Times New Roman"/>
          <w:b/>
          <w:bCs/>
          <w:noProof/>
          <w:sz w:val="24"/>
        </w:rPr>
        <w:t>възможности за осигуряване на акумулиране и гъвкавост</w:t>
      </w:r>
      <w:r>
        <w:rPr>
          <w:rFonts w:ascii="Times New Roman" w:hAnsi="Times New Roman"/>
          <w:noProof/>
          <w:sz w:val="24"/>
        </w:rPr>
        <w:t xml:space="preserve"> на системата</w:t>
      </w:r>
      <w:r>
        <w:rPr>
          <w:rStyle w:val="FootnoteReference"/>
          <w:rFonts w:ascii="Times New Roman" w:hAnsi="Times New Roman" w:cs="Times New Roman"/>
          <w:noProof/>
          <w:sz w:val="24"/>
          <w:szCs w:val="24"/>
        </w:rPr>
        <w:footnoteReference w:id="34"/>
      </w:r>
      <w:r>
        <w:rPr>
          <w:rFonts w:ascii="Times New Roman" w:hAnsi="Times New Roman"/>
          <w:noProof/>
          <w:sz w:val="24"/>
        </w:rPr>
        <w:t>. По-специално услугите за интелигентно зареждане и свързване на превозни средства към електрическата мрежа (т. нар. технология „V2G“) ще имат съществена роля за справянето с претоварването на мрежата и ще ограничат необходимостта от скъпи инвестиции за увеличаване на преносната способност на електроенергийната мрежа.  Директивата за електроенергията съдържа редица разпоредби, които създават основата за разгръщането на интелигентно зареждане и развитието на услугите от тип V2G, но все още са налице предизвикателства, например по отношение на разгръщането на интелигентни зарядни станции, общите стандарти и протоколи за комуникация, таксите за мрежата, данъчно облагане и достъпа до бордовите данни. Разработването на нов мрежов кодекс относно гъвкавостта на потреблението, както и преразглеждането на Директивата за инфраструктурата за алтернативни горива, предоставят възможности за създаване на стабилна рамка за успешното интегриране на гъвкавостта на потреблението като цяло, и по-специално на електрическите превозни средства.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Специфични предизвикателства възникват при усилията за електрификация на райони, които не са свързани с континенталната електроенергийна мрежа, като най-отдалечените региони, някои острови или отдалечени или слабо населени райони. Техническата и финансовата подкрепа за интеграцията на енергийната система са от особено значение за ефективността по отношение на разходите на прехода в тези региони.</w:t>
      </w:r>
    </w:p>
    <w:tbl>
      <w:tblPr>
        <w:tblStyle w:val="TableGrid"/>
        <w:tblW w:w="0" w:type="auto"/>
        <w:shd w:val="clear" w:color="auto" w:fill="DBE5F1" w:themeFill="accent1" w:themeFillTint="33"/>
        <w:tblLook w:val="04A0" w:firstRow="1" w:lastRow="0" w:firstColumn="1" w:lastColumn="0" w:noHBand="0" w:noVBand="1"/>
      </w:tblPr>
      <w:tblGrid>
        <w:gridCol w:w="9288"/>
      </w:tblGrid>
      <w:tr>
        <w:trPr>
          <w:trHeight w:val="557"/>
        </w:trPr>
        <w:tc>
          <w:tcPr>
            <w:tcW w:w="9288" w:type="dxa"/>
            <w:shd w:val="clear" w:color="auto" w:fill="DBE5F1" w:themeFill="accent1" w:themeFillTint="33"/>
          </w:tcPr>
          <w:p>
            <w:pPr>
              <w:spacing w:before="120"/>
              <w:jc w:val="center"/>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jc w:val="both"/>
              <w:rPr>
                <w:rFonts w:ascii="Times New Roman" w:hAnsi="Times New Roman" w:cs="Times New Roman"/>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szCs w:val="24"/>
              </w:rPr>
              <w:t>С цел гарантиране на непрекъснат растеж на  електроснабдяването от възобновяеми източници:</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 xml:space="preserve">да се осигури чрез стратегията за получаване на енергия от възобновяеми източници в морски инсталации ефективно по отношение на разходите планиране на внедряването на инсталации за получаване на </w:t>
            </w:r>
            <w:r>
              <w:rPr>
                <w:rFonts w:ascii="Times New Roman" w:hAnsi="Times New Roman"/>
                <w:b/>
                <w:noProof/>
                <w:sz w:val="24"/>
              </w:rPr>
              <w:t>електроенергия от възобновяеми източници в морето</w:t>
            </w:r>
            <w:r>
              <w:rPr>
                <w:rFonts w:ascii="Times New Roman" w:hAnsi="Times New Roman"/>
                <w:noProof/>
                <w:sz w:val="24"/>
              </w:rPr>
              <w:t xml:space="preserve">, като се взема предвид потенциалът за производство на водород на или в близост до обекта, </w:t>
            </w:r>
            <w:r>
              <w:rPr>
                <w:rFonts w:ascii="Times New Roman" w:hAnsi="Times New Roman"/>
                <w:b/>
                <w:bCs/>
                <w:noProof/>
                <w:sz w:val="24"/>
              </w:rPr>
              <w:t>и да се укрепят водещите позиции на промишлеността на ЕС в областта на морските технологии</w:t>
            </w:r>
            <w:r>
              <w:rPr>
                <w:rFonts w:ascii="Times New Roman" w:hAnsi="Times New Roman"/>
                <w:noProof/>
                <w:sz w:val="24"/>
              </w:rPr>
              <w:t xml:space="preserve"> (2020 г.); </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проучи възможността за създаване на минимални задължителни критерии и цели за </w:t>
            </w:r>
            <w:r>
              <w:rPr>
                <w:rFonts w:ascii="Times New Roman" w:hAnsi="Times New Roman"/>
                <w:b/>
                <w:noProof/>
                <w:sz w:val="24"/>
                <w:szCs w:val="24"/>
              </w:rPr>
              <w:t>екологосъобразни обществени поръчки</w:t>
            </w:r>
            <w:r>
              <w:rPr>
                <w:rFonts w:ascii="Times New Roman" w:hAnsi="Times New Roman"/>
                <w:noProof/>
                <w:sz w:val="24"/>
                <w:szCs w:val="24"/>
              </w:rPr>
              <w:t xml:space="preserve"> (GPP) във връзка с </w:t>
            </w:r>
            <w:r>
              <w:rPr>
                <w:rFonts w:ascii="Times New Roman" w:hAnsi="Times New Roman"/>
                <w:b/>
                <w:noProof/>
                <w:sz w:val="24"/>
                <w:szCs w:val="24"/>
              </w:rPr>
              <w:t>електроенергията от възобновяеми източници</w:t>
            </w:r>
            <w:r>
              <w:rPr>
                <w:rFonts w:ascii="Times New Roman" w:hAnsi="Times New Roman"/>
                <w:noProof/>
                <w:sz w:val="24"/>
                <w:szCs w:val="24"/>
              </w:rPr>
              <w:t xml:space="preserve">, евентуално като част от преразглеждането на Директивата за енергията от възобновяеми източници (юни 2021 г.) и с помощта на финансиране за </w:t>
            </w:r>
            <w:r>
              <w:rPr>
                <w:rFonts w:ascii="Times New Roman" w:hAnsi="Times New Roman"/>
                <w:b/>
                <w:bCs/>
                <w:noProof/>
                <w:sz w:val="24"/>
                <w:szCs w:val="24"/>
              </w:rPr>
              <w:t>изграждането на капацитет</w:t>
            </w:r>
            <w:r>
              <w:rPr>
                <w:rFonts w:ascii="Times New Roman" w:hAnsi="Times New Roman"/>
                <w:noProof/>
                <w:sz w:val="24"/>
                <w:szCs w:val="24"/>
              </w:rPr>
              <w:t xml:space="preserve"> по програмата LIFE; </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преодолеят оставащите пречки за постигането на </w:t>
            </w:r>
            <w:r>
              <w:rPr>
                <w:rFonts w:ascii="Times New Roman" w:hAnsi="Times New Roman"/>
                <w:b/>
                <w:noProof/>
                <w:sz w:val="24"/>
                <w:szCs w:val="24"/>
              </w:rPr>
              <w:t>високо равнище на електроснабдяването от възобновяеми източници</w:t>
            </w:r>
            <w:r>
              <w:rPr>
                <w:rFonts w:ascii="Times New Roman" w:hAnsi="Times New Roman"/>
                <w:noProof/>
                <w:sz w:val="24"/>
                <w:szCs w:val="24"/>
              </w:rPr>
              <w:t>, което да съответства на очакваното нарастване на потреблението в секторите на крайните потребители, включително чрез преразглеждане на Директивата за енергията от възобновяеми източници (юни 2021 г.).</w:t>
            </w:r>
          </w:p>
          <w:p>
            <w:pPr>
              <w:jc w:val="both"/>
              <w:rPr>
                <w:rFonts w:ascii="Times New Roman" w:hAnsi="Times New Roman" w:cs="Times New Roman"/>
                <w:noProof/>
                <w:sz w:val="24"/>
                <w:szCs w:val="24"/>
              </w:rPr>
            </w:pPr>
          </w:p>
          <w:p>
            <w:pPr>
              <w:spacing w:after="100" w:afterAutospacing="1"/>
              <w:jc w:val="both"/>
              <w:rPr>
                <w:rFonts w:ascii="Times New Roman" w:hAnsi="Times New Roman" w:cs="Times New Roman"/>
                <w:i/>
                <w:noProof/>
                <w:sz w:val="24"/>
                <w:szCs w:val="24"/>
              </w:rPr>
            </w:pPr>
            <w:r>
              <w:rPr>
                <w:rFonts w:ascii="Times New Roman" w:hAnsi="Times New Roman"/>
                <w:i/>
                <w:noProof/>
                <w:sz w:val="24"/>
                <w:szCs w:val="24"/>
              </w:rPr>
              <w:t>С цел допълнително ускоряване на електрификацията на потреблението на енергия:</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като част от инициативата за </w:t>
            </w:r>
            <w:r>
              <w:rPr>
                <w:rFonts w:ascii="Times New Roman" w:hAnsi="Times New Roman"/>
                <w:b/>
                <w:noProof/>
                <w:sz w:val="24"/>
                <w:szCs w:val="24"/>
              </w:rPr>
              <w:t>цялостно модернизиране на строителния сектор</w:t>
            </w:r>
            <w:r>
              <w:rPr>
                <w:rFonts w:ascii="Times New Roman" w:hAnsi="Times New Roman"/>
                <w:noProof/>
                <w:sz w:val="24"/>
                <w:szCs w:val="24"/>
              </w:rPr>
              <w:t>, да се насърчи по-нататъшната електрификация на отоплението на сгради (по-специално чрез термопомпи), внедряването на енергия от възобновяеми източници в самата сграда, както и разгръщане на мрежа от зарядни станции за електрически превозни средства (от 2020 г. нататък), като се използва цялото налично финансиране от ЕС, включително от Кохезионния фонд и InvestEU;</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разработят по-специфични мерки за използването на </w:t>
            </w:r>
            <w:r>
              <w:rPr>
                <w:rFonts w:ascii="Times New Roman" w:hAnsi="Times New Roman"/>
                <w:b/>
                <w:bCs/>
                <w:noProof/>
                <w:sz w:val="24"/>
                <w:szCs w:val="24"/>
              </w:rPr>
              <w:t>електроенергия от възобновяеми източници в транспорта</w:t>
            </w:r>
            <w:r>
              <w:rPr>
                <w:rFonts w:ascii="Times New Roman" w:hAnsi="Times New Roman"/>
                <w:noProof/>
                <w:sz w:val="24"/>
                <w:szCs w:val="24"/>
              </w:rPr>
              <w:t xml:space="preserve">, както и за </w:t>
            </w:r>
            <w:r>
              <w:rPr>
                <w:rFonts w:ascii="Times New Roman" w:hAnsi="Times New Roman"/>
                <w:b/>
                <w:bCs/>
                <w:noProof/>
                <w:sz w:val="24"/>
                <w:szCs w:val="24"/>
              </w:rPr>
              <w:t>отопление и охлаждане</w:t>
            </w:r>
            <w:r>
              <w:rPr>
                <w:rFonts w:ascii="Times New Roman" w:hAnsi="Times New Roman"/>
                <w:noProof/>
                <w:sz w:val="24"/>
                <w:szCs w:val="24"/>
              </w:rPr>
              <w:t xml:space="preserve"> в сградите и промишлеността, по-специално чрез преразглеждане на Директивата за енергията от възобновяеми източници и използване на нейните секторни цели (юни 2021 г.);</w:t>
            </w:r>
          </w:p>
          <w:p>
            <w:pPr>
              <w:pStyle w:val="ListParagraph"/>
              <w:numPr>
                <w:ilvl w:val="0"/>
                <w:numId w:val="17"/>
              </w:numPr>
              <w:jc w:val="both"/>
              <w:rPr>
                <w:noProof/>
              </w:rPr>
            </w:pPr>
            <w:r>
              <w:rPr>
                <w:rFonts w:ascii="Times New Roman" w:hAnsi="Times New Roman"/>
                <w:noProof/>
                <w:sz w:val="24"/>
                <w:szCs w:val="24"/>
              </w:rPr>
              <w:t xml:space="preserve">да се финансират пилотни проекти за </w:t>
            </w:r>
            <w:r>
              <w:rPr>
                <w:rFonts w:ascii="Times New Roman" w:hAnsi="Times New Roman"/>
                <w:b/>
                <w:bCs/>
                <w:noProof/>
                <w:sz w:val="24"/>
                <w:szCs w:val="24"/>
              </w:rPr>
              <w:t>електрификация на нискотемпературните технологични процеси в промишлените сектори</w:t>
            </w:r>
            <w:r>
              <w:rPr>
                <w:rFonts w:ascii="Times New Roman" w:hAnsi="Times New Roman"/>
                <w:noProof/>
                <w:sz w:val="24"/>
                <w:szCs w:val="24"/>
              </w:rPr>
              <w:t xml:space="preserve"> чрез „Хоризонт Европа“ и Фонда за иновации (до 2021 г.); </w:t>
            </w:r>
          </w:p>
          <w:p>
            <w:pPr>
              <w:pStyle w:val="ListParagraph"/>
              <w:numPr>
                <w:ilvl w:val="0"/>
                <w:numId w:val="17"/>
              </w:numPr>
              <w:jc w:val="both"/>
              <w:rPr>
                <w:noProof/>
              </w:rPr>
            </w:pPr>
            <w:r>
              <w:rPr>
                <w:rFonts w:ascii="Times New Roman" w:hAnsi="Times New Roman"/>
                <w:noProof/>
                <w:sz w:val="24"/>
              </w:rPr>
              <w:t xml:space="preserve">да се оценят вариантите за подпомагане на по-нататъшната декарбонизация на промишлените процеси, включително чрез електрификация и енергийна ефективност, в рамките на преразглеждането на </w:t>
            </w:r>
            <w:r>
              <w:rPr>
                <w:rFonts w:ascii="Times New Roman" w:hAnsi="Times New Roman"/>
                <w:b/>
                <w:noProof/>
                <w:sz w:val="24"/>
              </w:rPr>
              <w:t>Директивата относно емисиите от промишлеността</w:t>
            </w:r>
            <w:r>
              <w:rPr>
                <w:rFonts w:ascii="Times New Roman" w:hAnsi="Times New Roman"/>
                <w:noProof/>
                <w:sz w:val="24"/>
              </w:rPr>
              <w:t xml:space="preserve"> (2021 г.)</w:t>
            </w:r>
            <w:r>
              <w:rPr>
                <w:rStyle w:val="FootnoteReference"/>
                <w:rFonts w:ascii="Times New Roman" w:hAnsi="Times New Roman" w:cs="Times New Roman"/>
                <w:noProof/>
                <w:sz w:val="24"/>
                <w:szCs w:val="24"/>
              </w:rPr>
              <w:footnoteReference w:id="35"/>
            </w:r>
            <w:r>
              <w:rPr>
                <w:rFonts w:ascii="Times New Roman" w:hAnsi="Times New Roman"/>
                <w:noProof/>
                <w:sz w:val="24"/>
              </w:rPr>
              <w:t>;</w:t>
            </w:r>
          </w:p>
          <w:p>
            <w:pPr>
              <w:pStyle w:val="ListParagraph"/>
              <w:numPr>
                <w:ilvl w:val="0"/>
                <w:numId w:val="17"/>
              </w:numPr>
              <w:jc w:val="both"/>
              <w:rPr>
                <w:noProof/>
              </w:rPr>
            </w:pPr>
            <w:r>
              <w:rPr>
                <w:rFonts w:ascii="Times New Roman" w:hAnsi="Times New Roman"/>
                <w:noProof/>
                <w:sz w:val="24"/>
                <w:szCs w:val="24"/>
              </w:rPr>
              <w:t xml:space="preserve">да се предложи преразглеждане на </w:t>
            </w:r>
            <w:r>
              <w:rPr>
                <w:rFonts w:ascii="Times New Roman" w:hAnsi="Times New Roman"/>
                <w:b/>
                <w:noProof/>
                <w:sz w:val="24"/>
                <w:szCs w:val="24"/>
              </w:rPr>
              <w:t>стандартите за емисиите на CO</w:t>
            </w:r>
            <w:r>
              <w:rPr>
                <w:rFonts w:ascii="Times New Roman" w:hAnsi="Times New Roman"/>
                <w:b/>
                <w:noProof/>
                <w:sz w:val="24"/>
                <w:szCs w:val="24"/>
                <w:vertAlign w:val="subscript"/>
              </w:rPr>
              <w:t>2</w:t>
            </w:r>
            <w:r>
              <w:rPr>
                <w:rFonts w:ascii="Times New Roman" w:hAnsi="Times New Roman"/>
                <w:b/>
                <w:noProof/>
                <w:sz w:val="24"/>
                <w:szCs w:val="24"/>
              </w:rPr>
              <w:t xml:space="preserve"> за леки автомобили и микробуси</w:t>
            </w:r>
            <w:r>
              <w:rPr>
                <w:rFonts w:ascii="Times New Roman" w:hAnsi="Times New Roman"/>
                <w:noProof/>
                <w:sz w:val="24"/>
                <w:szCs w:val="24"/>
              </w:rPr>
              <w:t>, с цел да се осигури ясен маршрут за постигането на мобилност с нулеви емисии в периода от 2025 г. нататък (юни 2021 г.).</w:t>
            </w:r>
          </w:p>
          <w:p>
            <w:pPr>
              <w:jc w:val="both"/>
              <w:rPr>
                <w:noProof/>
              </w:rPr>
            </w:pPr>
          </w:p>
          <w:p>
            <w:pPr>
              <w:spacing w:after="120"/>
              <w:jc w:val="both"/>
              <w:rPr>
                <w:rFonts w:ascii="Times New Roman" w:hAnsi="Times New Roman" w:cs="Times New Roman"/>
                <w:i/>
                <w:noProof/>
                <w:sz w:val="24"/>
                <w:szCs w:val="24"/>
              </w:rPr>
            </w:pPr>
            <w:r>
              <w:rPr>
                <w:rFonts w:ascii="Times New Roman" w:hAnsi="Times New Roman"/>
                <w:i/>
                <w:noProof/>
                <w:sz w:val="24"/>
                <w:szCs w:val="24"/>
              </w:rPr>
              <w:t>С цел ускоряване на разгръщането на инфраструктура за електрически превозни средства и осигуряване на интегрирането на нови електрически товари:</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подкрепи разгръщането на мрежа от </w:t>
            </w:r>
            <w:r>
              <w:rPr>
                <w:rFonts w:ascii="Times New Roman" w:hAnsi="Times New Roman"/>
                <w:b/>
                <w:noProof/>
                <w:sz w:val="24"/>
                <w:szCs w:val="24"/>
              </w:rPr>
              <w:t>1 милиона зарядни станции до 2025 г.</w:t>
            </w:r>
            <w:r>
              <w:rPr>
                <w:rFonts w:ascii="Times New Roman" w:hAnsi="Times New Roman"/>
                <w:noProof/>
                <w:sz w:val="24"/>
                <w:szCs w:val="24"/>
              </w:rPr>
              <w:t>, като се използва наличното финансиране от ЕС, включително финансиране от Кохезионния фонд, InvestEU и Механизма за свързване на Европа, и редовно да се информира за възможностите за финансиране и регулаторната среда във връзка с разгръщането на инфраструктурна мрежа от зарядни станции (от 2020 г. нататък);</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използва предстоящото </w:t>
            </w:r>
            <w:r>
              <w:rPr>
                <w:rFonts w:ascii="Times New Roman" w:hAnsi="Times New Roman"/>
                <w:b/>
                <w:noProof/>
                <w:sz w:val="24"/>
                <w:szCs w:val="24"/>
              </w:rPr>
              <w:t>преразглеждане на Директивата за инфраструктурата за алтернативни горива</w:t>
            </w:r>
            <w:r>
              <w:rPr>
                <w:rFonts w:ascii="Times New Roman" w:hAnsi="Times New Roman"/>
                <w:noProof/>
                <w:sz w:val="24"/>
                <w:szCs w:val="24"/>
              </w:rPr>
              <w:t xml:space="preserve"> за ускоряване на разгръщането на инфраструктурата за алтернативни горива, включително за електрически превозни средства, за осигуряване на адекватна информация за клиентите, трансгранична използваемост на инфраструктурата за зареждане и ефективно интегриране на електрическите превозни средства в електроенергийната система (до 2021 г.); </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приемат съответни изисквания по отношение на инфраструктурата за зареждане с електроенергия и гориво при </w:t>
            </w:r>
            <w:r>
              <w:rPr>
                <w:rFonts w:ascii="Times New Roman" w:hAnsi="Times New Roman"/>
                <w:b/>
                <w:noProof/>
                <w:sz w:val="24"/>
                <w:szCs w:val="24"/>
              </w:rPr>
              <w:t>преразглеждането на</w:t>
            </w:r>
            <w:r>
              <w:rPr>
                <w:rFonts w:ascii="Times New Roman" w:hAnsi="Times New Roman"/>
                <w:noProof/>
                <w:sz w:val="24"/>
                <w:szCs w:val="24"/>
              </w:rPr>
              <w:t xml:space="preserve"> Регламента за трансевропейската транспортна мрежа (</w:t>
            </w:r>
            <w:r>
              <w:rPr>
                <w:rFonts w:ascii="Times New Roman" w:hAnsi="Times New Roman"/>
                <w:b/>
                <w:noProof/>
                <w:sz w:val="24"/>
                <w:szCs w:val="24"/>
              </w:rPr>
              <w:t>TEN-T)</w:t>
            </w:r>
            <w:r>
              <w:rPr>
                <w:rFonts w:ascii="Times New Roman" w:hAnsi="Times New Roman"/>
                <w:noProof/>
                <w:sz w:val="24"/>
                <w:szCs w:val="24"/>
              </w:rPr>
              <w:t xml:space="preserve"> (до 2021 г.) и да се проучат възможностите за увеличаване на положителните взаимодействия чрез преразглеждане на Регламента за </w:t>
            </w:r>
            <w:r>
              <w:rPr>
                <w:rFonts w:ascii="Times New Roman" w:hAnsi="Times New Roman"/>
                <w:b/>
                <w:noProof/>
                <w:sz w:val="24"/>
                <w:szCs w:val="24"/>
              </w:rPr>
              <w:t>TEN-E</w:t>
            </w:r>
            <w:r>
              <w:rPr>
                <w:rFonts w:ascii="Times New Roman" w:hAnsi="Times New Roman"/>
                <w:noProof/>
                <w:sz w:val="24"/>
                <w:szCs w:val="24"/>
              </w:rPr>
              <w:t xml:space="preserve"> с оглед на евентуална подкрепа, свързана с енергийната мрежа, за създаването на трансгранична мрежа за зареждане с висок капацитет, както и евентуално инфраструктура за зареждане с водород (до 2020 г.);</w:t>
            </w:r>
          </w:p>
          <w:p>
            <w:pPr>
              <w:pStyle w:val="ListParagraph"/>
              <w:numPr>
                <w:ilvl w:val="0"/>
                <w:numId w:val="17"/>
              </w:numPr>
              <w:spacing w:after="120"/>
              <w:jc w:val="both"/>
              <w:rPr>
                <w:noProof/>
              </w:rPr>
            </w:pPr>
            <w:r>
              <w:rPr>
                <w:rFonts w:ascii="Times New Roman" w:hAnsi="Times New Roman"/>
                <w:noProof/>
                <w:sz w:val="24"/>
                <w:szCs w:val="24"/>
              </w:rPr>
              <w:t xml:space="preserve">да се разработи </w:t>
            </w:r>
            <w:r>
              <w:rPr>
                <w:rFonts w:ascii="Times New Roman" w:hAnsi="Times New Roman"/>
                <w:b/>
                <w:bCs/>
                <w:noProof/>
                <w:sz w:val="24"/>
                <w:szCs w:val="24"/>
              </w:rPr>
              <w:t>мрежов кодекс относно гъвкавостта на потреблението</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с цел да се използва потенциалът на електрическите превозни средства, термопомпите и други видове потребление на електроенергия, за да се повиши гъвкавостта на енергийната система (като се започне в края на 2021 г.).</w:t>
            </w:r>
          </w:p>
        </w:tc>
      </w:tr>
    </w:tbl>
    <w:p>
      <w:pPr>
        <w:pStyle w:val="Heading2"/>
        <w:tabs>
          <w:tab w:val="clear" w:pos="1429"/>
        </w:tabs>
        <w:ind w:firstLine="0"/>
        <w:rPr>
          <w:noProof/>
          <w:lang w:eastAsia="nl-BE"/>
        </w:rPr>
      </w:pPr>
    </w:p>
    <w:p>
      <w:pPr>
        <w:pStyle w:val="Heading2"/>
        <w:numPr>
          <w:ilvl w:val="1"/>
          <w:numId w:val="12"/>
        </w:numPr>
        <w:rPr>
          <w:noProof/>
        </w:rPr>
      </w:pPr>
      <w:r>
        <w:rPr>
          <w:noProof/>
        </w:rPr>
        <w:t xml:space="preserve">Насърчаване на използването на горива от възобновяеми и нисковъглеродни източници, включително водород, в трудните за декарбонизиране сектори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Въпреки че пряката електрификация и възобновяемите източници на енергия в много случаи представляват най-ефективните по отношение на разходите и на енергията варианти за декарбонизация, съществуват редица приложения за крайно потребление, в които тези варианти може да не са осъществими или да са свързани с по-високи разходи. В такива случаи могат да се използват редица горива от възобновяеми и нисковъглеродни източници, като устойчиво развиван биогаз, биометан и биогорива, възобновяеми и нисковъглеродни биогорива или синтетични горива. Тези случаи включват редица промишлени процеси, но също така и видове транспорт като въздушния и морския транспорт, където устойчиво развиваните алтернативни горива, като например течните биогорива от ново поколение и синтетичните горива, ще играят съществена роля. Необходими са бързи действия: например във въздушния транспорт само около 0,05 % от общото потребление на гориво за реактивни двигатели е от течни биогорива.  </w:t>
      </w:r>
    </w:p>
    <w:p>
      <w:pPr>
        <w:keepNext/>
        <w:spacing w:after="240" w:line="240" w:lineRule="auto"/>
        <w:jc w:val="both"/>
        <w:rPr>
          <w:rFonts w:ascii="Times New Roman" w:hAnsi="Times New Roman" w:cs="Times New Roman"/>
          <w:noProof/>
          <w:sz w:val="24"/>
          <w:szCs w:val="24"/>
        </w:rPr>
      </w:pPr>
      <w:r>
        <w:rPr>
          <w:rFonts w:ascii="Times New Roman" w:hAnsi="Times New Roman"/>
          <w:i/>
          <w:noProof/>
          <w:sz w:val="24"/>
        </w:rPr>
        <w:t>Използване на потенциала на възобновяемите горива, произведени от устойчива биомаса</w:t>
      </w:r>
    </w:p>
    <w:p>
      <w:pPr>
        <w:spacing w:after="240" w:line="240" w:lineRule="auto"/>
        <w:jc w:val="both"/>
        <w:rPr>
          <w:rFonts w:ascii="Times New Roman" w:hAnsi="Times New Roman"/>
          <w:noProof/>
          <w:sz w:val="24"/>
        </w:rPr>
      </w:pPr>
      <w:r>
        <w:rPr>
          <w:rFonts w:ascii="Times New Roman" w:hAnsi="Times New Roman"/>
          <w:noProof/>
          <w:sz w:val="24"/>
        </w:rPr>
        <w:t xml:space="preserve">Понастоящем </w:t>
      </w:r>
      <w:r>
        <w:rPr>
          <w:rFonts w:ascii="Times New Roman" w:hAnsi="Times New Roman"/>
          <w:b/>
          <w:bCs/>
          <w:noProof/>
          <w:sz w:val="24"/>
        </w:rPr>
        <w:t>биогоривата</w:t>
      </w:r>
      <w:r>
        <w:rPr>
          <w:rStyle w:val="FootnoteReference"/>
          <w:rFonts w:ascii="Times New Roman" w:hAnsi="Times New Roman"/>
          <w:noProof/>
          <w:sz w:val="24"/>
        </w:rPr>
        <w:footnoteReference w:id="37"/>
      </w:r>
      <w:r>
        <w:rPr>
          <w:rFonts w:ascii="Times New Roman" w:hAnsi="Times New Roman"/>
          <w:b/>
          <w:bCs/>
          <w:noProof/>
          <w:sz w:val="24"/>
        </w:rPr>
        <w:t>, биогазът и биометанът</w:t>
      </w:r>
      <w:r>
        <w:rPr>
          <w:rStyle w:val="FootnoteReference"/>
          <w:rFonts w:ascii="Times New Roman" w:hAnsi="Times New Roman"/>
          <w:noProof/>
          <w:sz w:val="24"/>
        </w:rPr>
        <w:footnoteReference w:id="38"/>
      </w:r>
      <w:r>
        <w:rPr>
          <w:rFonts w:ascii="Times New Roman" w:hAnsi="Times New Roman"/>
          <w:noProof/>
          <w:sz w:val="24"/>
        </w:rPr>
        <w:t xml:space="preserve"> имат общ дял от 3,5 % в потреблението на всички газове и горива</w:t>
      </w:r>
      <w:r>
        <w:rPr>
          <w:rFonts w:ascii="Times New Roman" w:hAnsi="Times New Roman"/>
          <w:noProof/>
          <w:sz w:val="24"/>
          <w:szCs w:val="24"/>
          <w:vertAlign w:val="superscript"/>
        </w:rPr>
        <w:footnoteReference w:id="39"/>
      </w:r>
      <w:r>
        <w:rPr>
          <w:rFonts w:ascii="Times New Roman" w:hAnsi="Times New Roman"/>
          <w:noProof/>
          <w:sz w:val="24"/>
        </w:rPr>
        <w:t xml:space="preserve"> и в голяма степен се добиват от хранителни и фуражни култури. Пълният им потенциал следва да бъде постигнат по устойчив начин, който смекчава рисковете, свързани с климата, замърсяването и биологичното разнообразие</w:t>
      </w:r>
      <w:r>
        <w:rPr>
          <w:rStyle w:val="FootnoteReference"/>
          <w:rFonts w:ascii="Times New Roman" w:hAnsi="Times New Roman"/>
          <w:noProof/>
          <w:sz w:val="24"/>
        </w:rPr>
        <w:t xml:space="preserve"> </w:t>
      </w:r>
      <w:r>
        <w:rPr>
          <w:rStyle w:val="FootnoteReference"/>
          <w:rFonts w:ascii="Times New Roman" w:hAnsi="Times New Roman" w:cs="Times New Roman"/>
          <w:noProof/>
          <w:sz w:val="24"/>
          <w:szCs w:val="24"/>
        </w:rPr>
        <w:footnoteReference w:id="40"/>
      </w:r>
      <w:r>
        <w:rPr>
          <w:rFonts w:ascii="Times New Roman" w:hAnsi="Times New Roman"/>
          <w:noProof/>
          <w:sz w:val="24"/>
        </w:rPr>
        <w:t xml:space="preserve">. </w:t>
      </w:r>
    </w:p>
    <w:p>
      <w:pPr>
        <w:spacing w:after="240" w:line="240" w:lineRule="auto"/>
        <w:jc w:val="both"/>
        <w:rPr>
          <w:rFonts w:ascii="Times New Roman" w:hAnsi="Times New Roman"/>
          <w:noProof/>
          <w:sz w:val="24"/>
        </w:rPr>
      </w:pPr>
      <w:r>
        <w:rPr>
          <w:rFonts w:ascii="Times New Roman" w:hAnsi="Times New Roman"/>
          <w:noProof/>
          <w:sz w:val="24"/>
        </w:rPr>
        <w:t>Биогоривата ще играят важна роля, особено при трудни за декарбонизация видове транспорт като въздушния или морския транспорт, включително чрез проекти за хибридизиране, свързващи производството на биогорива с това на водород от възобновяеми източници. По-специално Комисията ще проучи как да подкрепи бързото развитие на иновативни нисковъглеродни горива, като например биогоривата от ново поколение, наред със синтетичните горива, по цялата верига за създаване на стойност в Европа, което ще доведе до по-добра координация на участниците на пазара и бързо увеличаване на производствения капацитет. Биометанът може да допринесе за декарбонизацията на доставките на газ. Използването на биогоривата и биогазовете обаче досега е било възпрепятствано от регулаторна несигурност. С преразгледаната Директива за енергията от възобновяеми източници бяха направени първи стъпки за справяне с тези проблеми чрез въвеждане на цел от 3,5 % за потреблението на биогорива от нови поколения и на биогаз в транспорта</w:t>
      </w:r>
      <w:r>
        <w:rPr>
          <w:rStyle w:val="FootnoteReference"/>
          <w:rFonts w:ascii="Times New Roman" w:hAnsi="Times New Roman" w:cs="Times New Roman"/>
          <w:noProof/>
          <w:sz w:val="24"/>
          <w:szCs w:val="24"/>
        </w:rPr>
        <w:footnoteReference w:id="41"/>
      </w:r>
      <w:r>
        <w:rPr>
          <w:rFonts w:ascii="Times New Roman" w:hAnsi="Times New Roman"/>
          <w:noProof/>
          <w:sz w:val="24"/>
        </w:rPr>
        <w:t>. Целта за намаляване с 6 % на емисиите на парникови газове съгласно Директивата за качеството на горивата също така насърчава използването на биогорива. Освен това в съобщението „</w:t>
      </w:r>
      <w:r>
        <w:rPr>
          <w:rFonts w:ascii="Times New Roman" w:hAnsi="Times New Roman"/>
          <w:i/>
          <w:noProof/>
          <w:sz w:val="24"/>
        </w:rPr>
        <w:t>Ролята на производството на енергия от отпадъци за кръговата икономика</w:t>
      </w:r>
      <w:r>
        <w:rPr>
          <w:rFonts w:ascii="Times New Roman" w:hAnsi="Times New Roman"/>
          <w:noProof/>
          <w:sz w:val="24"/>
        </w:rPr>
        <w:t>“</w:t>
      </w:r>
      <w:r>
        <w:rPr>
          <w:rStyle w:val="FootnoteReference"/>
          <w:rFonts w:ascii="Times New Roman" w:hAnsi="Times New Roman"/>
          <w:noProof/>
          <w:sz w:val="24"/>
        </w:rPr>
        <w:footnoteReference w:id="42"/>
      </w:r>
      <w:r>
        <w:rPr>
          <w:rFonts w:ascii="Times New Roman" w:hAnsi="Times New Roman"/>
          <w:noProof/>
          <w:sz w:val="24"/>
        </w:rPr>
        <w:t xml:space="preserve"> се пояснява кои подходи за производство на енергия от отпадъци са по-устойчиви, включително за производството на биометан, а в Стратегията за биологичното разнообразие се подчертава, че използването на цели дървета и хранителни и фуражни култури за производство на енергия следва да бъде сведено до минимум. </w:t>
      </w:r>
    </w:p>
    <w:p>
      <w:pPr>
        <w:spacing w:after="240" w:line="240" w:lineRule="auto"/>
        <w:jc w:val="both"/>
        <w:rPr>
          <w:rFonts w:ascii="Times New Roman" w:hAnsi="Times New Roman"/>
          <w:i/>
          <w:noProof/>
          <w:sz w:val="24"/>
          <w:szCs w:val="24"/>
        </w:rPr>
      </w:pPr>
      <w:r>
        <w:rPr>
          <w:rFonts w:ascii="Times New Roman" w:hAnsi="Times New Roman"/>
          <w:noProof/>
          <w:sz w:val="24"/>
          <w:szCs w:val="24"/>
        </w:rPr>
        <w:t xml:space="preserve">Преразглеждането на Директивата за енергията от възобновяеми източници, както и инициативите на Комисията за насърчаване на доставките и използването на устойчиви горива във въздушния и морския транспорт, обявени в Европейския зелен пакт, ще предоставят възможности за допълнителна целенасочена подкрепа за ускоряване на развитието на пазара на биогорива и биогазове. </w:t>
      </w:r>
    </w:p>
    <w:p>
      <w:pPr>
        <w:keepNext/>
        <w:spacing w:after="240" w:line="240" w:lineRule="auto"/>
        <w:jc w:val="both"/>
        <w:rPr>
          <w:rFonts w:ascii="Times New Roman" w:hAnsi="Times New Roman" w:cs="Times New Roman"/>
          <w:i/>
          <w:iCs/>
          <w:noProof/>
          <w:sz w:val="24"/>
          <w:szCs w:val="24"/>
        </w:rPr>
      </w:pPr>
      <w:r>
        <w:rPr>
          <w:rFonts w:ascii="Times New Roman" w:hAnsi="Times New Roman"/>
          <w:i/>
          <w:iCs/>
          <w:noProof/>
          <w:sz w:val="24"/>
          <w:szCs w:val="24"/>
        </w:rPr>
        <w:t>Насърчаване на използването на водород от възобновяеми източници в трудни за декарбонизация сектори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Понастоящем по-малко от 2 % от консумираната в Европа енергия</w:t>
      </w:r>
      <w:r>
        <w:rPr>
          <w:rFonts w:ascii="Times New Roman" w:hAnsi="Times New Roman" w:cs="Times New Roman"/>
          <w:noProof/>
          <w:sz w:val="24"/>
          <w:szCs w:val="24"/>
          <w:vertAlign w:val="superscript"/>
        </w:rPr>
        <w:footnoteReference w:id="43"/>
      </w:r>
      <w:r>
        <w:rPr>
          <w:rFonts w:ascii="Times New Roman" w:hAnsi="Times New Roman"/>
          <w:noProof/>
          <w:sz w:val="24"/>
          <w:szCs w:val="24"/>
        </w:rPr>
        <w:t xml:space="preserve"> се получава от водород, а той се произвежда почти изцяло от изкопаеми горива без използване на технологии за намаляване на емисиите. Водородът ще играе важна роля за намаляване на емисиите в трудни за декарбонизация сектори, по-специално като гориво в определени транспортни сектори (тежкотоварен автомобилен транспорт, ведомствени автобусни паркове, или неелектрифициран железопътен транспорт, транспорт по море и по вътрешните водни пътища) и като гориво или суровина за някои промишлени процеси (в стоманодобива, нефтопреработването или химическата промишленост — включително за производство на „зелени торове“ за селското стопанство). Също така, продуктите на химическата реакция на въглероден диоксид с водород могат да бъдат преработвани по-нататък в синтетични горива, като например синтетичен керосин за въздушния транспорт. Освен това водородът носи други съпътстващи ползи за околната среда, като например липсата на емисии на замърсители на въздуха.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Водородът, произвеждан чрез електролиза с електроенергия от възобновяеми източници, може да има особено важна „свързваща“ роля в една интегрирана енергийна система, като допринася за интегрирането на големи дялове енергия, произвеждани от възобновяеми източници, разтоварвайки електроенергийните мрежи във фази на прекомерно производство и осигурявайки на енергийната система възможност за дългосрочно съхранение. Той може също да даде възможност местно производство на електроенергия от възобновяеми източници да се използва в редица допълнителни приложения за крайно потребление.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В приетата днес Стратегия за използване на водорода се съдържат мерки за създаване на условия водородът да продължи да допринася за декарбонизирането на икономиката по ефективен по отношение на разходите начин, като се обръща внимание на цялата верига за създаване на стойност на водорода, с цел да се подкрепят икономическият растеж и възстановяването. Приоритетът на ЕС е да бъде разгърнато производството на водород от електроенергия от възобновяеми източници, което е най-чистото решение. В преходния период обаче ще са необходими други методи за производство на водород с ниски въглеродни емисии, с които да се заменят съществуващите и да се създадат предпоставки за постигане на икономии от мащаба. В допълнение към предоставянето на финансова подкрепа за някои приложения за крайно потребление Комисията ще разгледа възможността за установяване на минимални дялове или квоти за водород от възобновяеми източници в определени сектори на крайно потребление. Насърчаването на горива от възобновяеми и нисковъглеродни източници (включително водород) е най-ефективно, когато те могат да бъдат разграничавани лесно от по-замърсяващите енергийни източници. Поради това Комисията ще работи за въвеждането на всеобхватна терминология и на европейска система за сертифициране, които да обхващат всички видове възобновяеми и нисковъглеродни горива</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Тази система, основаваща се по-специално на емисиите на парникови газове през целия жизнен цикъл, ще даде възможност за по-информиран избор при вземането на решения относно варианти на политиката на равнището на ЕС или на национално равнище.</w:t>
      </w:r>
    </w:p>
    <w:p>
      <w:pPr>
        <w:spacing w:after="240" w:line="240" w:lineRule="auto"/>
        <w:jc w:val="both"/>
        <w:rPr>
          <w:rFonts w:ascii="Times New Roman" w:hAnsi="Times New Roman" w:cs="Times New Roman"/>
          <w:i/>
          <w:noProof/>
          <w:sz w:val="24"/>
          <w:szCs w:val="24"/>
        </w:rPr>
      </w:pPr>
      <w:r>
        <w:rPr>
          <w:rFonts w:ascii="Times New Roman" w:hAnsi="Times New Roman"/>
          <w:i/>
          <w:noProof/>
          <w:sz w:val="24"/>
          <w:szCs w:val="24"/>
        </w:rPr>
        <w:t>Осигуряване на възможност за улавяне, съхранение и използване на въглерод, за да се подкрепи дълбоката декарбонизация, включително синтетични горива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Дори една напълно интегрирана енергийна система не може да елиминира изцяло емисиите на CO</w:t>
      </w:r>
      <w:r>
        <w:rPr>
          <w:rFonts w:ascii="Times New Roman" w:hAnsi="Times New Roman"/>
          <w:noProof/>
          <w:sz w:val="24"/>
          <w:szCs w:val="24"/>
          <w:vertAlign w:val="subscript"/>
        </w:rPr>
        <w:t>2</w:t>
      </w:r>
      <w:r>
        <w:rPr>
          <w:rFonts w:ascii="Times New Roman" w:hAnsi="Times New Roman"/>
          <w:noProof/>
          <w:sz w:val="24"/>
          <w:szCs w:val="24"/>
        </w:rPr>
        <w:t xml:space="preserve"> от всички части на икономиката. Наред с алтернативните технологии на обработка, </w:t>
      </w:r>
      <w:r>
        <w:rPr>
          <w:rFonts w:ascii="Times New Roman" w:hAnsi="Times New Roman"/>
          <w:b/>
          <w:bCs/>
          <w:noProof/>
          <w:sz w:val="24"/>
          <w:szCs w:val="24"/>
        </w:rPr>
        <w:t>улавянето и съхранението на въглероден диоксид</w:t>
      </w:r>
      <w:r>
        <w:rPr>
          <w:rFonts w:ascii="Times New Roman" w:hAnsi="Times New Roman"/>
          <w:noProof/>
          <w:sz w:val="24"/>
          <w:szCs w:val="24"/>
        </w:rPr>
        <w:t xml:space="preserve"> (CCS) вероятно ще играе роля при една неутрална по отношение на климата енергийна система. </w:t>
      </w:r>
      <w:r>
        <w:rPr>
          <w:rFonts w:ascii="Times New Roman" w:hAnsi="Times New Roman"/>
          <w:b/>
          <w:bCs/>
          <w:noProof/>
          <w:sz w:val="24"/>
          <w:szCs w:val="24"/>
        </w:rPr>
        <w:t>В някои промишлени процеси</w:t>
      </w:r>
      <w:r>
        <w:rPr>
          <w:rFonts w:ascii="Times New Roman" w:hAnsi="Times New Roman"/>
          <w:noProof/>
          <w:sz w:val="24"/>
          <w:szCs w:val="24"/>
        </w:rPr>
        <w:t xml:space="preserve"> улавянето и съхранението на въглероден диоксид може да помогне за решаването на проблема с емисии, които трудно могат да се предотвратят, и по този начин ще даде възможност на тези отрасли да намерят мястото си в една неутрална по отношение на климата икономика и да запазят работните места в промишлеността в Европа. Освен това, ако съхраняваният CO</w:t>
      </w:r>
      <w:r>
        <w:rPr>
          <w:rFonts w:ascii="Times New Roman" w:hAnsi="Times New Roman"/>
          <w:noProof/>
          <w:sz w:val="24"/>
          <w:szCs w:val="24"/>
          <w:vertAlign w:val="subscript"/>
        </w:rPr>
        <w:t>2</w:t>
      </w:r>
      <w:r>
        <w:rPr>
          <w:rFonts w:ascii="Times New Roman" w:hAnsi="Times New Roman"/>
          <w:noProof/>
          <w:sz w:val="24"/>
          <w:szCs w:val="24"/>
        </w:rPr>
        <w:t xml:space="preserve"> се улавя от биогенни източници или непосредствено от атмосферата, чрез CCS биха могли дори да се компенсират остатъчни емисии в други сектори.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Алтернатива на постоянното съхранение на CO</w:t>
      </w:r>
      <w:r>
        <w:rPr>
          <w:rFonts w:ascii="Times New Roman" w:hAnsi="Times New Roman"/>
          <w:noProof/>
          <w:sz w:val="24"/>
          <w:szCs w:val="24"/>
          <w:vertAlign w:val="subscript"/>
        </w:rPr>
        <w:t>2</w:t>
      </w:r>
      <w:r>
        <w:rPr>
          <w:rFonts w:ascii="Times New Roman" w:hAnsi="Times New Roman"/>
          <w:noProof/>
          <w:sz w:val="24"/>
          <w:szCs w:val="24"/>
        </w:rPr>
        <w:t xml:space="preserve"> е той да се комбинира с водород от възобновяеми източници и да се произвеждат синтетични газове, горива и изходни суровини (улавяне и използване на въглерод или CCU). Синтетичните горива могат да бъдат свързвани с много различни нива на емисии на парникови газове в зависимост от произхода на CO</w:t>
      </w:r>
      <w:r>
        <w:rPr>
          <w:rFonts w:ascii="Times New Roman" w:hAnsi="Times New Roman"/>
          <w:noProof/>
          <w:sz w:val="24"/>
          <w:szCs w:val="24"/>
          <w:vertAlign w:val="subscript"/>
        </w:rPr>
        <w:t>2</w:t>
      </w:r>
      <w:r>
        <w:rPr>
          <w:rFonts w:ascii="Times New Roman" w:hAnsi="Times New Roman"/>
          <w:noProof/>
          <w:sz w:val="24"/>
          <w:szCs w:val="24"/>
        </w:rPr>
        <w:t xml:space="preserve"> (от изкопаеми горива, от биологични продукти или уловен от въздуха) и използвания процес. За синтетични горива, които са напълно неутрални по отношение на въглеродните емисии, е необходимо CO</w:t>
      </w:r>
      <w:r>
        <w:rPr>
          <w:rFonts w:ascii="Times New Roman" w:hAnsi="Times New Roman"/>
          <w:noProof/>
          <w:sz w:val="24"/>
          <w:szCs w:val="24"/>
          <w:vertAlign w:val="subscript"/>
        </w:rPr>
        <w:t>2</w:t>
      </w:r>
      <w:r>
        <w:rPr>
          <w:rFonts w:ascii="Times New Roman" w:hAnsi="Times New Roman"/>
          <w:noProof/>
          <w:sz w:val="24"/>
          <w:szCs w:val="24"/>
        </w:rPr>
        <w:t xml:space="preserve"> да се извлича от биомаса или от атмосферата. Понастоящем синтетичните горива са неефективни по отношение на енергията, необходима за производство, и са свързани с високи производствени разходи. Подкрепата за разработката на тази технология за преобразуване, включително за демонстрацията и подготвянето ѝ за прилагане в промишлен мащаб, е от значение с оглед на осигуряването на заместители на изкопаемите горива, по-специално в най-трудните за декарбонизация сектори, напр. във въздушния транспорт, където може би ще продължи да е налице необходимост от течни горива с висока енергийна плътност. Тъй като за производството им се изискват големи количества енергия от възобновяеми източници, тяхното разгръщане ще трябва да бъде придружено от съответно увеличение на доставките на енергия от възобновяеми източници. </w:t>
      </w:r>
    </w:p>
    <w:p>
      <w:pPr>
        <w:spacing w:after="240" w:line="240" w:lineRule="auto"/>
        <w:jc w:val="both"/>
        <w:rPr>
          <w:rFonts w:ascii="Times New Roman" w:hAnsi="Times New Roman"/>
          <w:noProof/>
          <w:sz w:val="24"/>
        </w:rPr>
      </w:pPr>
      <w:r>
        <w:rPr>
          <w:rFonts w:ascii="Times New Roman" w:hAnsi="Times New Roman"/>
          <w:noProof/>
          <w:sz w:val="24"/>
          <w:szCs w:val="24"/>
        </w:rPr>
        <w:t>От ключово значение е да се наблюдават, докладват и отчитат емисиите и поглъщанията на CO</w:t>
      </w:r>
      <w:r>
        <w:rPr>
          <w:rFonts w:ascii="Times New Roman" w:hAnsi="Times New Roman"/>
          <w:noProof/>
          <w:sz w:val="24"/>
          <w:szCs w:val="24"/>
          <w:vertAlign w:val="subscript"/>
        </w:rPr>
        <w:t>2</w:t>
      </w:r>
      <w:r>
        <w:rPr>
          <w:rFonts w:ascii="Times New Roman" w:hAnsi="Times New Roman"/>
          <w:noProof/>
          <w:sz w:val="24"/>
          <w:szCs w:val="24"/>
        </w:rPr>
        <w:t>, свързани с производството на синтетични горива, за да бъде отразен правилно техният действителен въглероден отпечатък. В допълнение към настоящата система за наблюдение и докладване на емисиите на парникови газове, един стабилен механизъм за сертифициране на въглеродните емисии ще гарантира проследимостта на емисиите, улавянето, използването и потенциалните повторни емисии на CO</w:t>
      </w:r>
      <w:r>
        <w:rPr>
          <w:rFonts w:ascii="Times New Roman" w:hAnsi="Times New Roman"/>
          <w:noProof/>
          <w:sz w:val="24"/>
          <w:szCs w:val="24"/>
          <w:vertAlign w:val="subscript"/>
        </w:rPr>
        <w:t>2</w:t>
      </w:r>
      <w:r>
        <w:rPr>
          <w:rFonts w:ascii="Times New Roman" w:hAnsi="Times New Roman"/>
          <w:noProof/>
          <w:sz w:val="24"/>
          <w:szCs w:val="24"/>
        </w:rPr>
        <w:t xml:space="preserve"> в цялата наша икономическа система. Разработването на система за сертифициране на поглъщанията на въглерод, както е обявено в плана за действие за кръговата икономика</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може да осигури регулаторни стимули за пазарна реализация на синтетични горива.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Разгръщането на улавянето и използването на CO</w:t>
      </w:r>
      <w:r>
        <w:rPr>
          <w:rFonts w:ascii="Times New Roman" w:hAnsi="Times New Roman"/>
          <w:noProof/>
          <w:sz w:val="24"/>
          <w:szCs w:val="24"/>
          <w:vertAlign w:val="subscript"/>
        </w:rPr>
        <w:t>2</w:t>
      </w:r>
      <w:r>
        <w:rPr>
          <w:rFonts w:ascii="Times New Roman" w:hAnsi="Times New Roman"/>
          <w:noProof/>
          <w:sz w:val="24"/>
          <w:szCs w:val="24"/>
        </w:rPr>
        <w:t xml:space="preserve"> в Европа е бавно, а инвестициите и оперативните разходи са все още високи. Съществуват и бариери, които възпрепятстват транспортирането на CO</w:t>
      </w:r>
      <w:r>
        <w:rPr>
          <w:rFonts w:ascii="Times New Roman" w:hAnsi="Times New Roman"/>
          <w:noProof/>
          <w:sz w:val="24"/>
          <w:szCs w:val="24"/>
          <w:vertAlign w:val="subscript"/>
        </w:rPr>
        <w:t>2</w:t>
      </w:r>
      <w:r>
        <w:rPr>
          <w:rFonts w:ascii="Times New Roman" w:hAnsi="Times New Roman"/>
          <w:noProof/>
          <w:sz w:val="24"/>
          <w:szCs w:val="24"/>
        </w:rPr>
        <w:t xml:space="preserve"> до местата, където ще се съхранява или използва. В някои части на ЕС сред гражданите и лицата, отговорни за вземането на политически решения, има също така опасения във връзка със съхранението на CO</w:t>
      </w:r>
      <w:r>
        <w:rPr>
          <w:rFonts w:ascii="Times New Roman" w:hAnsi="Times New Roman"/>
          <w:noProof/>
          <w:sz w:val="24"/>
          <w:szCs w:val="24"/>
          <w:vertAlign w:val="subscript"/>
        </w:rPr>
        <w:t>2</w:t>
      </w:r>
      <w:r>
        <w:rPr>
          <w:rFonts w:ascii="Times New Roman" w:hAnsi="Times New Roman"/>
          <w:noProof/>
          <w:sz w:val="24"/>
          <w:szCs w:val="24"/>
        </w:rPr>
        <w:t>. В рамките на Промишления форум за чиста енергия (Clean Energy Industrial Forum) би могъл да бъде свикан ежегоден европейски форум относно улавянето, използването и съхранението на въглерод (CCUS), за да се проучат допълнително възможностите за насърчаване на проекти за CCUS.</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noProof/>
                <w:sz w:val="24"/>
                <w:szCs w:val="24"/>
              </w:rPr>
            </w:pPr>
            <w:r>
              <w:rPr>
                <w:rFonts w:ascii="Times New Roman" w:hAnsi="Times New Roman"/>
                <w:b/>
                <w:bCs/>
                <w:noProof/>
                <w:sz w:val="24"/>
                <w:szCs w:val="24"/>
              </w:rPr>
              <w:t>Ключови действия</w:t>
            </w:r>
          </w:p>
          <w:p>
            <w:pPr>
              <w:jc w:val="both"/>
              <w:rPr>
                <w:rFonts w:ascii="Times New Roman" w:hAnsi="Times New Roman" w:cs="Times New Roman"/>
                <w:noProof/>
                <w:sz w:val="24"/>
                <w:szCs w:val="24"/>
              </w:rPr>
            </w:pP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предложи </w:t>
            </w:r>
            <w:r>
              <w:rPr>
                <w:rFonts w:ascii="Times New Roman" w:hAnsi="Times New Roman"/>
                <w:b/>
                <w:bCs/>
                <w:noProof/>
                <w:sz w:val="24"/>
                <w:szCs w:val="24"/>
              </w:rPr>
              <w:t>всеобхватна терминология за всички горива от възобновяеми и нисковъглеродни източници</w:t>
            </w:r>
            <w:r>
              <w:rPr>
                <w:rFonts w:ascii="Times New Roman" w:hAnsi="Times New Roman"/>
                <w:noProof/>
                <w:sz w:val="24"/>
                <w:szCs w:val="24"/>
              </w:rPr>
              <w:t xml:space="preserve">, както и </w:t>
            </w:r>
            <w:r>
              <w:rPr>
                <w:rFonts w:ascii="Times New Roman" w:hAnsi="Times New Roman"/>
                <w:b/>
                <w:noProof/>
                <w:sz w:val="24"/>
                <w:szCs w:val="24"/>
              </w:rPr>
              <w:t>европейска система за сертифициране</w:t>
            </w:r>
            <w:r>
              <w:rPr>
                <w:rFonts w:ascii="Times New Roman" w:hAnsi="Times New Roman"/>
                <w:noProof/>
                <w:sz w:val="24"/>
                <w:szCs w:val="24"/>
              </w:rPr>
              <w:t xml:space="preserve"> на такива горива, основана по-специално на намаленията на емисиите на парникови газове и критериите за устойчивост на емисиите на парникови газове и надграждаща върху съществуващите разпоредби, включително Директивата за енергията от възобновяеми източници (юни 2021 г.).</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разгледат </w:t>
            </w:r>
            <w:r>
              <w:rPr>
                <w:rFonts w:ascii="Times New Roman" w:hAnsi="Times New Roman"/>
                <w:b/>
                <w:bCs/>
                <w:noProof/>
                <w:sz w:val="24"/>
                <w:szCs w:val="24"/>
              </w:rPr>
              <w:t>допълнителни мерки в подкрепа на горивата от възобновяеми и нисковъглеродни източници</w:t>
            </w:r>
            <w:r>
              <w:rPr>
                <w:rFonts w:ascii="Times New Roman" w:hAnsi="Times New Roman"/>
                <w:noProof/>
                <w:sz w:val="24"/>
                <w:szCs w:val="24"/>
              </w:rPr>
              <w:t>, евентуално чрез минимални дялове или квоти в специфични сектори на крайното потребление (включително въздушния и морския транспорт), чрез преразглеждане на Директивата за енергията от възобновяеми източници и въз основа на нейните секторни цели (юни 2021 г.), които се допълват, където е уместно, от допълнителни мерки, оценени по линия на инициативите REFUEL (за въздушния транспорт) FUEL (за морския транспорт) (2020 г.). Режимът на насърчаване на водорода ще бъде по-целенасочен, като се дава възможност за използване на дялове или квоти единствено за използването на водород от възобновяеми източници.</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насърчи финансирането на </w:t>
            </w:r>
            <w:r>
              <w:rPr>
                <w:rFonts w:ascii="Times New Roman" w:hAnsi="Times New Roman"/>
                <w:b/>
                <w:bCs/>
                <w:noProof/>
                <w:sz w:val="24"/>
                <w:szCs w:val="24"/>
              </w:rPr>
              <w:t>водещи проекти за интегрирани, неутрални по отношение на въглеродните емисии промишлени клъстери</w:t>
            </w:r>
            <w:r>
              <w:rPr>
                <w:rFonts w:ascii="Times New Roman" w:hAnsi="Times New Roman"/>
                <w:noProof/>
                <w:sz w:val="24"/>
                <w:szCs w:val="24"/>
              </w:rPr>
              <w:t>, произвеждащи и потребяващи горива от възобновяеми и нисковъглеродни източници, чрез програмите „Хоризонт Европа“, InvestEU и LIFE и чрез Европейския фонд за регионално развитие (от 2021 г.).</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 xml:space="preserve">Да се насърчи първото по рода си производство на </w:t>
            </w:r>
            <w:r>
              <w:rPr>
                <w:rFonts w:ascii="Times New Roman" w:hAnsi="Times New Roman"/>
                <w:b/>
                <w:bCs/>
                <w:noProof/>
                <w:sz w:val="24"/>
              </w:rPr>
              <w:t>торове</w:t>
            </w:r>
            <w:r>
              <w:rPr>
                <w:rFonts w:ascii="Times New Roman" w:hAnsi="Times New Roman"/>
                <w:noProof/>
                <w:sz w:val="24"/>
              </w:rPr>
              <w:t xml:space="preserve"> от </w:t>
            </w:r>
            <w:r>
              <w:rPr>
                <w:rFonts w:ascii="Times New Roman" w:hAnsi="Times New Roman"/>
                <w:b/>
                <w:noProof/>
                <w:sz w:val="24"/>
              </w:rPr>
              <w:t>водород от възобновяеми източници</w:t>
            </w:r>
            <w:r>
              <w:rPr>
                <w:rFonts w:ascii="Times New Roman" w:hAnsi="Times New Roman"/>
                <w:noProof/>
                <w:sz w:val="24"/>
              </w:rPr>
              <w:t xml:space="preserve"> чрез програмата „Хоризонт Европа“ (от 2021 г.). </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демонстрира и подготви за прилагане в промишлен мащаб </w:t>
            </w:r>
            <w:r>
              <w:rPr>
                <w:rFonts w:ascii="Times New Roman" w:hAnsi="Times New Roman"/>
                <w:b/>
                <w:noProof/>
                <w:sz w:val="24"/>
                <w:szCs w:val="24"/>
              </w:rPr>
              <w:t>улавянето на въглерод</w:t>
            </w:r>
            <w:r>
              <w:rPr>
                <w:rFonts w:ascii="Times New Roman" w:hAnsi="Times New Roman"/>
                <w:noProof/>
                <w:sz w:val="24"/>
                <w:szCs w:val="24"/>
              </w:rPr>
              <w:t xml:space="preserve"> за използването му в производството на </w:t>
            </w:r>
            <w:r>
              <w:rPr>
                <w:rFonts w:ascii="Times New Roman" w:hAnsi="Times New Roman"/>
                <w:b/>
                <w:noProof/>
                <w:sz w:val="24"/>
                <w:szCs w:val="24"/>
              </w:rPr>
              <w:t>синтетични горива</w:t>
            </w:r>
            <w:r>
              <w:rPr>
                <w:rFonts w:ascii="Times New Roman" w:hAnsi="Times New Roman"/>
                <w:noProof/>
                <w:sz w:val="24"/>
                <w:szCs w:val="24"/>
              </w:rPr>
              <w:t>, евентуално чрез Фонда за иновации (от 2021 г.).</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 xml:space="preserve">Да се разработи регулаторна рамка за </w:t>
            </w:r>
            <w:r>
              <w:rPr>
                <w:rFonts w:ascii="Times New Roman" w:hAnsi="Times New Roman"/>
                <w:b/>
                <w:noProof/>
                <w:sz w:val="24"/>
                <w:szCs w:val="24"/>
              </w:rPr>
              <w:t>сертифициране на поглъщанията на въглерод</w:t>
            </w:r>
            <w:r>
              <w:rPr>
                <w:rFonts w:ascii="Times New Roman" w:hAnsi="Times New Roman"/>
                <w:noProof/>
                <w:sz w:val="24"/>
                <w:szCs w:val="24"/>
              </w:rPr>
              <w:t xml:space="preserve"> въз основа на надеждно и прозрачно отчитане на въглеродните емисии с цел наблюдение и проверка на автентичността на поглъщанията на въглерод (до 2023 г.).</w:t>
            </w:r>
          </w:p>
        </w:tc>
      </w:tr>
    </w:tbl>
    <w:p>
      <w:pPr>
        <w:spacing w:after="0" w:line="240" w:lineRule="auto"/>
        <w:jc w:val="both"/>
        <w:rPr>
          <w:rFonts w:ascii="Times New Roman" w:hAnsi="Times New Roman" w:cs="Times New Roman"/>
          <w:noProof/>
          <w:sz w:val="24"/>
          <w:szCs w:val="24"/>
        </w:rPr>
      </w:pPr>
    </w:p>
    <w:p>
      <w:pPr>
        <w:pStyle w:val="Heading2"/>
        <w:numPr>
          <w:ilvl w:val="1"/>
          <w:numId w:val="12"/>
        </w:numPr>
        <w:rPr>
          <w:noProof/>
        </w:rPr>
      </w:pPr>
      <w:r>
        <w:rPr>
          <w:noProof/>
        </w:rPr>
        <w:t>Подготвяне на енергийните пазари за декарбонизацията и разпределените ресурси</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 една интегрирана енергийна система надеждни и ефикасни пазари следва да насочват клиентите към най-ефективния в енергийно отношение и най-евтин вариант за декарбонизация въз основа на цени, които отразяват по подходящ начин всички разходи за използвания енергиен носител. </w:t>
      </w:r>
    </w:p>
    <w:p>
      <w:pPr>
        <w:keepNext/>
        <w:spacing w:after="240"/>
        <w:rPr>
          <w:rFonts w:ascii="Times New Roman" w:hAnsi="Times New Roman" w:cs="Times New Roman"/>
          <w:i/>
          <w:noProof/>
          <w:sz w:val="24"/>
          <w:szCs w:val="24"/>
        </w:rPr>
      </w:pPr>
      <w:r>
        <w:rPr>
          <w:rFonts w:ascii="Times New Roman" w:hAnsi="Times New Roman"/>
          <w:i/>
          <w:iCs/>
          <w:noProof/>
          <w:sz w:val="24"/>
          <w:szCs w:val="24"/>
        </w:rPr>
        <w:t>Гарантиране, че неенергийните ценови компоненти допринасят за декарбонизацията на всички енергоносители</w:t>
      </w:r>
    </w:p>
    <w:p>
      <w:pPr>
        <w:spacing w:after="240" w:line="240" w:lineRule="auto"/>
        <w:jc w:val="both"/>
        <w:rPr>
          <w:rFonts w:ascii="Times New Roman" w:hAnsi="Times New Roman"/>
          <w:noProof/>
          <w:sz w:val="24"/>
        </w:rPr>
      </w:pPr>
      <w:r>
        <w:rPr>
          <w:rFonts w:ascii="Times New Roman" w:hAnsi="Times New Roman"/>
          <w:noProof/>
          <w:sz w:val="24"/>
        </w:rPr>
        <w:t>В много държави — членки на ЕС, данъците и налозите върху електроенергията са по-високи от тези за въглища, газ или мазут за отопление, както като абсолютна стойност, така и като дял от общата цена</w:t>
      </w:r>
      <w:r>
        <w:rPr>
          <w:rFonts w:ascii="Times New Roman" w:hAnsi="Times New Roman"/>
          <w:noProof/>
          <w:sz w:val="24"/>
          <w:vertAlign w:val="superscript"/>
        </w:rPr>
        <w:footnoteReference w:id="46"/>
      </w:r>
      <w:r>
        <w:rPr>
          <w:rFonts w:ascii="Times New Roman" w:hAnsi="Times New Roman"/>
          <w:noProof/>
          <w:sz w:val="24"/>
        </w:rPr>
        <w:t xml:space="preserve">. През последните години таксите и налозите върху електроенергията, като например тези за финансиране на схемите за подкрепа на енергията от възобновяеми източници, продължиха да нарастват. В същото време </w:t>
      </w:r>
      <w:r>
        <w:rPr>
          <w:rFonts w:ascii="Times New Roman" w:hAnsi="Times New Roman"/>
          <w:i/>
          <w:iCs/>
          <w:noProof/>
          <w:sz w:val="24"/>
        </w:rPr>
        <w:t>енергийният компонент</w:t>
      </w:r>
      <w:r>
        <w:rPr>
          <w:rFonts w:ascii="Times New Roman" w:hAnsi="Times New Roman"/>
          <w:noProof/>
          <w:sz w:val="24"/>
        </w:rPr>
        <w:t xml:space="preserve"> в крайната цена (на дребно) на електроенергията намаля както в абсолютно, така и в относително изражение. Това увеличи асиметрията между неенергийните компоненти в разходите за електроенергия и газ: понастоящем например делът на данъците и налозите достига до 40 % от крайната цена на дребно на електроенергията за домакинствата, докато при газта и мазута за отопление той е съответно 26 % и 32 %</w:t>
      </w:r>
      <w:r>
        <w:rPr>
          <w:rStyle w:val="FootnoteReference"/>
          <w:rFonts w:ascii="Times New Roman" w:hAnsi="Times New Roman" w:cs="Times New Roman"/>
          <w:noProof/>
          <w:sz w:val="24"/>
          <w:szCs w:val="24"/>
        </w:rPr>
        <w:footnoteReference w:id="47"/>
      </w:r>
      <w:r>
        <w:rPr>
          <w:rFonts w:ascii="Times New Roman" w:hAnsi="Times New Roman"/>
          <w:noProof/>
          <w:sz w:val="24"/>
        </w:rPr>
        <w:t xml:space="preserve">. Някои други сектори с високо потребление на енергия или с високи въглеродни емисии, като например международният въздушен и морски транспорт и земеделието, могат да се ползват от ниски или нулеви ставки на ДДС, както и — съгласно действащата Директива за данъчно облагане на енергийните продукти и електроенергията — от ниски акцизи върху енергията. </w:t>
      </w:r>
    </w:p>
    <w:p>
      <w:pPr>
        <w:spacing w:after="240" w:line="240" w:lineRule="auto"/>
        <w:jc w:val="both"/>
        <w:rPr>
          <w:rFonts w:ascii="Times New Roman" w:hAnsi="Times New Roman"/>
          <w:noProof/>
          <w:sz w:val="24"/>
        </w:rPr>
      </w:pPr>
      <w:r>
        <w:rPr>
          <w:rFonts w:ascii="Times New Roman" w:hAnsi="Times New Roman"/>
          <w:noProof/>
          <w:sz w:val="24"/>
        </w:rPr>
        <w:t xml:space="preserve">Освен това разходите за въглеродни емисии са само частично интернализирани или изобщо не са интернализирани в някои сектори (напр. автомобилен и морски транспорт или отопление на помещения) или държави членки или може да не са достатъчни, за да се поощри декарбонизацията в някои сектори в обхвата на СТЕ (напр. въздухоплаването). И накрая, субсидиите за изкопаеми горива продължават да съществуват в ЕС.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цяло приложимите данъци и налози, включително при ценообразуването на въглеродните емисии, не се прилагат еднакво за всички енергоносители и сектори и създават изкривявания по отношение на използването на дадени енергоносители. </w:t>
      </w:r>
    </w:p>
    <w:p>
      <w:pPr>
        <w:pStyle w:val="PlainText"/>
        <w:spacing w:after="240"/>
        <w:jc w:val="both"/>
        <w:rPr>
          <w:rFonts w:ascii="Times New Roman" w:hAnsi="Times New Roman"/>
          <w:noProof/>
          <w:sz w:val="24"/>
          <w:szCs w:val="24"/>
        </w:rPr>
      </w:pPr>
      <w:r>
        <w:rPr>
          <w:rFonts w:ascii="Times New Roman" w:hAnsi="Times New Roman"/>
          <w:noProof/>
          <w:sz w:val="24"/>
        </w:rPr>
        <w:t xml:space="preserve">Най-накрая, следва да се вземат предвид и специфичните характеристики на електроенергията, използвана за целите на акумулирането на енергия или за производство на водород, и да се избегнат двойното данъчно облагане (така че енергията да се облага само веднъж, когато се доставя за крайно потребление) и неоправданите двойни такси за мрежата. </w:t>
      </w:r>
    </w:p>
    <w:p>
      <w:pPr>
        <w:keepNext/>
        <w:spacing w:after="240" w:line="240" w:lineRule="auto"/>
        <w:jc w:val="both"/>
        <w:rPr>
          <w:rFonts w:ascii="Times New Roman" w:hAnsi="Times New Roman" w:cs="Times New Roman"/>
          <w:i/>
          <w:noProof/>
          <w:sz w:val="24"/>
          <w:szCs w:val="24"/>
        </w:rPr>
      </w:pPr>
      <w:r>
        <w:rPr>
          <w:rFonts w:ascii="Times New Roman" w:hAnsi="Times New Roman"/>
          <w:i/>
          <w:iCs/>
          <w:noProof/>
          <w:sz w:val="24"/>
          <w:szCs w:val="24"/>
        </w:rPr>
        <w:t>Отреждане на централна роля на потребителите</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Наличието на </w:t>
      </w:r>
      <w:r>
        <w:rPr>
          <w:rFonts w:ascii="Times New Roman" w:hAnsi="Times New Roman"/>
          <w:b/>
          <w:bCs/>
          <w:noProof/>
          <w:sz w:val="24"/>
          <w:szCs w:val="24"/>
        </w:rPr>
        <w:t>ясна и лесно достъпна информация</w:t>
      </w:r>
      <w:r>
        <w:rPr>
          <w:rFonts w:ascii="Times New Roman" w:hAnsi="Times New Roman"/>
          <w:noProof/>
          <w:sz w:val="24"/>
          <w:szCs w:val="24"/>
        </w:rPr>
        <w:t xml:space="preserve"> е от съществено значение, за да могат гражданите да променят моделите си на потребление на енергия и да започнат да използват решения, които подкрепят интегрирана енергийна система. Клиентите — както гражданите, така и предприятията — следва да бъдат информирани за техните права, за наличните технологични възможности и за свързания с тях въглероден отпечатък и отпечатъка върху околната среда, така че да могат да правят информиран избор и действително да бъдат двигател на декарбонизацията. Важно е уязвимите домакинства да не бъдат забравени и да бъде намерено решение за проблема с енергийната бедност</w:t>
      </w:r>
      <w:r>
        <w:rPr>
          <w:rStyle w:val="FootnoteReference"/>
          <w:rFonts w:ascii="Times New Roman" w:eastAsia="Times New Roman" w:hAnsi="Times New Roman"/>
          <w:noProof/>
          <w:sz w:val="24"/>
          <w:szCs w:val="24"/>
        </w:rPr>
        <w:footnoteReference w:id="48"/>
      </w:r>
      <w:r>
        <w:rPr>
          <w:rFonts w:ascii="Times New Roman" w:hAnsi="Times New Roman"/>
          <w:noProof/>
          <w:sz w:val="24"/>
          <w:szCs w:val="24"/>
        </w:rPr>
        <w:t xml:space="preserve">. В контекста на пакта за климата Комисията ще започне </w:t>
      </w:r>
      <w:r>
        <w:rPr>
          <w:rFonts w:ascii="Times New Roman" w:hAnsi="Times New Roman"/>
          <w:b/>
          <w:bCs/>
          <w:noProof/>
          <w:sz w:val="24"/>
          <w:szCs w:val="24"/>
        </w:rPr>
        <w:t>кампания за информиране на потребителите</w:t>
      </w:r>
      <w:r>
        <w:rPr>
          <w:rFonts w:ascii="Times New Roman" w:hAnsi="Times New Roman"/>
          <w:noProof/>
          <w:sz w:val="24"/>
          <w:szCs w:val="24"/>
        </w:rPr>
        <w:t xml:space="preserve"> относно техните права във връзка с енергийния пазар. </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Правата на потребителите на електроенергия да получават информация бяха подобрени с пакета за чиста енергия, но предстои още работа, за да се достигне същото ниво по отношение на правата на </w:t>
      </w:r>
      <w:r>
        <w:rPr>
          <w:rFonts w:ascii="Times New Roman" w:hAnsi="Times New Roman"/>
          <w:b/>
          <w:noProof/>
          <w:sz w:val="24"/>
        </w:rPr>
        <w:t>потребителите на газ и районни отоплителни (топлофикационни) услуги</w:t>
      </w:r>
      <w:r>
        <w:rPr>
          <w:rFonts w:ascii="Times New Roman" w:hAnsi="Times New Roman"/>
          <w:noProof/>
          <w:sz w:val="24"/>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все още липсват </w:t>
      </w:r>
      <w:r>
        <w:rPr>
          <w:rFonts w:ascii="Times New Roman" w:hAnsi="Times New Roman"/>
          <w:b/>
          <w:noProof/>
          <w:sz w:val="24"/>
        </w:rPr>
        <w:t>пазари за устойчиви продукти и услуги</w:t>
      </w:r>
      <w:r>
        <w:rPr>
          <w:rFonts w:ascii="Times New Roman" w:hAnsi="Times New Roman"/>
          <w:noProof/>
          <w:sz w:val="24"/>
        </w:rPr>
        <w:t xml:space="preserve">, например за продукти като стомана, цимент и химикали, произведени с горива от възобновяеми и нисковъглеродни източници. Като част от обявените в плана за действие за кръговата икономика, по-широкообхватни усилия за подобряване на устойчивостта на такива междинни продукти потребителите следва да получават съответната информация, която може да ги насърчи да плащат допълнителна цена. </w:t>
      </w:r>
    </w:p>
    <w:p>
      <w:pPr>
        <w:keepNext/>
        <w:spacing w:after="240" w:line="240" w:lineRule="auto"/>
        <w:jc w:val="both"/>
        <w:rPr>
          <w:rFonts w:ascii="Times New Roman" w:hAnsi="Times New Roman" w:cs="Times New Roman"/>
          <w:i/>
          <w:iCs/>
          <w:noProof/>
          <w:sz w:val="24"/>
          <w:szCs w:val="24"/>
        </w:rPr>
      </w:pPr>
      <w:r>
        <w:rPr>
          <w:rFonts w:ascii="Times New Roman" w:hAnsi="Times New Roman"/>
          <w:i/>
          <w:iCs/>
          <w:noProof/>
          <w:sz w:val="24"/>
          <w:szCs w:val="24"/>
        </w:rPr>
        <w:t>Подготвяне на пазарите на електроенергия и газ за декарбонизацията</w:t>
      </w:r>
      <w:r>
        <w:rPr>
          <w:rStyle w:val="FootnoteReference"/>
          <w:rFonts w:ascii="Times New Roman" w:hAnsi="Times New Roman" w:cs="Times New Roman"/>
          <w:i/>
          <w:iCs/>
          <w:noProof/>
          <w:sz w:val="24"/>
          <w:szCs w:val="24"/>
        </w:rPr>
        <w:footnoteReference w:id="49"/>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 пакета за чиста енергия вече започна подготовката на </w:t>
      </w:r>
      <w:r>
        <w:rPr>
          <w:rFonts w:ascii="Times New Roman" w:hAnsi="Times New Roman"/>
          <w:b/>
          <w:bCs/>
          <w:noProof/>
          <w:sz w:val="24"/>
          <w:szCs w:val="24"/>
        </w:rPr>
        <w:t>електроенергийните пазари</w:t>
      </w:r>
      <w:r>
        <w:rPr>
          <w:rFonts w:ascii="Times New Roman" w:hAnsi="Times New Roman"/>
          <w:noProof/>
          <w:sz w:val="24"/>
          <w:szCs w:val="24"/>
        </w:rPr>
        <w:t xml:space="preserve"> за поемането на големи количества електроенергия от променливи източници и за интегрирането на гъвкавост, постигната чрез реакция от страна на потребителите и чрез акумулиране на електроенергия, като същевременно бяха подобрени пазарните сигнали за стимулиране на инвестициите и предоставяне на повече възможности на потребителите на електроенергия. Понастоящем предизвикателството се състои в това мерките да бъдат прилагани правилно и да бъде завършено свързването на пазарите чрез търговия за ден напред и в рамките на деня.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Успоредно на напредъка към неутралност по отношение на климата обемът на природния газ, потребяван в Европа, постепенно ще намалява. Въпреки че се очаква </w:t>
      </w:r>
      <w:r>
        <w:rPr>
          <w:rFonts w:ascii="Times New Roman" w:hAnsi="Times New Roman"/>
          <w:b/>
          <w:noProof/>
          <w:sz w:val="24"/>
          <w:szCs w:val="24"/>
        </w:rPr>
        <w:t>газовите горива</w:t>
      </w:r>
      <w:r>
        <w:rPr>
          <w:rFonts w:ascii="Times New Roman" w:hAnsi="Times New Roman"/>
          <w:noProof/>
          <w:sz w:val="24"/>
          <w:szCs w:val="24"/>
        </w:rPr>
        <w:t xml:space="preserve"> да продължат да играят важна роля в нашия енергиен микс</w:t>
      </w:r>
      <w:r>
        <w:rPr>
          <w:rFonts w:ascii="Times New Roman" w:hAnsi="Times New Roman"/>
          <w:noProof/>
          <w:sz w:val="24"/>
          <w:szCs w:val="24"/>
          <w:vertAlign w:val="superscript"/>
        </w:rPr>
        <w:footnoteReference w:id="50"/>
      </w:r>
      <w:r>
        <w:rPr>
          <w:rFonts w:ascii="Times New Roman" w:hAnsi="Times New Roman"/>
          <w:noProof/>
          <w:sz w:val="24"/>
          <w:szCs w:val="24"/>
        </w:rPr>
        <w:t>, миксът на газовите горива ще зависи в голяма степен от избрания път за декарбонизация. До 2050 г. се очаква делът на природния газ в газовите горива да намалее до 20 %, а по-голямата част от останалите 80 % газови горива да бъдат получавани от възобновяеми източници</w:t>
      </w:r>
      <w:r>
        <w:rPr>
          <w:rFonts w:ascii="Times New Roman" w:hAnsi="Times New Roman" w:cs="Times New Roman"/>
          <w:noProof/>
          <w:sz w:val="24"/>
          <w:szCs w:val="24"/>
          <w:vertAlign w:val="superscript"/>
        </w:rPr>
        <w:footnoteReference w:id="51"/>
      </w:r>
      <w:r>
        <w:rPr>
          <w:rFonts w:ascii="Times New Roman" w:hAnsi="Times New Roman"/>
          <w:noProof/>
          <w:sz w:val="24"/>
          <w:szCs w:val="24"/>
        </w:rPr>
        <w:t xml:space="preserve">. Трудно е обаче да се прогнозира бъдещият микс на тези газообразни енергоносители (биогаз, биометан, водород или синтетични газове).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Регулаторната рамка за пазара на газ следва да бъде преразгледана, с цел да се улесни навлизането на енергия от възобновяеми източници и оправомощаването на потребителите, като същевременно се гарантира интегриран, ликвиден и оперативно съвместим вътрешен пазар на газ в ЕС.</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 този контекст въпросите, които трябва да бъдат разгледани, включват свързването с инфраструктурата и достъпа до пазара за разпределено производство на газове от възобновяеми източници, включително на равнище разпределение, които да допълнят използването на газове от възобновяеми източници в по-локален и по-близък до кръговата икономика контекст (например биогаз, използван в земеделските стопанства). Освен това с подаването на възобновяеми газове в газопреносната мрежа и диверсифицирането на източниците на снабдяване ще се променят качествените параметри на газа, консумиран и транспортиран в ЕС. За да не доведе това до сегментиране на пазара и ограничения за търговията, е необходимо да се проучи как да се гарантира оперативната съвместимост между газопреносните системи и безпрепятственото движение на газ през границите на държавите членки. </w:t>
      </w:r>
    </w:p>
    <w:p>
      <w:pPr>
        <w:spacing w:after="240" w:line="240" w:lineRule="auto"/>
        <w:jc w:val="both"/>
        <w:rPr>
          <w:rFonts w:ascii="Times New Roman" w:hAnsi="Times New Roman" w:cs="Times New Roman"/>
          <w:i/>
          <w:iCs/>
          <w:noProof/>
          <w:sz w:val="24"/>
          <w:szCs w:val="24"/>
        </w:rPr>
      </w:pPr>
      <w:r>
        <w:rPr>
          <w:rFonts w:ascii="Times New Roman" w:hAnsi="Times New Roman"/>
          <w:i/>
          <w:iCs/>
          <w:noProof/>
          <w:sz w:val="24"/>
          <w:szCs w:val="24"/>
        </w:rPr>
        <w:t>Актуализиране на рамката за държавна помощ</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Настоящото преразглеждане на рамката за държавната помощ, и по-специално нейните насоки в областта на енергетиката и опазването на околната среда, ще допринесе за интеграцията на енергийната система, като предостави напълно актуализирана и подходяща за целта рамка за ефективното от гледна точка на разходите внедряване на чистата енергия и за доброто функциониране на енергийните пазари</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xml:space="preserve">. </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noProof/>
                <w:sz w:val="24"/>
                <w:szCs w:val="24"/>
              </w:rPr>
            </w:pPr>
            <w:r>
              <w:rPr>
                <w:rFonts w:ascii="Times New Roman" w:hAnsi="Times New Roman"/>
                <w:b/>
                <w:bCs/>
                <w:noProof/>
                <w:sz w:val="24"/>
                <w:szCs w:val="24"/>
              </w:rPr>
              <w:t>Ключови действия</w:t>
            </w:r>
          </w:p>
          <w:p>
            <w:pPr>
              <w:jc w:val="both"/>
              <w:rPr>
                <w:rFonts w:ascii="Times New Roman" w:hAnsi="Times New Roman" w:cs="Times New Roman"/>
                <w:i/>
                <w:noProof/>
                <w:sz w:val="24"/>
                <w:szCs w:val="24"/>
              </w:rPr>
            </w:pPr>
          </w:p>
          <w:p>
            <w:pPr>
              <w:pStyle w:val="PlainText"/>
              <w:spacing w:after="120"/>
              <w:jc w:val="both"/>
              <w:rPr>
                <w:rFonts w:ascii="Times New Roman" w:hAnsi="Times New Roman" w:cs="Times New Roman"/>
                <w:i/>
                <w:noProof/>
                <w:sz w:val="24"/>
                <w:szCs w:val="24"/>
              </w:rPr>
            </w:pPr>
            <w:r>
              <w:rPr>
                <w:rFonts w:ascii="Times New Roman" w:hAnsi="Times New Roman"/>
                <w:i/>
                <w:noProof/>
                <w:sz w:val="24"/>
                <w:szCs w:val="24"/>
              </w:rPr>
              <w:t>С цел да се насърчат еднаквите условия на конкуренция за всички енергоносители:</w:t>
            </w:r>
          </w:p>
          <w:p>
            <w:pPr>
              <w:pStyle w:val="PlainText"/>
              <w:numPr>
                <w:ilvl w:val="0"/>
                <w:numId w:val="17"/>
              </w:numPr>
              <w:jc w:val="both"/>
              <w:rPr>
                <w:rFonts w:ascii="Times New Roman" w:hAnsi="Times New Roman" w:cs="Times New Roman"/>
                <w:noProof/>
                <w:sz w:val="24"/>
                <w:szCs w:val="24"/>
              </w:rPr>
            </w:pPr>
            <w:r>
              <w:rPr>
                <w:rFonts w:ascii="Times New Roman" w:hAnsi="Times New Roman"/>
                <w:b/>
                <w:bCs/>
                <w:noProof/>
                <w:sz w:val="24"/>
                <w:szCs w:val="24"/>
              </w:rPr>
              <w:t>да се издадат насоки за държавите членки</w:t>
            </w:r>
            <w:r>
              <w:rPr>
                <w:rFonts w:ascii="Times New Roman" w:hAnsi="Times New Roman"/>
                <w:noProof/>
                <w:sz w:val="24"/>
                <w:szCs w:val="24"/>
              </w:rPr>
              <w:t xml:space="preserve"> да разгледат високите такси и налози, с които се облага електроенергията, и да гарантират </w:t>
            </w:r>
            <w:r>
              <w:rPr>
                <w:rFonts w:ascii="Times New Roman" w:hAnsi="Times New Roman"/>
                <w:b/>
                <w:bCs/>
                <w:noProof/>
                <w:sz w:val="24"/>
                <w:szCs w:val="24"/>
              </w:rPr>
              <w:t>съгласуваност на ценовите компоненти на различните енергоносители, които не са свързани със самата енергия</w:t>
            </w:r>
            <w:r>
              <w:rPr>
                <w:rFonts w:ascii="Times New Roman" w:hAnsi="Times New Roman"/>
                <w:noProof/>
                <w:sz w:val="24"/>
                <w:szCs w:val="24"/>
              </w:rPr>
              <w:t xml:space="preserve"> (до 2021 г.);</w:t>
            </w:r>
          </w:p>
          <w:p>
            <w:pPr>
              <w:pStyle w:val="PlainText"/>
              <w:numPr>
                <w:ilvl w:val="0"/>
                <w:numId w:val="17"/>
              </w:numPr>
              <w:jc w:val="both"/>
              <w:rPr>
                <w:rFonts w:ascii="Times New Roman" w:hAnsi="Times New Roman" w:cs="Times New Roman"/>
                <w:noProof/>
                <w:sz w:val="24"/>
                <w:szCs w:val="24"/>
              </w:rPr>
            </w:pPr>
            <w:r>
              <w:rPr>
                <w:rFonts w:ascii="Times New Roman" w:hAnsi="Times New Roman"/>
                <w:noProof/>
                <w:sz w:val="24"/>
              </w:rPr>
              <w:t xml:space="preserve">да се съгласува данъчното облагане на енергийните продукти и електроенергията с политиките на ЕС в областта на околната среда и климата и да се осигури хармонизирано данъчно облагане за съхранението и производството на водород посредством преразглеждане на </w:t>
            </w:r>
            <w:r>
              <w:rPr>
                <w:rFonts w:ascii="Times New Roman" w:hAnsi="Times New Roman"/>
                <w:b/>
                <w:bCs/>
                <w:noProof/>
                <w:sz w:val="24"/>
              </w:rPr>
              <w:t>Директивата за данъчно облагане на енергийните продукти и електроенергията</w:t>
            </w:r>
            <w:r>
              <w:rPr>
                <w:rStyle w:val="FootnoteReference"/>
                <w:rFonts w:ascii="Times New Roman" w:hAnsi="Times New Roman" w:cs="Times New Roman"/>
                <w:noProof/>
                <w:sz w:val="24"/>
                <w:szCs w:val="24"/>
              </w:rPr>
              <w:footnoteReference w:id="53"/>
            </w:r>
            <w:r>
              <w:rPr>
                <w:rFonts w:ascii="Times New Roman" w:hAnsi="Times New Roman"/>
                <w:noProof/>
                <w:sz w:val="24"/>
              </w:rPr>
              <w:t>;</w:t>
            </w:r>
          </w:p>
          <w:p>
            <w:pPr>
              <w:pStyle w:val="PlainText"/>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осигурят по-адекватни сигнали за цената на въглеродните емисии между енергийните сектори и държавите членки, включително чрез </w:t>
            </w:r>
            <w:r>
              <w:rPr>
                <w:rFonts w:ascii="Times New Roman" w:hAnsi="Times New Roman"/>
                <w:b/>
                <w:bCs/>
                <w:noProof/>
                <w:sz w:val="24"/>
                <w:szCs w:val="24"/>
              </w:rPr>
              <w:t>евентуално предложение за разширяване на обхвата на СТЕ върху нови сектори</w:t>
            </w:r>
            <w:r>
              <w:rPr>
                <w:rFonts w:ascii="Times New Roman" w:hAnsi="Times New Roman"/>
                <w:noProof/>
                <w:sz w:val="24"/>
                <w:szCs w:val="24"/>
              </w:rPr>
              <w:t xml:space="preserve"> (до юни 2021 г.); </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продължи работата за </w:t>
            </w:r>
            <w:r>
              <w:rPr>
                <w:rFonts w:ascii="Times New Roman" w:hAnsi="Times New Roman"/>
                <w:b/>
                <w:noProof/>
                <w:sz w:val="24"/>
                <w:szCs w:val="24"/>
              </w:rPr>
              <w:t>постепенното премахване на преките субсидии за изкопаеми горива</w:t>
            </w:r>
            <w:r>
              <w:rPr>
                <w:rFonts w:ascii="Times New Roman" w:hAnsi="Times New Roman"/>
                <w:noProof/>
                <w:sz w:val="24"/>
                <w:szCs w:val="24"/>
              </w:rPr>
              <w:t xml:space="preserve">, включително в контекста на прегледа на рамката за държавната помощ и преразглеждането на Директивата за данъчно облагане на енергийните продукти и електроенергията (от 2021 г. нататък); </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гарантира, че преразглеждането на </w:t>
            </w:r>
            <w:r>
              <w:rPr>
                <w:rFonts w:ascii="Times New Roman" w:hAnsi="Times New Roman"/>
                <w:b/>
                <w:noProof/>
                <w:sz w:val="24"/>
                <w:szCs w:val="24"/>
              </w:rPr>
              <w:t>рамката за държавната помощ</w:t>
            </w:r>
            <w:r>
              <w:rPr>
                <w:rFonts w:ascii="Times New Roman" w:hAnsi="Times New Roman"/>
                <w:noProof/>
                <w:sz w:val="24"/>
                <w:szCs w:val="24"/>
              </w:rPr>
              <w:t xml:space="preserve"> ще осигури подкрепа за икономически ефективната декарбонизация на икономиката в случаи, когато продължава да е необходима публична подкрепа (до 2021 г.).</w:t>
            </w:r>
          </w:p>
          <w:p>
            <w:pPr>
              <w:jc w:val="both"/>
              <w:rPr>
                <w:rFonts w:ascii="Times New Roman" w:hAnsi="Times New Roman" w:cs="Times New Roman"/>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szCs w:val="24"/>
              </w:rPr>
              <w:t>С цел да се адаптира регулаторната рамка за газа:</w:t>
            </w:r>
          </w:p>
          <w:p>
            <w:pPr>
              <w:pStyle w:val="ListParagraph"/>
              <w:numPr>
                <w:ilvl w:val="0"/>
                <w:numId w:val="17"/>
              </w:numPr>
              <w:jc w:val="both"/>
              <w:rPr>
                <w:rFonts w:ascii="Times New Roman" w:hAnsi="Times New Roman" w:cs="Times New Roman"/>
                <w:noProof/>
                <w:sz w:val="24"/>
                <w:szCs w:val="24"/>
              </w:rPr>
            </w:pPr>
            <w:r>
              <w:rPr>
                <w:rFonts w:ascii="Times New Roman" w:hAnsi="Times New Roman"/>
                <w:b/>
                <w:bCs/>
                <w:noProof/>
                <w:sz w:val="24"/>
              </w:rPr>
              <w:t>да се направи преглед на законодателната рамка, за да бъде създаден конкурентен декарбонизиран пазар на газ</w:t>
            </w:r>
            <w:r>
              <w:rPr>
                <w:rFonts w:ascii="Times New Roman" w:hAnsi="Times New Roman"/>
                <w:noProof/>
                <w:sz w:val="24"/>
              </w:rPr>
              <w:t xml:space="preserve">, пригоден за използване на газове от възобновяеми източници, </w:t>
            </w:r>
            <w:r>
              <w:rPr>
                <w:rFonts w:ascii="Times New Roman" w:hAnsi="Times New Roman"/>
                <w:b/>
                <w:bCs/>
                <w:noProof/>
                <w:sz w:val="24"/>
              </w:rPr>
              <w:t>и да се оправомощят потребителите на газ</w:t>
            </w:r>
            <w:r>
              <w:rPr>
                <w:rFonts w:ascii="Times New Roman" w:hAnsi="Times New Roman"/>
                <w:noProof/>
                <w:sz w:val="24"/>
              </w:rPr>
              <w:t xml:space="preserve"> чрез предоставяне на повече информация и права (до 2021 г.). </w:t>
            </w:r>
          </w:p>
          <w:p>
            <w:pPr>
              <w:jc w:val="both"/>
              <w:rPr>
                <w:rFonts w:ascii="Times New Roman" w:hAnsi="Times New Roman" w:cs="Times New Roman"/>
                <w:noProof/>
                <w:sz w:val="24"/>
                <w:szCs w:val="24"/>
              </w:rPr>
            </w:pPr>
          </w:p>
          <w:p>
            <w:pPr>
              <w:spacing w:after="120"/>
              <w:jc w:val="both"/>
              <w:rPr>
                <w:rFonts w:ascii="Times New Roman" w:hAnsi="Times New Roman" w:cs="Times New Roman"/>
                <w:i/>
                <w:noProof/>
                <w:sz w:val="24"/>
                <w:szCs w:val="24"/>
              </w:rPr>
            </w:pPr>
            <w:r>
              <w:rPr>
                <w:rFonts w:ascii="Times New Roman" w:hAnsi="Times New Roman"/>
                <w:i/>
                <w:noProof/>
                <w:sz w:val="24"/>
                <w:szCs w:val="24"/>
              </w:rPr>
              <w:t>С цел да се подобри информацията за клиентите:</w:t>
            </w: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започне </w:t>
            </w:r>
            <w:r>
              <w:rPr>
                <w:rFonts w:ascii="Times New Roman" w:hAnsi="Times New Roman"/>
                <w:b/>
                <w:bCs/>
                <w:noProof/>
                <w:sz w:val="24"/>
                <w:szCs w:val="24"/>
              </w:rPr>
              <w:t>кампания за информиране на потребителите</w:t>
            </w:r>
            <w:r>
              <w:rPr>
                <w:rFonts w:ascii="Times New Roman" w:hAnsi="Times New Roman"/>
                <w:noProof/>
                <w:sz w:val="24"/>
                <w:szCs w:val="24"/>
              </w:rPr>
              <w:t xml:space="preserve"> в контекста на пакта за климата относно правата на потребителите на енергия (до 2021 г.);</w:t>
            </w:r>
          </w:p>
          <w:p>
            <w:pPr>
              <w:pStyle w:val="ListParagraph"/>
              <w:numPr>
                <w:ilvl w:val="0"/>
                <w:numId w:val="17"/>
              </w:numPr>
              <w:spacing w:after="120"/>
              <w:jc w:val="both"/>
              <w:rPr>
                <w:rFonts w:cs="Times New Roman"/>
                <w:i/>
                <w:noProof/>
              </w:rPr>
            </w:pPr>
            <w:r>
              <w:rPr>
                <w:rFonts w:ascii="Times New Roman" w:hAnsi="Times New Roman"/>
                <w:b/>
                <w:bCs/>
                <w:noProof/>
                <w:sz w:val="24"/>
                <w:szCs w:val="24"/>
              </w:rPr>
              <w:t>да се подобри информацията за потребители относно устойчивостта на промишлените продукти</w:t>
            </w:r>
            <w:r>
              <w:rPr>
                <w:rFonts w:ascii="Times New Roman" w:hAnsi="Times New Roman"/>
                <w:noProof/>
                <w:sz w:val="24"/>
                <w:szCs w:val="24"/>
              </w:rPr>
              <w:t xml:space="preserve"> (по-специално на стомана, цимент и химикали) като част от инициативата за политика за устойчиви продукти, по целесъобразност също чрез допълнителни законодателни предложения (до 2022 г.).</w:t>
            </w:r>
          </w:p>
        </w:tc>
      </w:tr>
    </w:tbl>
    <w:p>
      <w:pPr>
        <w:spacing w:after="0" w:line="240" w:lineRule="auto"/>
        <w:jc w:val="both"/>
        <w:rPr>
          <w:rFonts w:ascii="Times New Roman" w:hAnsi="Times New Roman" w:cs="Times New Roman"/>
          <w:noProof/>
          <w:sz w:val="24"/>
          <w:szCs w:val="24"/>
        </w:rPr>
      </w:pPr>
    </w:p>
    <w:p>
      <w:pPr>
        <w:pStyle w:val="Heading2"/>
        <w:numPr>
          <w:ilvl w:val="1"/>
          <w:numId w:val="12"/>
        </w:numPr>
        <w:rPr>
          <w:noProof/>
        </w:rPr>
      </w:pPr>
      <w:r>
        <w:rPr>
          <w:noProof/>
        </w:rPr>
        <w:t>По-интегрирана енергийна инфраструктура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Интеграцията на енергийната система ще доведе до повече физически връзки </w:t>
      </w:r>
      <w:r>
        <w:rPr>
          <w:rFonts w:ascii="Times New Roman" w:hAnsi="Times New Roman"/>
          <w:i/>
          <w:iCs/>
          <w:noProof/>
          <w:sz w:val="24"/>
          <w:szCs w:val="24"/>
        </w:rPr>
        <w:t xml:space="preserve">между </w:t>
      </w:r>
      <w:r>
        <w:rPr>
          <w:rFonts w:ascii="Times New Roman" w:hAnsi="Times New Roman"/>
          <w:noProof/>
          <w:sz w:val="24"/>
          <w:szCs w:val="24"/>
        </w:rPr>
        <w:t xml:space="preserve">енергийните носители. Това изисква </w:t>
      </w:r>
      <w:r>
        <w:rPr>
          <w:rFonts w:ascii="Times New Roman" w:hAnsi="Times New Roman"/>
          <w:b/>
          <w:bCs/>
          <w:noProof/>
          <w:sz w:val="24"/>
          <w:szCs w:val="24"/>
        </w:rPr>
        <w:t>нов, цялостен подход както при широкомащабното, така и при местното планиране на инфраструктурата</w:t>
      </w:r>
      <w:r>
        <w:rPr>
          <w:rFonts w:ascii="Times New Roman" w:hAnsi="Times New Roman"/>
          <w:noProof/>
          <w:sz w:val="24"/>
          <w:szCs w:val="24"/>
        </w:rPr>
        <w:t xml:space="preserve">, включително в областта на защитата и устойчивостта на инфраструктурите от критично значение. Целта следва да е да се извлече максимална полза от съществуващата инфраструктура, като същевременно се избягват ефектите на технологично закрепостяване и блокиране на активи. Планирането на инфраструктурата следва да улеснява интеграцията на различни енергоносители и да позволява преценка дали да се разработват нови инфраструктури или да се използват съществуващите такива с изменено предназначение. При това следва да се обмислят алтернативи на вариантите, основани на мрежата, и по-специално решения, свързани с управление на потреблението, и акумулиране.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Различните компоненти на енергийната мрежа ще трябва да претърпят развитие. Следва да се насърчават модерни </w:t>
      </w:r>
      <w:r>
        <w:rPr>
          <w:rFonts w:ascii="Times New Roman" w:hAnsi="Times New Roman"/>
          <w:b/>
          <w:bCs/>
          <w:noProof/>
          <w:sz w:val="24"/>
          <w:szCs w:val="24"/>
        </w:rPr>
        <w:t>районни отоплителни (топлофикационни) системи</w:t>
      </w:r>
      <w:r>
        <w:rPr>
          <w:rFonts w:ascii="Times New Roman" w:hAnsi="Times New Roman"/>
          <w:noProof/>
          <w:sz w:val="24"/>
          <w:szCs w:val="24"/>
        </w:rPr>
        <w:t xml:space="preserve"> в нискотемпературен режим, тъй като те могат да свържат нуждите от енергия по места с производството на енергия от възобновяеми енергийни източници и отпадъци, както и с по-широката електроенергийна и газова мрежа, и да допринасят така за оптимизиране на генерирането и товарите между енергийните носители. Районните отоплителни (топлофикационни) мрежи обаче имат дял от 12 % в общото крайно потребление на енергия за отопление и охлаждане и са силно концентрирани в няколко държави членки, като само ограничена част от тях са с висока ефективност и използват възобновяеми енергийни източници.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Прилагането на пакета за чиста енергия ще допринесе за по-ефективното използване на </w:t>
      </w:r>
      <w:r>
        <w:rPr>
          <w:rFonts w:ascii="Times New Roman" w:hAnsi="Times New Roman"/>
          <w:b/>
          <w:noProof/>
          <w:sz w:val="24"/>
          <w:szCs w:val="24"/>
        </w:rPr>
        <w:t>електроенергийните мрежи</w:t>
      </w:r>
      <w:r>
        <w:rPr>
          <w:rFonts w:ascii="Times New Roman" w:hAnsi="Times New Roman"/>
          <w:noProof/>
          <w:sz w:val="24"/>
          <w:szCs w:val="24"/>
        </w:rPr>
        <w:t>. Въпреки това ускоряването на електрификацията на новите крайни приложения ще наложи да се укрепи мрежата, главно на равнище разпределение, но също така и на равнище пренос</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както и да се направи тя „по-интелигентна“. Електролизьорите ще се свържат към електроенергийните мрежи и евентуално към съществуващите газови мрежи. В контекста на оценката на националните планове на държавите членки в областта на енергетиката и климата Комисията също така ще анализира напредъка към целта за 15 % междусистемна електроенергийна свързаност и ще разгледа подходящи действия, включително в контекста на преразглеждането на Регламента за TEN-E.</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Съществуващата </w:t>
      </w:r>
      <w:r>
        <w:rPr>
          <w:rFonts w:ascii="Times New Roman" w:hAnsi="Times New Roman"/>
          <w:b/>
          <w:bCs/>
          <w:noProof/>
          <w:sz w:val="24"/>
        </w:rPr>
        <w:t>газопреносна мрежа</w:t>
      </w:r>
      <w:r>
        <w:rPr>
          <w:rFonts w:ascii="Times New Roman" w:hAnsi="Times New Roman"/>
          <w:noProof/>
          <w:sz w:val="24"/>
        </w:rPr>
        <w:t xml:space="preserve"> предоставя голяма пропускателна способност в целия ЕС за интегриране на газове от възобновяеми и нисковъглеродни източници, а промяната на предназначението на мрежата с цел обслужване на приложения на основата на водород може в някои случаи да представлява ефективно от гледна точка на разходите решение, включително и за преноса на водород от морски инсталации за възобновяема електроенергия. Пристанищата биха могли да се превърнат в центрове, където постъпват произведена в морето електроенергия и течен водород, и по този начин да допринасят за световната търговия с водород или синтетични горива от възобновяеми източници.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Независимо, че в рамките на един преходен период газопреносните мрежи могат да се използват за смесване </w:t>
      </w:r>
      <w:r>
        <w:rPr>
          <w:rFonts w:cs="Times New Roman"/>
          <w:noProof/>
          <w:vertAlign w:val="superscript"/>
        </w:rPr>
        <w:footnoteReference w:id="55"/>
      </w:r>
      <w:r>
        <w:rPr>
          <w:rFonts w:ascii="Times New Roman" w:hAnsi="Times New Roman"/>
          <w:noProof/>
          <w:sz w:val="24"/>
          <w:szCs w:val="24"/>
        </w:rPr>
        <w:t xml:space="preserve"> с водород в ограничен мащаб, е възможно да възникне нужда от </w:t>
      </w:r>
      <w:r>
        <w:rPr>
          <w:rFonts w:ascii="Times New Roman" w:hAnsi="Times New Roman"/>
          <w:b/>
          <w:bCs/>
          <w:noProof/>
          <w:sz w:val="24"/>
          <w:szCs w:val="24"/>
        </w:rPr>
        <w:t>специализирана инфраструктура за широкомащабно съхранение и транспорт на чист водород</w:t>
      </w:r>
      <w:r>
        <w:rPr>
          <w:rFonts w:ascii="Times New Roman" w:hAnsi="Times New Roman"/>
          <w:noProof/>
          <w:sz w:val="24"/>
          <w:szCs w:val="24"/>
        </w:rPr>
        <w:t>, която да включва не само тръбопроводи, осигуряващи връзка между две точки в рамките на промишлени клъстъри. Разгръщането на мрежата от станции за зареждане с водород също ще бъде оценено като част от преразглеждането на Директивата за инфраструктурата за алтернативни горива и Регламента относно насоките за TEN-T.</w:t>
      </w:r>
    </w:p>
    <w:p>
      <w:pPr>
        <w:spacing w:after="240" w:line="240" w:lineRule="auto"/>
        <w:jc w:val="both"/>
        <w:rPr>
          <w:rFonts w:ascii="Times New Roman" w:hAnsi="Times New Roman"/>
          <w:b/>
          <w:noProof/>
          <w:sz w:val="24"/>
        </w:rPr>
      </w:pPr>
      <w:r>
        <w:rPr>
          <w:rFonts w:ascii="Times New Roman" w:hAnsi="Times New Roman"/>
          <w:noProof/>
          <w:sz w:val="24"/>
          <w:szCs w:val="24"/>
        </w:rPr>
        <w:t>По подобен начин е необходимо допълнително да се обмисли ролята на специалната инфраструктура за CO</w:t>
      </w:r>
      <w:r>
        <w:rPr>
          <w:rFonts w:ascii="Times New Roman" w:hAnsi="Times New Roman"/>
          <w:noProof/>
          <w:sz w:val="24"/>
          <w:szCs w:val="24"/>
          <w:vertAlign w:val="subscript"/>
        </w:rPr>
        <w:t>2</w:t>
      </w:r>
      <w:r>
        <w:rPr>
          <w:rFonts w:ascii="Times New Roman" w:hAnsi="Times New Roman"/>
          <w:noProof/>
          <w:sz w:val="24"/>
          <w:szCs w:val="24"/>
        </w:rPr>
        <w:t>, която транспортира CO</w:t>
      </w:r>
      <w:r>
        <w:rPr>
          <w:rFonts w:ascii="Times New Roman" w:hAnsi="Times New Roman"/>
          <w:noProof/>
          <w:sz w:val="24"/>
          <w:szCs w:val="24"/>
          <w:vertAlign w:val="subscript"/>
        </w:rPr>
        <w:t>2</w:t>
      </w:r>
      <w:r>
        <w:rPr>
          <w:rFonts w:ascii="Times New Roman" w:hAnsi="Times New Roman"/>
          <w:noProof/>
          <w:sz w:val="24"/>
          <w:szCs w:val="24"/>
        </w:rPr>
        <w:t xml:space="preserve"> в рамките на промишлени обекти с цел по-нататъшна употреба или до големи съоръжения за съхранение.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Регламентът за трансевропейската енергийна мрежа (TEN-E) осигурява рамка за подбор на инфраструктурни проекти от общ интерес в мрежите за електроенергия, газ и CO</w:t>
      </w:r>
      <w:r>
        <w:rPr>
          <w:rFonts w:ascii="Times New Roman" w:hAnsi="Times New Roman"/>
          <w:noProof/>
          <w:sz w:val="24"/>
          <w:vertAlign w:val="subscript"/>
        </w:rPr>
        <w:t>2</w:t>
      </w:r>
      <w:r>
        <w:rPr>
          <w:rFonts w:ascii="Times New Roman" w:hAnsi="Times New Roman"/>
          <w:noProof/>
          <w:sz w:val="24"/>
        </w:rPr>
        <w:t xml:space="preserve">. В този контекст понастоящем операторите на преносни системи разработват </w:t>
      </w:r>
      <w:r>
        <w:rPr>
          <w:rFonts w:ascii="Times New Roman" w:hAnsi="Times New Roman"/>
          <w:b/>
          <w:noProof/>
          <w:sz w:val="24"/>
        </w:rPr>
        <w:t>10-годишни планове за развитие на мрежата</w:t>
      </w:r>
      <w:r>
        <w:rPr>
          <w:rFonts w:ascii="Times New Roman" w:hAnsi="Times New Roman"/>
          <w:noProof/>
          <w:sz w:val="24"/>
        </w:rPr>
        <w:t xml:space="preserve"> успоредно на национално равнище и на равнище ЕС за преноса на газ и на електроенергия. Бъдещото планиране на мрежата ще изисква по-интегриран и междусекторен подход, по-специално в електроенергийния и газовия сектор. То ще изисква също така пълно съответствие с целите в областта на климата и енергетиката, включително привеждане в съответствие с националните планове в областта на енергетиката и климата, подходящо включване на всички значими участници и съобразяване с местните условия.</w:t>
      </w:r>
    </w:p>
    <w:p>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гарантира, че с текущото преразглеждане на </w:t>
      </w:r>
      <w:r>
        <w:rPr>
          <w:rFonts w:ascii="Times New Roman" w:hAnsi="Times New Roman"/>
          <w:b/>
          <w:noProof/>
          <w:sz w:val="24"/>
        </w:rPr>
        <w:t>Регламента за TEN-E</w:t>
      </w:r>
      <w:r>
        <w:rPr>
          <w:rFonts w:ascii="Times New Roman" w:hAnsi="Times New Roman"/>
          <w:noProof/>
          <w:sz w:val="24"/>
        </w:rPr>
        <w:t xml:space="preserve"> той се привежда изцяло в съответствие с целите за неутралност по отношение на климата и дава възможност за ефективно по отношение на разходите интегриране на енергийната система, както и за интегрирането ѝ с цифровите и транспортните системи. Текущото преразглеждане на Регламента за трансевропейската транспортна мрежа (TEN-T) също ще има за цел постигането на полезни взаимодействия с Регламента за TEN-E, като целта е да се създадат допълнителни възможности за декарбонизация на транспорта чрез новата визия за планиране на енергийната инфраструктура.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В крайна сметка увеличаването на взаимозависимостта означава, че смущенията в един сектор могат да имат незабавно въздействие върху работата на други сектори и е необходим нов съгласуван подход към сигурността както при физическите, така и при цифровите инфраструктури. Новата стратегия за сигурност на Съюза ще бъде насочена както към инфраструктурата от критично значение, така и към киберсигурността, и трябва да бъде придружена от специфични секторни инициативи за справяне със специфичните рискове за инфраструктурите от критично значение като тези в рамките на интегрирана енергийна система и инфраструктура.</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jc w:val="both"/>
              <w:rPr>
                <w:rFonts w:ascii="Times New Roman" w:hAnsi="Times New Roman" w:cs="Times New Roman"/>
                <w:noProof/>
                <w:sz w:val="24"/>
                <w:szCs w:val="24"/>
              </w:rPr>
            </w:pP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szCs w:val="24"/>
              </w:rPr>
              <w:t xml:space="preserve">Да се гарантира, че с </w:t>
            </w:r>
            <w:r>
              <w:rPr>
                <w:rFonts w:ascii="Times New Roman" w:hAnsi="Times New Roman"/>
                <w:b/>
                <w:bCs/>
                <w:noProof/>
                <w:sz w:val="24"/>
                <w:szCs w:val="24"/>
              </w:rPr>
              <w:t>преразглеждането на регламентите за TEN-E и TEN-T</w:t>
            </w:r>
            <w:r>
              <w:rPr>
                <w:rFonts w:ascii="Times New Roman" w:hAnsi="Times New Roman"/>
                <w:noProof/>
                <w:sz w:val="24"/>
                <w:szCs w:val="24"/>
              </w:rPr>
              <w:t xml:space="preserve"> (съответно през 2020 г. и 2021 г.) се осигурява цялостна подкрепа за една по-интегрирана енергийна система, включително чрез повече полезни взаимодействия между енергийната и транспортната инфраструктура, както и постигането на целта за 15 % междусистемна електроенергийна свързаност за 2030 г.</w:t>
            </w:r>
          </w:p>
          <w:p>
            <w:pPr>
              <w:pStyle w:val="ListParagraph"/>
              <w:numPr>
                <w:ilvl w:val="0"/>
                <w:numId w:val="17"/>
              </w:numPr>
              <w:jc w:val="both"/>
              <w:rPr>
                <w:rFonts w:ascii="Times New Roman" w:hAnsi="Times New Roman" w:cs="Times New Roman"/>
                <w:noProof/>
                <w:sz w:val="24"/>
                <w:szCs w:val="24"/>
              </w:rPr>
            </w:pPr>
            <w:r>
              <w:rPr>
                <w:rFonts w:ascii="Times New Roman" w:hAnsi="Times New Roman"/>
                <w:b/>
                <w:bCs/>
                <w:noProof/>
                <w:sz w:val="24"/>
                <w:szCs w:val="24"/>
              </w:rPr>
              <w:t>Да се преразгледат обхватът и управлението на 10-годишните планове за развитие на мрежата</w:t>
            </w:r>
            <w:r>
              <w:rPr>
                <w:rFonts w:ascii="Times New Roman" w:hAnsi="Times New Roman"/>
                <w:noProof/>
                <w:sz w:val="24"/>
                <w:szCs w:val="24"/>
              </w:rPr>
              <w:t>, за да се гарантира пълно съответствие с целите на ЕС за декарбонизация и с междусекторното планиране на инфраструктурата като част от преразглеждането на Регламента за TEN-E (2020 г.) и на друго съответно законодателство (2021 г.).</w:t>
            </w:r>
          </w:p>
          <w:p>
            <w:pPr>
              <w:pStyle w:val="ListParagraph"/>
              <w:numPr>
                <w:ilvl w:val="0"/>
                <w:numId w:val="17"/>
              </w:numPr>
              <w:spacing w:after="120"/>
              <w:jc w:val="both"/>
              <w:rPr>
                <w:noProof/>
              </w:rPr>
            </w:pPr>
            <w:r>
              <w:rPr>
                <w:rFonts w:ascii="Times New Roman" w:hAnsi="Times New Roman"/>
                <w:noProof/>
                <w:sz w:val="24"/>
                <w:szCs w:val="24"/>
              </w:rPr>
              <w:t xml:space="preserve">Да се ускорят инвестициите в </w:t>
            </w:r>
            <w:r>
              <w:rPr>
                <w:rFonts w:ascii="Times New Roman" w:hAnsi="Times New Roman"/>
                <w:b/>
                <w:bCs/>
                <w:noProof/>
                <w:sz w:val="24"/>
                <w:szCs w:val="24"/>
              </w:rPr>
              <w:t>интелигентни, високоефективни, основани на възобновяеми източници районни отоплителни (топлофикационни) и охладителни мрежи</w:t>
            </w:r>
            <w:r>
              <w:rPr>
                <w:rFonts w:ascii="Times New Roman" w:hAnsi="Times New Roman"/>
                <w:noProof/>
                <w:sz w:val="24"/>
                <w:szCs w:val="24"/>
              </w:rPr>
              <w:t>, ако е целесъобразно, като се предложи въвеждането на по-големи задължения чрез преразглеждането на Директивата за енергията от възобновяеми източници и Директивата за енергийната ефективност (юни 2021 г.), както и финансирането на водещи проекти.</w:t>
            </w:r>
          </w:p>
        </w:tc>
      </w:tr>
    </w:tbl>
    <w:p>
      <w:pPr>
        <w:rPr>
          <w:noProof/>
          <w:lang w:eastAsia="nl-BE"/>
        </w:rPr>
      </w:pPr>
    </w:p>
    <w:p>
      <w:pPr>
        <w:pStyle w:val="Heading2"/>
        <w:numPr>
          <w:ilvl w:val="1"/>
          <w:numId w:val="12"/>
        </w:numPr>
        <w:rPr>
          <w:noProof/>
        </w:rPr>
      </w:pPr>
      <w:r>
        <w:rPr>
          <w:noProof/>
        </w:rPr>
        <w:t>Цифровизирана енергийна система и благоприятна рамка за иновации</w:t>
      </w:r>
    </w:p>
    <w:p>
      <w:pPr>
        <w:spacing w:after="240" w:line="240" w:lineRule="auto"/>
        <w:jc w:val="both"/>
        <w:rPr>
          <w:rFonts w:ascii="Times New Roman" w:hAnsi="Times New Roman" w:cs="Times New Roman"/>
          <w:noProof/>
          <w:sz w:val="24"/>
          <w:szCs w:val="24"/>
        </w:rPr>
      </w:pPr>
      <w:r>
        <w:rPr>
          <w:rFonts w:ascii="Times New Roman" w:hAnsi="Times New Roman"/>
          <w:b/>
          <w:bCs/>
          <w:noProof/>
          <w:sz w:val="24"/>
        </w:rPr>
        <w:t>Цифровизацията подпомага интеграцията на енергийната система</w:t>
      </w:r>
      <w:r>
        <w:rPr>
          <w:rFonts w:ascii="Times New Roman" w:hAnsi="Times New Roman"/>
          <w:noProof/>
          <w:sz w:val="24"/>
        </w:rPr>
        <w:t xml:space="preserve"> — тя може да благоприятства възникването на динамични и взаимосвързани потоци от енергоносители, да даде възможност за свързването на повече различни пазари едни с други и да предостави необходимите данни за съгласуване на производството и потреблението на енергия на по-местно равнище и почти в реално време. Чрез съчетаването на нови датчици, усъвършенствани инфраструктури за обмен на данни и възможности за обработка на данни, използващи големи информационни масиви, изкуствен интелект, 5G и технологии с разпределено регистриране може да се подобри прогнозирането, да се даде възможност за дистанционно наблюдение и управление на разпределеното производство и да се подобри оптимизирането на активите, включително използването на място на енергия от собствено производство. Цифровизацията също така е от ключово значение за изчерпването на пълния потенциал на гъвкавото потребление на енергия в различните сектори за ефективното интегриране на повече енергия от възобновяеми източници. В по-общ план цифровизацията предоставя възможност за постигане на икономически растеж и </w:t>
      </w:r>
      <w:r>
        <w:rPr>
          <w:rFonts w:ascii="Times New Roman" w:hAnsi="Times New Roman"/>
          <w:b/>
          <w:bCs/>
          <w:noProof/>
          <w:sz w:val="24"/>
        </w:rPr>
        <w:t>водещи позиции в областта на технологиите</w:t>
      </w:r>
      <w:r>
        <w:rPr>
          <w:rFonts w:ascii="Times New Roman" w:hAnsi="Times New Roman"/>
          <w:noProof/>
          <w:sz w:val="24"/>
        </w:rPr>
        <w:t xml:space="preserve"> в световен мащаб.</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Цифровизацията представлява предизвикателство предвид </w:t>
      </w:r>
      <w:r>
        <w:rPr>
          <w:rFonts w:ascii="Times New Roman" w:hAnsi="Times New Roman"/>
          <w:b/>
          <w:bCs/>
          <w:noProof/>
          <w:sz w:val="24"/>
          <w:szCs w:val="24"/>
        </w:rPr>
        <w:t>нарасналото потребление на енергия</w:t>
      </w:r>
      <w:r>
        <w:rPr>
          <w:rFonts w:ascii="Times New Roman" w:hAnsi="Times New Roman"/>
          <w:noProof/>
          <w:sz w:val="24"/>
          <w:szCs w:val="24"/>
        </w:rPr>
        <w:t xml:space="preserve"> за оборудване на ИКТ, мрежи и услуги, което трябва да бъде адекватно управлявано в контекста на интегрирана енергийна система. Цифровизацията също така води до други предизвикателства за енергийния сектор, по-специално по отношение на </w:t>
      </w:r>
      <w:r>
        <w:rPr>
          <w:rFonts w:ascii="Times New Roman" w:hAnsi="Times New Roman"/>
          <w:b/>
          <w:bCs/>
          <w:noProof/>
          <w:sz w:val="24"/>
          <w:szCs w:val="24"/>
        </w:rPr>
        <w:t>етиката, неприкосновеността на личния живот и киберсигурността</w:t>
      </w:r>
      <w:r>
        <w:rPr>
          <w:rFonts w:ascii="Times New Roman" w:hAnsi="Times New Roman"/>
          <w:noProof/>
          <w:sz w:val="24"/>
          <w:szCs w:val="24"/>
        </w:rPr>
        <w:t xml:space="preserve">, като се отчитат специфичните особености на енергийния сектор.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Един засягащ цялата система </w:t>
      </w:r>
      <w:r>
        <w:rPr>
          <w:rFonts w:ascii="Times New Roman" w:hAnsi="Times New Roman"/>
          <w:b/>
          <w:noProof/>
          <w:sz w:val="24"/>
          <w:szCs w:val="24"/>
        </w:rPr>
        <w:t>план за цифровизация на енергетиката</w:t>
      </w:r>
      <w:r>
        <w:rPr>
          <w:rFonts w:ascii="Times New Roman" w:hAnsi="Times New Roman"/>
          <w:noProof/>
          <w:sz w:val="24"/>
          <w:szCs w:val="24"/>
        </w:rPr>
        <w:t xml:space="preserve"> би могъл да ускори прилагането на цифрови решения въз основа на общото европейско пространство за енергийни данни</w:t>
      </w:r>
      <w:r>
        <w:rPr>
          <w:noProof/>
          <w:vertAlign w:val="superscript"/>
        </w:rPr>
        <w:footnoteReference w:id="56"/>
      </w:r>
      <w:r>
        <w:rPr>
          <w:rFonts w:ascii="Times New Roman" w:hAnsi="Times New Roman"/>
          <w:noProof/>
          <w:sz w:val="24"/>
          <w:szCs w:val="24"/>
        </w:rPr>
        <w:t xml:space="preserve">, обявено в Европейската стратегия за данните. Като част от действията за прилагане на пакета за чиста енергия с него ще се въведат интелигентни измервателни уреди, ще се насърчи оптимизацията на потреблението и ще се осигури оперативната съвместимост на данните, свързани с енергопотреблението. Чрез него също така ще се използват възможностите за финансиране от ЕС, като например Механизмът за свързване на Европа, InvestEU, програмата „Цифрова Европа“ и структурните фондове с цел широко внедряване на решения, разработени в рамките на „Хоризонт Европа“.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Освен всичко друго, </w:t>
      </w:r>
      <w:r>
        <w:rPr>
          <w:rFonts w:ascii="Times New Roman" w:hAnsi="Times New Roman"/>
          <w:b/>
          <w:noProof/>
          <w:sz w:val="24"/>
          <w:szCs w:val="24"/>
        </w:rPr>
        <w:t>научните изследвания и иновациите</w:t>
      </w:r>
      <w:r>
        <w:rPr>
          <w:rFonts w:ascii="Times New Roman" w:hAnsi="Times New Roman"/>
          <w:noProof/>
          <w:sz w:val="24"/>
          <w:szCs w:val="24"/>
        </w:rPr>
        <w:t xml:space="preserve"> ще бъдат ключов фактор за създаване и използване на нови полезни взаимодействия в енергийната система, например по отношение на електромобилността, отоплението или декарбонизацията на енергоемките отрасли. Научните изследвания следва да се съсредоточат върху създаването на условия за навлизане на пазара на технологии с по-ниска степен на зрялост, а използването на по-зрелите и иновативни технологии следва да бъде разширено чрез широкомащабни демонстрации посредством предложената програма „Хоризонт Европа“ и нейните партньорства, както и чрез използване на взаимното допълване между различните програми за финансиране от ЕС. Технологичното развитие трябва да върви ръка за ръка с обществените иновации.</w:t>
      </w:r>
    </w:p>
    <w:tbl>
      <w:tblPr>
        <w:tblStyle w:val="TableGrid"/>
        <w:tblW w:w="0" w:type="auto"/>
        <w:shd w:val="clear" w:color="auto" w:fill="DBE5F1" w:themeFill="accent1" w:themeFillTint="33"/>
        <w:tblLook w:val="04A0" w:firstRow="1" w:lastRow="0" w:firstColumn="1" w:lastColumn="0" w:noHBand="0" w:noVBand="1"/>
      </w:tblPr>
      <w:tblGrid>
        <w:gridCol w:w="9288"/>
      </w:tblGrid>
      <w:tr>
        <w:tc>
          <w:tcPr>
            <w:tcW w:w="9288" w:type="dxa"/>
            <w:shd w:val="clear" w:color="auto" w:fill="DBE5F1" w:themeFill="accent1" w:themeFillTint="33"/>
          </w:tcPr>
          <w:p>
            <w:pPr>
              <w:spacing w:before="120"/>
              <w:jc w:val="center"/>
              <w:rPr>
                <w:rFonts w:ascii="Times New Roman" w:hAnsi="Times New Roman" w:cs="Times New Roman"/>
                <w:b/>
                <w:bCs/>
                <w:noProof/>
                <w:sz w:val="24"/>
                <w:szCs w:val="24"/>
              </w:rPr>
            </w:pPr>
            <w:r>
              <w:rPr>
                <w:rFonts w:ascii="Times New Roman" w:hAnsi="Times New Roman"/>
                <w:b/>
                <w:bCs/>
                <w:noProof/>
                <w:sz w:val="24"/>
                <w:szCs w:val="24"/>
              </w:rPr>
              <w:t>Ключови действия</w:t>
            </w:r>
          </w:p>
          <w:p>
            <w:pPr>
              <w:jc w:val="both"/>
              <w:rPr>
                <w:rFonts w:ascii="Times New Roman" w:hAnsi="Times New Roman" w:cs="Times New Roman"/>
                <w:noProof/>
                <w:sz w:val="24"/>
                <w:szCs w:val="24"/>
              </w:rPr>
            </w:pPr>
          </w:p>
          <w:p>
            <w:pPr>
              <w:pStyle w:val="ListParagraph"/>
              <w:numPr>
                <w:ilvl w:val="0"/>
                <w:numId w:val="17"/>
              </w:numPr>
              <w:jc w:val="both"/>
              <w:rPr>
                <w:rFonts w:ascii="Times New Roman" w:hAnsi="Times New Roman" w:cs="Times New Roman"/>
                <w:noProof/>
                <w:sz w:val="24"/>
                <w:szCs w:val="24"/>
              </w:rPr>
            </w:pPr>
            <w:r>
              <w:rPr>
                <w:rFonts w:ascii="Times New Roman" w:hAnsi="Times New Roman"/>
                <w:noProof/>
                <w:sz w:val="24"/>
              </w:rPr>
              <w:t xml:space="preserve">Да се приеме </w:t>
            </w:r>
            <w:r>
              <w:rPr>
                <w:rFonts w:ascii="Times New Roman" w:hAnsi="Times New Roman"/>
                <w:b/>
                <w:bCs/>
                <w:noProof/>
                <w:sz w:val="24"/>
              </w:rPr>
              <w:t>план за действие за цифровизация на енергетиката</w:t>
            </w:r>
            <w:r>
              <w:rPr>
                <w:rFonts w:ascii="Times New Roman" w:hAnsi="Times New Roman"/>
                <w:noProof/>
                <w:sz w:val="24"/>
              </w:rPr>
              <w:t xml:space="preserve"> с цел развиване на конкурентен пазар за цифрови енергийни услуги, който гарантира неприкосновеността на личните данни и суверенитета върху данните, и подкрепя инвестициите в цифрова енергийна инфраструктура (2021 г.).</w:t>
            </w:r>
          </w:p>
          <w:p>
            <w:pPr>
              <w:pStyle w:val="ListParagraph"/>
              <w:numPr>
                <w:ilvl w:val="0"/>
                <w:numId w:val="17"/>
              </w:numPr>
              <w:spacing w:after="200"/>
              <w:jc w:val="both"/>
              <w:rPr>
                <w:rFonts w:ascii="Times New Roman" w:hAnsi="Times New Roman" w:cs="Times New Roman"/>
                <w:noProof/>
                <w:sz w:val="24"/>
                <w:szCs w:val="24"/>
              </w:rPr>
            </w:pPr>
            <w:r>
              <w:rPr>
                <w:rFonts w:ascii="Times New Roman" w:hAnsi="Times New Roman"/>
                <w:noProof/>
                <w:sz w:val="24"/>
                <w:szCs w:val="24"/>
              </w:rPr>
              <w:t xml:space="preserve">Да се разработи Мрежов кодекс относно </w:t>
            </w:r>
            <w:r>
              <w:rPr>
                <w:rFonts w:ascii="Times New Roman" w:hAnsi="Times New Roman"/>
                <w:b/>
                <w:bCs/>
                <w:noProof/>
                <w:sz w:val="24"/>
                <w:szCs w:val="24"/>
              </w:rPr>
              <w:t>киберсигурността в електроенергетиката</w:t>
            </w:r>
            <w:r>
              <w:rPr>
                <w:rStyle w:val="FootnoteReference"/>
                <w:rFonts w:ascii="Times New Roman" w:hAnsi="Times New Roman" w:cs="Times New Roman"/>
                <w:b/>
                <w:bCs/>
                <w:noProof/>
                <w:sz w:val="24"/>
                <w:szCs w:val="24"/>
              </w:rPr>
              <w:footnoteReference w:id="57"/>
            </w:r>
            <w:r>
              <w:rPr>
                <w:rFonts w:ascii="Times New Roman" w:hAnsi="Times New Roman"/>
                <w:noProof/>
                <w:sz w:val="24"/>
                <w:szCs w:val="24"/>
              </w:rPr>
              <w:t xml:space="preserve"> със специфични за сектора правила за повишаване на устойчивостта и подобряване на свързаните с киберсигурността аспекти на трансграничните потоци на електроенергия, общи минимални изисквания, планиране, наблюдение, докладване и управление на кризи (до края на 2021 г.).</w:t>
            </w:r>
          </w:p>
          <w:p>
            <w:pPr>
              <w:pStyle w:val="ListParagraph"/>
              <w:numPr>
                <w:ilvl w:val="0"/>
                <w:numId w:val="17"/>
              </w:numPr>
              <w:spacing w:after="200"/>
              <w:jc w:val="both"/>
              <w:rPr>
                <w:rFonts w:ascii="Times New Roman" w:hAnsi="Times New Roman" w:cs="Times New Roman"/>
                <w:noProof/>
                <w:sz w:val="24"/>
                <w:szCs w:val="24"/>
              </w:rPr>
            </w:pPr>
            <w:r>
              <w:rPr>
                <w:rFonts w:ascii="Times New Roman" w:hAnsi="Times New Roman"/>
                <w:noProof/>
                <w:sz w:val="24"/>
                <w:szCs w:val="24"/>
              </w:rPr>
              <w:t xml:space="preserve">Да се приемат актовете за изпълнение относно изискванията за </w:t>
            </w:r>
            <w:r>
              <w:rPr>
                <w:rFonts w:ascii="Times New Roman" w:hAnsi="Times New Roman"/>
                <w:b/>
                <w:bCs/>
                <w:noProof/>
                <w:sz w:val="24"/>
                <w:szCs w:val="24"/>
              </w:rPr>
              <w:t>оперативна съвместимост</w:t>
            </w:r>
            <w:r>
              <w:rPr>
                <w:rFonts w:ascii="Times New Roman" w:hAnsi="Times New Roman"/>
                <w:noProof/>
                <w:sz w:val="24"/>
                <w:szCs w:val="24"/>
              </w:rPr>
              <w:t xml:space="preserve"> и прозрачни процедури за достъп до данните в рамките на ЕС (първото през 2021 г.)</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w:t>
            </w:r>
          </w:p>
          <w:p>
            <w:pPr>
              <w:pStyle w:val="ListParagraph"/>
              <w:numPr>
                <w:ilvl w:val="0"/>
                <w:numId w:val="17"/>
              </w:numPr>
              <w:spacing w:after="120"/>
              <w:jc w:val="both"/>
              <w:rPr>
                <w:rFonts w:ascii="Times New Roman" w:hAnsi="Times New Roman" w:cs="Times New Roman"/>
                <w:noProof/>
                <w:sz w:val="24"/>
                <w:szCs w:val="24"/>
              </w:rPr>
            </w:pPr>
            <w:r>
              <w:rPr>
                <w:rFonts w:ascii="Times New Roman" w:hAnsi="Times New Roman"/>
                <w:noProof/>
                <w:sz w:val="24"/>
                <w:szCs w:val="24"/>
              </w:rPr>
              <w:t xml:space="preserve">Да се публикуват нови </w:t>
            </w:r>
            <w:r>
              <w:rPr>
                <w:rFonts w:ascii="Times New Roman" w:hAnsi="Times New Roman"/>
                <w:b/>
                <w:noProof/>
                <w:sz w:val="24"/>
                <w:szCs w:val="24"/>
              </w:rPr>
              <w:t>перспективи за ориентирани към въздействието научни изследвания и иновации в областта на чистата енергия</w:t>
            </w:r>
            <w:r>
              <w:rPr>
                <w:rFonts w:ascii="Times New Roman" w:hAnsi="Times New Roman"/>
                <w:noProof/>
                <w:sz w:val="24"/>
                <w:szCs w:val="24"/>
              </w:rPr>
              <w:t xml:space="preserve"> в ЕС, с цел да се гарантира, че научните изследвания и иновациите подпомагат интеграцията на енергийната система (до края на 2020 г.).</w:t>
            </w:r>
          </w:p>
        </w:tc>
      </w:tr>
    </w:tbl>
    <w:p>
      <w:pPr>
        <w:pStyle w:val="Heading1"/>
        <w:numPr>
          <w:ilvl w:val="0"/>
          <w:numId w:val="12"/>
        </w:numPr>
        <w:ind w:left="482" w:hanging="482"/>
        <w:rPr>
          <w:noProof/>
        </w:rPr>
      </w:pPr>
      <w:r>
        <w:rPr>
          <w:noProof/>
        </w:rPr>
        <w:t>Заключения</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 настоящото съобщение се определят стратегия и набор от действия, които да гарантират, че интеграцията на енергийната система ще допринесе за възникването на енергийната система на бъдещето — ефикасна, устойчива, сигурна и насочена към постигането на двояката цел за по-чиста планета и за по-силна икономика за всички.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Сега повече от всякога преходът към по-интегрирана енергийна система е от решаващо значение за Европа. Първо, заради възстановяването. Избухването на епидемията от COVID-19 отслаби европейската икономика и подкопава бъдещия просперитет на европейските граждани и предприятия. Настоящата стратегия е част от плана за възстановяване. В нея се предлага път за развитие, който е ефективен по отношение на разходите, насърчава добре насочени инвестиции в инфраструктурата, избягва блокирането на активи и води до по-ниски разходи за предприятията и потребителите. Накратко, тя е от ключово значение за ускоряване на излизането на ЕС от кризата и за мобилизиране на необходимото финансиране от ЕС, включително от Кохезионния фонд, както и на частните инвестиции. Второ, заради неутралността по отношение на климата. Интеграцията на енергийната система е от съществено значение за постигане на завишените цели по отношение на климата до 2030 г. и на неутралност по отношение на климата до 2050 г. Тя използва потенциала на енергийната ефективност и дава възможност за по-голяма интеграция на възобновяемите енергийни източници и за въвеждането на нови, декарбонизирани горива, както и за по-близък до модела на кръговата икономика подход към производството и преноса на енергия.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И накрая, една наистина интегрирана енергийна система е от жизненоважно значение за формирането на водещата позиция на Европа в световен мащаб в областта на технологиите за чиста енергия, като се използват съществуващите силни страни на Европа — една вече завоювана водеща позиция в областта на енергията от възобновяеми източници; регионален подход към експлоатацията на системата и планирането на инфраструктурата; либерализирани енергийни пазари; и високи постижения в областта на иновациите в енергетиката и цифровизацията.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Все още сме далеч от целта за 2050 г. За да я постигнем е необходимо спешно да се предприемат действия, които са както фундаментални, така и всеобхватни. Пакетът за чиста енергия, приет през 2018—2019 г., полага основите за интеграция на системата и следва да бъде изцяло приложен. В контекста на Зеления пакт новите действия, очертани в настоящото съобщение, ще добавят размаха и скоростта, необходими за прехода към енергийната система на бъдещето, и ще допринесат за осъществяване на нарасналите амбиции на ЕС в областта на климата и за оформянето на законодателните промени, които ще бъдат предложени през юни 2021 г. Сега е времето да се действа.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Очевидно интеграцията на системата не може да се осъществи чрез един общовалиден процес: въпреки общата цел за неутралност по отношение на климата до 2050 г. държавите — членки на ЕС имат различни отправни точки. Поради това държавите членки ще следват различни пътища в зависимост от съответните обстоятелства, финансирането и избора на политики, които са вече отразени в съответните национални планове в областта на енергетиката и климата (НПЕК). Настоящата стратегия осигурява инструмент за насочване на тези усилия в една и съща посока.</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Гражданите играят централна роля за интеграцията на системата. Това означава, че те следва да допринасят за конкретната форма на прилагане на настоящата стратегия, като използват пакта за климата, както и други съществуващи граждански форуми за развитие на програмата за интеграция на системата. </w:t>
      </w:r>
    </w:p>
    <w:p>
      <w:pPr>
        <w:spacing w:after="240" w:line="240" w:lineRule="auto"/>
        <w:jc w:val="both"/>
        <w:rPr>
          <w:rFonts w:ascii="Times New Roman" w:hAnsi="Times New Roman" w:cs="Times New Roman"/>
          <w:noProof/>
        </w:rPr>
      </w:pPr>
      <w:r>
        <w:rPr>
          <w:rFonts w:ascii="Times New Roman" w:hAnsi="Times New Roman"/>
          <w:noProof/>
          <w:sz w:val="24"/>
        </w:rPr>
        <w:t xml:space="preserve">С настоящия документ Комисията приканва Съвета, Парламента, другите институции на ЕС и всички заинтересовани страни да се съсредоточат върху начините за постигане на напредък в интеграцията на енергийната система в Европа. Тя възнамерява да покани заинтересованите страни да разискват в рамките на </w:t>
      </w:r>
      <w:r>
        <w:rPr>
          <w:rFonts w:ascii="Times New Roman" w:hAnsi="Times New Roman"/>
          <w:b/>
          <w:noProof/>
          <w:sz w:val="24"/>
        </w:rPr>
        <w:t>голямо специално организирано публично събитие</w:t>
      </w:r>
      <w:r>
        <w:rPr>
          <w:rFonts w:ascii="Times New Roman" w:hAnsi="Times New Roman"/>
          <w:noProof/>
          <w:sz w:val="24"/>
        </w:rPr>
        <w:t xml:space="preserve"> в края на тази година и да се включат в обществените консултации и</w:t>
      </w:r>
      <w:r>
        <w:rPr>
          <w:rFonts w:ascii="Times New Roman" w:hAnsi="Times New Roman"/>
          <w:b/>
          <w:noProof/>
          <w:sz w:val="24"/>
        </w:rPr>
        <w:t xml:space="preserve"> оценките на въздействието, които ще подкрепят подготовката на предложенията за последващи действия, предвидени за 2021 г. и след това</w:t>
      </w:r>
      <w:r>
        <w:rPr>
          <w:rFonts w:ascii="Times New Roman" w:hAnsi="Times New Roman"/>
          <w:noProof/>
          <w:sz w:val="24"/>
        </w:rPr>
        <w:t>.</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1141484"/>
      <w:docPartObj>
        <w:docPartGallery w:val="Page Numbers (Bottom of Page)"/>
        <w:docPartUnique/>
      </w:docPartObj>
    </w:sdtPr>
    <w:sdtEndPr>
      <w:rPr>
        <w:noProof/>
        <w:sz w:val="20"/>
        <w:szCs w:val="20"/>
      </w:rPr>
    </w:sdtEndPr>
    <w:sdtContent>
      <w:p>
        <w:pPr>
          <w:pStyle w:val="Footer"/>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369" w:hanging="369"/>
      </w:pPr>
      <w:r>
        <w:rPr>
          <w:rStyle w:val="FootnoteReference"/>
        </w:rPr>
        <w:footnoteRef/>
      </w:r>
      <w:r>
        <w:tab/>
      </w:r>
      <w:r>
        <w:rPr>
          <w:rFonts w:ascii="Times New Roman" w:hAnsi="Times New Roman"/>
        </w:rPr>
        <w:t xml:space="preserve">COM(2019) 640 final. </w:t>
      </w:r>
    </w:p>
  </w:footnote>
  <w:footnote w:id="3">
    <w:p>
      <w:pPr>
        <w:pStyle w:val="FootnoteText"/>
        <w:ind w:left="369" w:hanging="369"/>
      </w:pPr>
      <w:r>
        <w:rPr>
          <w:rStyle w:val="FootnoteReference"/>
        </w:rPr>
        <w:footnoteRef/>
      </w:r>
      <w:r>
        <w:tab/>
      </w:r>
      <w:r>
        <w:rPr>
          <w:rFonts w:ascii="Times New Roman" w:hAnsi="Times New Roman"/>
        </w:rPr>
        <w:t xml:space="preserve">„Часът на Европа: възстановяване и подготовка за следващото поколение“, COM(2020) 456 final. </w:t>
      </w:r>
    </w:p>
  </w:footnote>
  <w:footnote w:id="4">
    <w:p>
      <w:pPr>
        <w:pStyle w:val="FootnoteText"/>
        <w:tabs>
          <w:tab w:val="left" w:pos="426"/>
        </w:tabs>
        <w:rPr>
          <w:rFonts w:ascii="Times New Roman" w:hAnsi="Times New Roman"/>
        </w:rPr>
      </w:pPr>
      <w:r>
        <w:rPr>
          <w:rStyle w:val="FootnoteReference"/>
        </w:rPr>
        <w:footnoteRef/>
      </w:r>
      <w:r>
        <w:t xml:space="preserve"> </w:t>
      </w:r>
      <w:r>
        <w:tab/>
      </w:r>
      <w:r>
        <w:rPr>
          <w:rFonts w:ascii="Times New Roman" w:hAnsi="Times New Roman"/>
        </w:rPr>
        <w:t>Регламент (ЕС) 2020/852 на Европейския парламент и на Съвета от 18 юни 2020 година за създаване на рамка за улесняване на устойчивите инвестиции и за изменение на Регламент (ЕС) 2019/2088.</w:t>
      </w:r>
    </w:p>
  </w:footnote>
  <w:footnote w:id="5">
    <w:p>
      <w:pPr>
        <w:pStyle w:val="FootnoteText"/>
        <w:ind w:left="369" w:hanging="369"/>
      </w:pPr>
      <w:r>
        <w:rPr>
          <w:rStyle w:val="FootnoteReference"/>
        </w:rPr>
        <w:footnoteRef/>
      </w:r>
      <w:r>
        <w:tab/>
      </w:r>
      <w:r>
        <w:rPr>
          <w:rFonts w:ascii="Times New Roman" w:hAnsi="Times New Roman"/>
        </w:rPr>
        <w:t>https://ec.europa.eu/energy/topics/energy-strategy/clean-energy-all-europeans_en.</w:t>
      </w:r>
    </w:p>
  </w:footnote>
  <w:footnote w:id="6">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COM(2020) 301 final</w:t>
      </w:r>
      <w:r>
        <w:t>.</w:t>
      </w:r>
    </w:p>
  </w:footnote>
  <w:footnote w:id="7">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 xml:space="preserve">Например електрическите превозни средства имат КПД от около 60 % в сравнение с 20 % за двигателите с вътрешно горене, измерен в участъка „от резервоара до потребителя“, а термопомпите могат да доставят топлина, за чието производство се нуждаят само от една трета от входящата енергия, необходима на котлите. </w:t>
      </w:r>
    </w:p>
  </w:footnote>
  <w:footnote w:id="8">
    <w:p>
      <w:pPr>
        <w:pStyle w:val="FootnoteText"/>
        <w:ind w:left="369" w:hanging="369"/>
        <w:rPr>
          <w:rFonts w:ascii="Times New Roman" w:hAnsi="Times New Roman"/>
        </w:rPr>
      </w:pPr>
      <w:r>
        <w:rPr>
          <w:rStyle w:val="FootnoteReference"/>
        </w:rPr>
        <w:footnoteRef/>
      </w:r>
      <w:r>
        <w:tab/>
      </w:r>
      <w:r>
        <w:rPr>
          <w:rFonts w:ascii="Times New Roman" w:hAnsi="Times New Roman"/>
        </w:rPr>
        <w:t>Вж. COM(2018) 773 final, „Чиста планета за всички“. Европейска стратегическа дългосрочна визия за просперираща, модерна, конкурентоспособна и неутрална по отношение на климата икономика“. Задълбочен анализ в подкрепа на съобщението на Комисията (LTS), фигура 18: -21 % в 1.5TECH и -32 % в 1.5LIFE.</w:t>
      </w:r>
    </w:p>
  </w:footnote>
  <w:footnote w:id="9">
    <w:p>
      <w:pPr>
        <w:pStyle w:val="FootnoteText"/>
        <w:ind w:left="369" w:hanging="369"/>
        <w:rPr>
          <w:rFonts w:ascii="Times New Roman" w:hAnsi="Times New Roman"/>
        </w:rPr>
      </w:pPr>
      <w:r>
        <w:rPr>
          <w:rStyle w:val="FootnoteReference"/>
        </w:rPr>
        <w:footnoteRef/>
      </w:r>
      <w:r>
        <w:tab/>
      </w:r>
      <w:r>
        <w:rPr>
          <w:rFonts w:ascii="Times New Roman" w:hAnsi="Times New Roman"/>
        </w:rPr>
        <w:t>Вж. LTS, фигура 92: БВП за 2050 г. между 166 % и 174 % от БВП за 2015 г. или между 154 % и 161 % от БВП за 2020 г.</w:t>
      </w:r>
    </w:p>
  </w:footnote>
  <w:footnote w:id="10">
    <w:p>
      <w:pPr>
        <w:pStyle w:val="FootnoteText"/>
        <w:ind w:left="369" w:hanging="369"/>
        <w:rPr>
          <w:rFonts w:ascii="Times New Roman" w:hAnsi="Times New Roman"/>
        </w:rPr>
      </w:pPr>
      <w:r>
        <w:rPr>
          <w:rStyle w:val="FootnoteReference"/>
        </w:rPr>
        <w:footnoteRef/>
      </w:r>
      <w:r>
        <w:tab/>
      </w:r>
      <w:r>
        <w:rPr>
          <w:rFonts w:ascii="Times New Roman" w:hAnsi="Times New Roman"/>
        </w:rPr>
        <w:t>Водният отпечатък на производството на енергия в ЕС е бил 198 km3 или 1068 литра на човек за ден през 2015 г., или, ако се включи  вносът на енергия, 242 km3 или 1301 литра на човек за ден. Източник: Water – Energy Nexus in Europe (Връзка между водата и енергията в Европа), JRC, 2019 г.</w:t>
      </w:r>
    </w:p>
  </w:footnote>
  <w:footnote w:id="11">
    <w:p>
      <w:pPr>
        <w:pStyle w:val="FootnoteText"/>
        <w:ind w:left="369" w:hanging="369"/>
        <w:rPr>
          <w:rFonts w:ascii="Times New Roman" w:hAnsi="Times New Roman"/>
        </w:rPr>
      </w:pPr>
      <w:r>
        <w:rPr>
          <w:rStyle w:val="FootnoteReference"/>
        </w:rPr>
        <w:footnoteRef/>
      </w:r>
      <w:r>
        <w:rPr>
          <w:rStyle w:val="FootnoteReference"/>
        </w:rPr>
        <w:t xml:space="preserve"> </w:t>
      </w:r>
      <w:r>
        <w:rPr>
          <w:rFonts w:ascii="Times New Roman" w:hAnsi="Times New Roman"/>
        </w:rPr>
        <w:t xml:space="preserve"> </w:t>
      </w:r>
      <w:r>
        <w:tab/>
      </w:r>
      <w:r>
        <w:rPr>
          <w:rFonts w:ascii="Times New Roman" w:hAnsi="Times New Roman"/>
        </w:rPr>
        <w:t>Съгласно проучването METIS-2 S6 при базовия сценарий 186 TWh от общата дневна необходимост от гъвкавост, възлизаща на 951 TWh, ще се осигуряват от електрически превозни средства. Проучването ще бъде публикувано.</w:t>
      </w:r>
    </w:p>
  </w:footnote>
  <w:footnote w:id="12">
    <w:p>
      <w:pPr>
        <w:pStyle w:val="FootnoteText"/>
        <w:ind w:left="369" w:hanging="369"/>
        <w:rPr>
          <w:vertAlign w:val="superscript"/>
        </w:rPr>
      </w:pPr>
      <w:r>
        <w:rPr>
          <w:rStyle w:val="FootnoteReference"/>
        </w:rPr>
        <w:footnoteRef/>
      </w:r>
      <w:r>
        <w:rPr>
          <w:rStyle w:val="FootnoteReference"/>
        </w:rPr>
        <w:t xml:space="preserve"> </w:t>
      </w:r>
      <w:r>
        <w:rPr>
          <w:rFonts w:ascii="Times New Roman" w:hAnsi="Times New Roman"/>
        </w:rPr>
        <w:t xml:space="preserve"> </w:t>
      </w:r>
      <w:r>
        <w:tab/>
      </w:r>
      <w:r>
        <w:rPr>
          <w:rFonts w:ascii="Times New Roman" w:hAnsi="Times New Roman"/>
        </w:rPr>
        <w:t>Термопомпи, свързани към котел.</w:t>
      </w:r>
    </w:p>
  </w:footnote>
  <w:footnote w:id="13">
    <w:p>
      <w:pPr>
        <w:pStyle w:val="FootnoteText"/>
        <w:ind w:left="369" w:hanging="369"/>
        <w:rPr>
          <w:rFonts w:ascii="Times New Roman" w:hAnsi="Times New Roman"/>
        </w:rPr>
      </w:pPr>
      <w:r>
        <w:rPr>
          <w:rStyle w:val="FootnoteReference"/>
        </w:rPr>
        <w:footnoteRef/>
      </w:r>
      <w:r>
        <w:tab/>
      </w:r>
      <w:r>
        <w:rPr>
          <w:rFonts w:ascii="Times New Roman" w:hAnsi="Times New Roman"/>
        </w:rPr>
        <w:t>Kavvadias, K., Jimenez Navarro, J. and Thomassen, G., „Decarbonising the EU heating sector: Integration of the power and heating sector“ (Декарбонизиране на сектора на отоплението в ЕС: Интегриране на електроенергийния сектор и сектора на отоплението), 2019 г.</w:t>
      </w:r>
    </w:p>
  </w:footnote>
  <w:footnote w:id="14">
    <w:p>
      <w:pPr>
        <w:pStyle w:val="FootnoteText"/>
        <w:ind w:left="369" w:hanging="369"/>
        <w:rPr>
          <w:rFonts w:ascii="Times New Roman" w:hAnsi="Times New Roman"/>
        </w:rPr>
      </w:pPr>
      <w:r>
        <w:rPr>
          <w:rStyle w:val="FootnoteReference"/>
        </w:rPr>
        <w:footnoteRef/>
      </w:r>
      <w:r>
        <w:tab/>
      </w:r>
      <w:r>
        <w:rPr>
          <w:rFonts w:ascii="Times New Roman" w:hAnsi="Times New Roman"/>
        </w:rPr>
        <w:t>Директива (ЕС) 2018/2002.</w:t>
      </w:r>
    </w:p>
  </w:footnote>
  <w:footnote w:id="15">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Директива (ЕС) 2018/844.</w:t>
      </w:r>
    </w:p>
  </w:footnote>
  <w:footnote w:id="16">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Коефициентът на първична енергия показва количеството  енергия от първични енергоносители, използвана за генериране на единица крайна енергия (електрическа или топлинна), което дава възможност за сравняване на потреблението на първична енергия на продукти с едни и същи функционални възможности, използващи различни енергоносители. Той трябва да се преразглежда периодично в съответствие с приложение IV към Директивата за енергийната ефективност.</w:t>
      </w:r>
    </w:p>
  </w:footnote>
  <w:footnote w:id="17">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СОМ(2020) 98 final.</w:t>
      </w:r>
    </w:p>
  </w:footnote>
  <w:footnote w:id="18">
    <w:p>
      <w:pPr>
        <w:pStyle w:val="FootnoteText"/>
        <w:ind w:left="369" w:hanging="369"/>
        <w:rPr>
          <w:rFonts w:ascii="Times New Roman" w:hAnsi="Times New Roman"/>
        </w:rPr>
      </w:pPr>
      <w:r>
        <w:rPr>
          <w:rStyle w:val="FootnoteReference"/>
        </w:rPr>
        <w:footnoteRef/>
      </w:r>
      <w:r>
        <w:tab/>
      </w:r>
      <w:r>
        <w:rPr>
          <w:rFonts w:ascii="Times New Roman" w:hAnsi="Times New Roman"/>
        </w:rPr>
        <w:t>C(2018) 7118 final.</w:t>
      </w:r>
    </w:p>
  </w:footnote>
  <w:footnote w:id="19">
    <w:p>
      <w:pPr>
        <w:pStyle w:val="FootnoteText"/>
        <w:ind w:left="369" w:hanging="369"/>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Потреблението на електроенергия от пречиствателните станции за отпадъчни води е почти 1 % от потреблението на електроенергия в Европа. Това потребление може да бъде намалено с по-ефективни технологии, а извличането на енергия от тези централи може да се подобри.</w:t>
      </w:r>
    </w:p>
  </w:footnote>
  <w:footnote w:id="20">
    <w:p>
      <w:pPr>
        <w:pStyle w:val="FootnoteText"/>
        <w:ind w:left="369" w:hanging="369"/>
        <w:rPr>
          <w:rFonts w:ascii="Times New Roman" w:hAnsi="Times New Roman"/>
        </w:rPr>
      </w:pPr>
      <w:r>
        <w:rPr>
          <w:rStyle w:val="FootnoteReference"/>
        </w:rPr>
        <w:footnoteRef/>
      </w:r>
      <w:r>
        <w:tab/>
      </w:r>
      <w:r>
        <w:rPr>
          <w:rFonts w:ascii="Times New Roman" w:hAnsi="Times New Roman"/>
        </w:rPr>
        <w:t>Общият потенциал за увеличаване на производството на биогаз от отпадъци и остатъци остава висок и ако бъде използван изцяло, може да доведе до равнища на производство на биогаз и биометан през 2030 г., покриващи между 2,7 и 3,7 % от потреблението на енергия в ЕС през 2030 г. Вж. CE Delft, Eclareon, Wageningen Research, Optimal use of biogas from waste streams. An assessment of the potential of biogas from digestion in the EU beyond 2020 („Оптимално използване на биогаз от потоци от отпадъци – Оценка на потенциала на биогаз от разлагане в ЕС след 2020 г.“), 2017 г.</w:t>
      </w:r>
    </w:p>
  </w:footnote>
  <w:footnote w:id="21">
    <w:p>
      <w:pPr>
        <w:pStyle w:val="FootnoteText"/>
        <w:ind w:left="369" w:hanging="369"/>
        <w:jc w:val="both"/>
        <w:rPr>
          <w:rFonts w:ascii="Times New Roman" w:hAnsi="Times New Roman"/>
        </w:rPr>
      </w:pPr>
      <w:r>
        <w:rPr>
          <w:rStyle w:val="FootnoteReference"/>
        </w:rPr>
        <w:footnoteRef/>
      </w:r>
      <w:r>
        <w:rPr>
          <w:rFonts w:ascii="Times New Roman" w:hAnsi="Times New Roman"/>
        </w:rPr>
        <w:t xml:space="preserve"> </w:t>
      </w:r>
      <w:r>
        <w:tab/>
      </w:r>
      <w:r>
        <w:rPr>
          <w:rFonts w:ascii="Times New Roman" w:hAnsi="Times New Roman"/>
        </w:rPr>
        <w:t>Регламент за трансевропейските енергийни мрежи, Регламент (ЕС) № 347/2013.</w:t>
      </w:r>
    </w:p>
  </w:footnote>
  <w:footnote w:id="22">
    <w:p>
      <w:pPr>
        <w:pStyle w:val="FootnoteText"/>
        <w:ind w:left="369" w:hanging="369"/>
        <w:rPr>
          <w:rFonts w:ascii="Times New Roman" w:hAnsi="Times New Roman"/>
        </w:rPr>
      </w:pPr>
      <w:r>
        <w:rPr>
          <w:rStyle w:val="FootnoteReference"/>
        </w:rPr>
        <w:footnoteRef/>
      </w:r>
      <w:r>
        <w:tab/>
      </w:r>
      <w:r>
        <w:rPr>
          <w:rFonts w:ascii="Times New Roman" w:hAnsi="Times New Roman"/>
        </w:rPr>
        <w:t>LTS, фигура 20, разглеждане на сценариите 1.5LIFE и 1.5TECH за 2050 г.</w:t>
      </w:r>
    </w:p>
  </w:footnote>
  <w:footnote w:id="23">
    <w:p>
      <w:pPr>
        <w:pStyle w:val="FootnoteText"/>
        <w:ind w:left="369" w:hanging="369"/>
        <w:rPr>
          <w:rFonts w:ascii="Times New Roman" w:hAnsi="Times New Roman"/>
        </w:rPr>
      </w:pPr>
      <w:r>
        <w:rPr>
          <w:rStyle w:val="FootnoteReference"/>
        </w:rPr>
        <w:footnoteRef/>
      </w:r>
      <w:r>
        <w:tab/>
      </w:r>
      <w:r>
        <w:rPr>
          <w:rFonts w:ascii="Times New Roman" w:hAnsi="Times New Roman"/>
        </w:rPr>
        <w:t>LTS, фигура 23, разглеждане на сценариите 1.5LIFE и 1.5TECH за 2050 г.</w:t>
      </w:r>
    </w:p>
  </w:footnote>
  <w:footnote w:id="24">
    <w:p>
      <w:pPr>
        <w:pStyle w:val="FootnoteText"/>
        <w:ind w:left="369" w:hanging="369"/>
        <w:rPr>
          <w:rFonts w:ascii="Times New Roman" w:hAnsi="Times New Roman"/>
        </w:rPr>
      </w:pPr>
      <w:r>
        <w:rPr>
          <w:rStyle w:val="FootnoteReference"/>
        </w:rPr>
        <w:footnoteRef/>
      </w:r>
      <w:r>
        <w:tab/>
      </w:r>
      <w:r>
        <w:rPr>
          <w:rFonts w:ascii="Times New Roman" w:hAnsi="Times New Roman"/>
        </w:rPr>
        <w:t>LTS, фигура 24, включително Обединеното кралство.</w:t>
      </w:r>
    </w:p>
  </w:footnote>
  <w:footnote w:id="25">
    <w:p>
      <w:pPr>
        <w:pStyle w:val="FootnoteText"/>
        <w:ind w:left="369" w:hanging="369"/>
        <w:rPr>
          <w:rFonts w:ascii="Times New Roman" w:hAnsi="Times New Roman"/>
        </w:rPr>
      </w:pPr>
      <w:r>
        <w:rPr>
          <w:rStyle w:val="FootnoteReference"/>
        </w:rPr>
        <w:footnoteRef/>
      </w:r>
      <w:r>
        <w:tab/>
      </w:r>
      <w:r>
        <w:rPr>
          <w:rFonts w:ascii="Times New Roman" w:hAnsi="Times New Roman"/>
        </w:rPr>
        <w:t>20 GW включително Обединеното кралство.</w:t>
      </w:r>
    </w:p>
  </w:footnote>
  <w:footnote w:id="26">
    <w:p>
      <w:pPr>
        <w:pStyle w:val="FootnoteText"/>
        <w:ind w:left="369" w:hanging="369"/>
        <w:rPr>
          <w:rFonts w:ascii="Times New Roman" w:hAnsi="Times New Roman" w:cs="Times New Roman"/>
        </w:rPr>
      </w:pPr>
      <w:r>
        <w:rPr>
          <w:rStyle w:val="FootnoteReference"/>
        </w:rPr>
        <w:footnoteRef/>
      </w:r>
      <w:r>
        <w:tab/>
      </w:r>
      <w:hyperlink r:id="rId1" w:history="1">
        <w:r>
          <w:rPr>
            <w:rStyle w:val="Hyperlink"/>
            <w:rFonts w:ascii="Times New Roman" w:hAnsi="Times New Roman"/>
          </w:rPr>
          <w:t>https://ec.europa.eu/info/law/better-regulation/have-your-say/initiatives/12369-Union-renewable-Financing-mechanism</w:t>
        </w:r>
      </w:hyperlink>
    </w:p>
  </w:footnote>
  <w:footnote w:id="27">
    <w:p>
      <w:pPr>
        <w:pStyle w:val="FootnoteText"/>
        <w:ind w:left="369" w:hanging="369"/>
        <w:rPr>
          <w:rFonts w:ascii="Times New Roman" w:hAnsi="Times New Roman" w:cs="Times New Roman"/>
        </w:rPr>
      </w:pPr>
      <w:r>
        <w:rPr>
          <w:rStyle w:val="FootnoteReference"/>
        </w:rPr>
        <w:footnoteRef/>
      </w:r>
      <w:r>
        <w:tab/>
      </w:r>
      <w:r>
        <w:rPr>
          <w:rFonts w:ascii="Times New Roman" w:hAnsi="Times New Roman"/>
        </w:rPr>
        <w:t>Директива (ЕС) 2019/1161 за насърчаването на чисти и енергийноефективни пътни превозни средства.</w:t>
      </w:r>
    </w:p>
  </w:footnote>
  <w:footnote w:id="28">
    <w:p>
      <w:pPr>
        <w:pStyle w:val="FootnoteText"/>
        <w:ind w:left="369" w:hanging="369"/>
        <w:rPr>
          <w:rFonts w:ascii="Times New Roman" w:hAnsi="Times New Roman"/>
        </w:rPr>
      </w:pPr>
      <w:r>
        <w:rPr>
          <w:rStyle w:val="FootnoteReference"/>
        </w:rPr>
        <w:footnoteRef/>
      </w:r>
      <w:r>
        <w:tab/>
      </w:r>
      <w:r>
        <w:rPr>
          <w:rFonts w:ascii="Times New Roman" w:hAnsi="Times New Roman"/>
        </w:rPr>
        <w:t>LTS, фигура 42.</w:t>
      </w:r>
    </w:p>
  </w:footnote>
  <w:footnote w:id="29">
    <w:p>
      <w:pPr>
        <w:pStyle w:val="FootnoteText"/>
        <w:ind w:left="369" w:hanging="369"/>
        <w:rPr>
          <w:rFonts w:ascii="Times New Roman" w:hAnsi="Times New Roman"/>
        </w:rPr>
      </w:pPr>
      <w:r>
        <w:rPr>
          <w:rStyle w:val="FootnoteReference"/>
        </w:rPr>
        <w:footnoteRef/>
      </w:r>
      <w:r>
        <w:tab/>
      </w:r>
      <w:r>
        <w:rPr>
          <w:rFonts w:ascii="Times New Roman" w:hAnsi="Times New Roman"/>
        </w:rPr>
        <w:t>Включително подвижна техника.</w:t>
      </w:r>
    </w:p>
  </w:footnote>
  <w:footnote w:id="30">
    <w:p>
      <w:pPr>
        <w:pStyle w:val="FootnoteText"/>
      </w:pPr>
      <w:r>
        <w:rPr>
          <w:rStyle w:val="FootnoteReference"/>
        </w:rPr>
        <w:footnoteRef/>
      </w:r>
      <w:r>
        <w:t xml:space="preserve">     LTS</w:t>
      </w:r>
    </w:p>
  </w:footnote>
  <w:footnote w:id="31">
    <w:p>
      <w:pPr>
        <w:pStyle w:val="FootnoteText"/>
        <w:ind w:left="369" w:hanging="369"/>
        <w:rPr>
          <w:rFonts w:ascii="Times New Roman" w:hAnsi="Times New Roman"/>
        </w:rPr>
      </w:pPr>
      <w:r>
        <w:rPr>
          <w:rStyle w:val="FootnoteReference"/>
        </w:rPr>
        <w:footnoteRef/>
      </w:r>
      <w:r>
        <w:tab/>
      </w:r>
      <w:r>
        <w:rPr>
          <w:rFonts w:ascii="Times New Roman" w:hAnsi="Times New Roman"/>
        </w:rPr>
        <w:t>Вж. например BNEF, Electric Vehicle Outlook („Перспективи за електрическите превозни средства“), 2020 г.</w:t>
      </w:r>
    </w:p>
  </w:footnote>
  <w:footnote w:id="32">
    <w:p>
      <w:pPr>
        <w:pStyle w:val="FootnoteText"/>
        <w:ind w:left="369" w:hanging="369"/>
        <w:rPr>
          <w:rFonts w:ascii="Times New Roman" w:hAnsi="Times New Roman"/>
        </w:rPr>
      </w:pPr>
      <w:r>
        <w:rPr>
          <w:rStyle w:val="FootnoteReference"/>
        </w:rPr>
        <w:footnoteRef/>
      </w:r>
      <w:r>
        <w:tab/>
      </w:r>
      <w:r>
        <w:rPr>
          <w:rFonts w:ascii="Times New Roman" w:hAnsi="Times New Roman"/>
        </w:rPr>
        <w:t>Над 50 % от железопътната мрежа и около 80 % от железопътното движение вече са електрифицирани.</w:t>
      </w:r>
    </w:p>
  </w:footnote>
  <w:footnote w:id="33">
    <w:p>
      <w:pPr>
        <w:pStyle w:val="FootnoteText"/>
        <w:ind w:left="369" w:hanging="369"/>
        <w:rPr>
          <w:rFonts w:ascii="Times New Roman" w:hAnsi="Times New Roman"/>
        </w:rPr>
      </w:pPr>
      <w:r>
        <w:rPr>
          <w:rStyle w:val="FootnoteReference"/>
        </w:rPr>
        <w:footnoteRef/>
      </w:r>
      <w:r>
        <w:tab/>
      </w:r>
      <w:r>
        <w:rPr>
          <w:rFonts w:ascii="Times New Roman" w:hAnsi="Times New Roman"/>
        </w:rPr>
        <w:t>Регламент (ЕС) 2019/943.</w:t>
      </w:r>
    </w:p>
  </w:footnote>
  <w:footnote w:id="34">
    <w:p>
      <w:pPr>
        <w:pStyle w:val="FootnoteText"/>
        <w:ind w:left="369" w:hanging="369"/>
        <w:rPr>
          <w:rFonts w:ascii="Times New Roman" w:hAnsi="Times New Roman"/>
        </w:rPr>
      </w:pPr>
      <w:r>
        <w:rPr>
          <w:rStyle w:val="FootnoteReference"/>
        </w:rPr>
        <w:footnoteRef/>
      </w:r>
      <w:r>
        <w:tab/>
      </w:r>
      <w:r>
        <w:rPr>
          <w:rFonts w:ascii="Times New Roman" w:hAnsi="Times New Roman"/>
        </w:rPr>
        <w:t>Вж. Trinomics, Energy storage — Contribution to the security of the electricity in Europe („Енергийно акумулиране — принос за сигурността на електроснабдяването в Европа“), 2020 г.</w:t>
      </w:r>
    </w:p>
  </w:footnote>
  <w:footnote w:id="35">
    <w:p>
      <w:pPr>
        <w:pStyle w:val="FootnoteText"/>
      </w:pPr>
    </w:p>
  </w:footnote>
  <w:footnote w:id="36">
    <w:p>
      <w:pPr>
        <w:pStyle w:val="FootnoteText"/>
        <w:ind w:left="369" w:hanging="369"/>
      </w:pPr>
      <w:r>
        <w:rPr>
          <w:rStyle w:val="FootnoteReference"/>
        </w:rPr>
        <w:footnoteRef/>
      </w:r>
      <w:r>
        <w:tab/>
      </w:r>
      <w:r>
        <w:rPr>
          <w:rFonts w:ascii="Times New Roman" w:hAnsi="Times New Roman"/>
        </w:rPr>
        <w:t>Съгласно Регламент (ЕС) 2019/943.</w:t>
      </w:r>
    </w:p>
  </w:footnote>
  <w:footnote w:id="37">
    <w:p>
      <w:pPr>
        <w:pStyle w:val="FootnoteText"/>
        <w:ind w:left="369" w:hanging="369"/>
        <w:rPr>
          <w:rFonts w:ascii="Times New Roman" w:hAnsi="Times New Roman"/>
        </w:rPr>
      </w:pPr>
      <w:r>
        <w:rPr>
          <w:rStyle w:val="FootnoteReference"/>
        </w:rPr>
        <w:footnoteRef/>
      </w:r>
      <w:r>
        <w:tab/>
      </w:r>
      <w:r>
        <w:rPr>
          <w:rFonts w:ascii="Times New Roman" w:hAnsi="Times New Roman"/>
        </w:rPr>
        <w:t>Биогоривата са течни горива, произведени от биомаса, чрез различни процеси и от различни суровини, например биодизел, биоетанол и хидрогенирани растителни масла (HVO).</w:t>
      </w:r>
    </w:p>
  </w:footnote>
  <w:footnote w:id="38">
    <w:p>
      <w:pPr>
        <w:pStyle w:val="FootnoteText"/>
        <w:ind w:left="369" w:hanging="369"/>
        <w:rPr>
          <w:rFonts w:ascii="Times New Roman" w:hAnsi="Times New Roman"/>
        </w:rPr>
      </w:pPr>
      <w:r>
        <w:rPr>
          <w:rStyle w:val="FootnoteReference"/>
        </w:rPr>
        <w:footnoteRef/>
      </w:r>
      <w:r>
        <w:tab/>
      </w:r>
      <w:r>
        <w:rPr>
          <w:rFonts w:ascii="Times New Roman" w:hAnsi="Times New Roman"/>
        </w:rPr>
        <w:t>Биогазът е газова смес (предимно метан и въглероден диоксид), произведена от биомаса, чрез разлагането на органични вещества при отсъствие на кислород (анаеробно). Биогазът може да се използва пряко като гориво или да бъде пречистен или „подобрен“ до биометан, който пък може да се използва за същите приложения като природния газ и да се подава в газовата мрежа.</w:t>
      </w:r>
    </w:p>
  </w:footnote>
  <w:footnote w:id="39">
    <w:p>
      <w:pPr>
        <w:pStyle w:val="FootnoteText"/>
        <w:ind w:left="369" w:hanging="369"/>
        <w:rPr>
          <w:rFonts w:ascii="Times New Roman" w:hAnsi="Times New Roman"/>
        </w:rPr>
      </w:pPr>
      <w:r>
        <w:rPr>
          <w:rStyle w:val="FootnoteReference"/>
        </w:rPr>
        <w:footnoteRef/>
      </w:r>
      <w:r>
        <w:tab/>
      </w:r>
      <w:r>
        <w:rPr>
          <w:rFonts w:ascii="Times New Roman" w:hAnsi="Times New Roman"/>
        </w:rPr>
        <w:t>Източник: Евростат.</w:t>
      </w:r>
    </w:p>
  </w:footnote>
  <w:footnote w:id="40">
    <w:p>
      <w:pPr>
        <w:pStyle w:val="FootnoteText"/>
        <w:ind w:left="369" w:hanging="369"/>
        <w:rPr>
          <w:rFonts w:ascii="Times New Roman" w:hAnsi="Times New Roman"/>
        </w:rPr>
      </w:pPr>
      <w:r>
        <w:rPr>
          <w:rStyle w:val="FootnoteReference"/>
        </w:rPr>
        <w:footnoteRef/>
      </w:r>
      <w:r>
        <w:tab/>
      </w:r>
      <w:r>
        <w:rPr>
          <w:rFonts w:ascii="Times New Roman" w:hAnsi="Times New Roman"/>
        </w:rPr>
        <w:t>С Директива 2018/2001 се въвежда горна граница за биогоривата от първо поколение и ограничения за хранителните и фуражните култури, свързани с висок риск от непреки промени в земеползването (ILUC), като същевременно се укрепват и разширяват критериите за устойчивост.</w:t>
      </w:r>
    </w:p>
  </w:footnote>
  <w:footnote w:id="41">
    <w:p>
      <w:pPr>
        <w:pStyle w:val="FootnoteText"/>
        <w:ind w:left="369" w:hanging="369"/>
        <w:rPr>
          <w:rFonts w:ascii="Times New Roman" w:hAnsi="Times New Roman"/>
        </w:rPr>
      </w:pPr>
      <w:r>
        <w:rPr>
          <w:rStyle w:val="FootnoteReference"/>
        </w:rPr>
        <w:footnoteRef/>
      </w:r>
      <w:r>
        <w:tab/>
      </w:r>
      <w:r>
        <w:rPr>
          <w:rFonts w:ascii="Times New Roman" w:hAnsi="Times New Roman"/>
        </w:rPr>
        <w:t>С Директива 2018/2001 се насърчава използването на биогорива от нови поколения и на биогаз (получени от определени остатъци и странични продукти от дейности в областта на селското и горското стопанство, промишлени и общински отпадъци, при пълно зачитане на йерархията на отпадъците, и от други лигноцелулозни материали). Биогоривата и биогазът трябва да отговарят на изискванията за устойчивост, за да бъдат статистически отчитани като възобновяеми съгласно посочената директива.</w:t>
      </w:r>
    </w:p>
  </w:footnote>
  <w:footnote w:id="42">
    <w:p>
      <w:pPr>
        <w:pStyle w:val="FootnoteText"/>
        <w:ind w:left="369" w:hanging="369"/>
        <w:rPr>
          <w:rFonts w:ascii="Times New Roman" w:hAnsi="Times New Roman"/>
        </w:rPr>
      </w:pPr>
      <w:r>
        <w:rPr>
          <w:rStyle w:val="FootnoteReference"/>
        </w:rPr>
        <w:footnoteRef/>
      </w:r>
      <w:r>
        <w:tab/>
      </w:r>
      <w:r>
        <w:rPr>
          <w:rFonts w:ascii="Times New Roman" w:hAnsi="Times New Roman"/>
        </w:rPr>
        <w:t>COM(2017) 034 final.</w:t>
      </w:r>
    </w:p>
  </w:footnote>
  <w:footnote w:id="43">
    <w:p>
      <w:pPr>
        <w:pStyle w:val="FootnoteText"/>
        <w:ind w:left="369" w:hanging="369"/>
        <w:rPr>
          <w:rFonts w:ascii="Times New Roman" w:hAnsi="Times New Roman"/>
        </w:rPr>
      </w:pPr>
      <w:r>
        <w:rPr>
          <w:rStyle w:val="FootnoteReference"/>
        </w:rPr>
        <w:footnoteRef/>
      </w:r>
      <w:r>
        <w:tab/>
      </w:r>
      <w:r>
        <w:rPr>
          <w:rFonts w:ascii="Times New Roman" w:hAnsi="Times New Roman"/>
        </w:rPr>
        <w:t>Изчислено въз основа на данните за производството, предоставени от съвместното предприятие „Горивни елементи и водород“; включва използването на водород като изходна суровина; FCHJI, Пътна карта за използване на водород, 2019 г.</w:t>
      </w:r>
    </w:p>
  </w:footnote>
  <w:footnote w:id="44">
    <w:p>
      <w:pPr>
        <w:pStyle w:val="FootnoteText"/>
      </w:pPr>
      <w:r>
        <w:rPr>
          <w:rStyle w:val="FootnoteReference"/>
        </w:rPr>
        <w:footnoteRef/>
      </w:r>
      <w:r>
        <w:t xml:space="preserve"> </w:t>
      </w:r>
      <w:r>
        <w:rPr>
          <w:rFonts w:ascii="Times New Roman" w:hAnsi="Times New Roman"/>
        </w:rPr>
        <w:t>Вж. също „Стратегия за използване на водорода“, COM (2020) 301 final.</w:t>
      </w:r>
    </w:p>
  </w:footnote>
  <w:footnote w:id="45">
    <w:p>
      <w:pPr>
        <w:pStyle w:val="FootnoteText"/>
        <w:ind w:left="369" w:hanging="369"/>
        <w:rPr>
          <w:rFonts w:cstheme="minorHAnsi"/>
        </w:rPr>
      </w:pPr>
      <w:r>
        <w:rPr>
          <w:rStyle w:val="FootnoteReference"/>
        </w:rPr>
        <w:footnoteRef/>
      </w:r>
      <w:r>
        <w:tab/>
      </w:r>
      <w:r>
        <w:rPr>
          <w:rFonts w:ascii="Times New Roman" w:hAnsi="Times New Roman"/>
        </w:rPr>
        <w:t>COM(2020) 98 final.</w:t>
      </w:r>
    </w:p>
  </w:footnote>
  <w:footnote w:id="46">
    <w:p>
      <w:pPr>
        <w:pStyle w:val="FootnoteText"/>
        <w:ind w:left="369" w:hanging="369"/>
      </w:pPr>
      <w:r>
        <w:rPr>
          <w:rStyle w:val="FootnoteReference"/>
        </w:rPr>
        <w:footnoteRef/>
      </w:r>
      <w:r>
        <w:tab/>
      </w:r>
      <w:r>
        <w:rPr>
          <w:rFonts w:ascii="Times New Roman" w:hAnsi="Times New Roman"/>
        </w:rPr>
        <w:t>ГД  „Енергетика“, „Доклад за цените на енергията и разходите за енергия“ („Energy Prices and Costs Report“), 2019 г.</w:t>
      </w:r>
    </w:p>
  </w:footnote>
  <w:footnote w:id="47">
    <w:p>
      <w:pPr>
        <w:pStyle w:val="FootnoteText"/>
        <w:ind w:left="369" w:hanging="369"/>
      </w:pPr>
      <w:r>
        <w:rPr>
          <w:rStyle w:val="FootnoteReference"/>
        </w:rPr>
        <w:footnoteRef/>
      </w:r>
      <w:r>
        <w:rPr>
          <w:rFonts w:ascii="Times New Roman" w:hAnsi="Times New Roman"/>
        </w:rPr>
        <w:t xml:space="preserve"> </w:t>
      </w:r>
      <w:r>
        <w:tab/>
      </w:r>
      <w:r>
        <w:rPr>
          <w:rFonts w:ascii="Times New Roman" w:hAnsi="Times New Roman"/>
        </w:rPr>
        <w:t>ГД  „Енергетика“, „Доклад за цените на енергията и разходите за енергия“ („Energy Prices and Costs Report“), 2019 г.</w:t>
      </w:r>
    </w:p>
  </w:footnote>
  <w:footnote w:id="48">
    <w:p>
      <w:pPr>
        <w:pStyle w:val="FootnoteText"/>
        <w:ind w:left="426" w:hanging="426"/>
      </w:pPr>
      <w:r>
        <w:rPr>
          <w:rStyle w:val="FootnoteReference"/>
        </w:rPr>
        <w:footnoteRef/>
      </w:r>
      <w:r>
        <w:t xml:space="preserve"> </w:t>
      </w:r>
      <w:r>
        <w:tab/>
      </w:r>
      <w:r>
        <w:rPr>
          <w:rStyle w:val="None"/>
          <w:rFonts w:ascii="Times New Roman" w:hAnsi="Times New Roman"/>
        </w:rPr>
        <w:t>В съответствие с Европейския стълб на социалните права (принцип 20), който гарантира достъпа до основни услуги, включително до енергия.</w:t>
      </w:r>
    </w:p>
  </w:footnote>
  <w:footnote w:id="49">
    <w:p>
      <w:pPr>
        <w:pStyle w:val="FootnoteText"/>
        <w:ind w:left="369" w:hanging="369"/>
        <w:rPr>
          <w:rFonts w:ascii="Times New Roman" w:hAnsi="Times New Roman"/>
        </w:rPr>
      </w:pPr>
      <w:r>
        <w:rPr>
          <w:rStyle w:val="FootnoteReference"/>
        </w:rPr>
        <w:footnoteRef/>
      </w:r>
      <w:r>
        <w:tab/>
      </w:r>
      <w:r>
        <w:rPr>
          <w:rFonts w:ascii="Times New Roman" w:hAnsi="Times New Roman"/>
        </w:rPr>
        <w:t>Въпросите, свързани със създаването на отворени и конкурентни пазари за водород, са обхванати в специалната Стратегия за използване на водорода.</w:t>
      </w:r>
    </w:p>
  </w:footnote>
  <w:footnote w:id="50">
    <w:p>
      <w:pPr>
        <w:pStyle w:val="FootnoteText"/>
        <w:ind w:left="369" w:hanging="369"/>
        <w:rPr>
          <w:rFonts w:ascii="Calibri" w:hAnsi="Calibri" w:cs="Calibri"/>
        </w:rPr>
      </w:pPr>
      <w:r>
        <w:rPr>
          <w:rStyle w:val="FootnoteReference"/>
        </w:rPr>
        <w:footnoteRef/>
      </w:r>
      <w:r>
        <w:tab/>
      </w:r>
      <w:r>
        <w:rPr>
          <w:rFonts w:ascii="Times New Roman" w:hAnsi="Times New Roman"/>
        </w:rPr>
        <w:t>LTS, фигура 33: сценариите 1.5TECH и 1.5LIFE предвиждат дял на газовите горива в енергийния микс на ЕС 18—22 % до 2050 г. спрямо 25 % днес.</w:t>
      </w:r>
      <w:r>
        <w:rPr>
          <w:rFonts w:ascii="Calibri" w:hAnsi="Calibri"/>
        </w:rPr>
        <w:t xml:space="preserve"> </w:t>
      </w:r>
    </w:p>
  </w:footnote>
  <w:footnote w:id="51">
    <w:p>
      <w:pPr>
        <w:pStyle w:val="FootnoteText"/>
        <w:ind w:left="369" w:hanging="369"/>
        <w:rPr>
          <w:rFonts w:ascii="Times New Roman" w:hAnsi="Times New Roman"/>
        </w:rPr>
      </w:pPr>
      <w:r>
        <w:rPr>
          <w:rStyle w:val="FootnoteReference"/>
        </w:rPr>
        <w:footnoteRef/>
      </w:r>
      <w:r>
        <w:tab/>
      </w:r>
      <w:r>
        <w:rPr>
          <w:rFonts w:ascii="Times New Roman" w:hAnsi="Times New Roman"/>
        </w:rPr>
        <w:t>LTS, фигури 28—32.</w:t>
      </w:r>
    </w:p>
  </w:footnote>
  <w:footnote w:id="52">
    <w:p>
      <w:pPr>
        <w:pStyle w:val="FootnoteText"/>
        <w:ind w:left="369" w:hanging="369"/>
        <w:rPr>
          <w:rFonts w:ascii="Times New Roman" w:hAnsi="Times New Roman"/>
        </w:rPr>
      </w:pPr>
      <w:r>
        <w:rPr>
          <w:rStyle w:val="FootnoteReference"/>
        </w:rPr>
        <w:footnoteRef/>
      </w:r>
      <w:r>
        <w:tab/>
      </w:r>
      <w:r>
        <w:rPr>
          <w:rFonts w:ascii="Times New Roman" w:hAnsi="Times New Roman"/>
        </w:rPr>
        <w:t>Освен тези разпоредби от значение са и Рамката за научни изследвания, развойна дейност и иновации, както и Съобщението за определяне на критерии за анализа на съвместимостта с вътрешния пазар на държавна помощ за насърчаване изпълнението на важни проекти от общoевропейски интерес.</w:t>
      </w:r>
    </w:p>
  </w:footnote>
  <w:footnote w:id="53">
    <w:p>
      <w:pPr>
        <w:pStyle w:val="FootnoteText"/>
        <w:ind w:left="369" w:hanging="369"/>
        <w:rPr>
          <w:rFonts w:ascii="Times New Roman" w:hAnsi="Times New Roman"/>
        </w:rPr>
      </w:pPr>
      <w:r>
        <w:rPr>
          <w:rStyle w:val="FootnoteReference"/>
        </w:rPr>
        <w:footnoteRef/>
      </w:r>
      <w:r>
        <w:tab/>
      </w:r>
      <w:r>
        <w:rPr>
          <w:rFonts w:ascii="Times New Roman" w:hAnsi="Times New Roman"/>
        </w:rPr>
        <w:t xml:space="preserve">Първоначална оценка на въздействието за преразглеждането на Директивата за данъчно облагане на енергийните продукти и електроенергията: </w:t>
      </w:r>
      <w:hyperlink r:id="rId2" w:history="1">
        <w:r>
          <w:rPr>
            <w:rStyle w:val="Hyperlink"/>
            <w:rFonts w:ascii="Times New Roman" w:hAnsi="Times New Roman"/>
          </w:rPr>
          <w:t>https://ec.europa.eu/info/law/better-regulation/have-your-say/initiatives/12227</w:t>
        </w:r>
      </w:hyperlink>
      <w:r>
        <w:t xml:space="preserve">. </w:t>
      </w:r>
    </w:p>
  </w:footnote>
  <w:footnote w:id="54">
    <w:p>
      <w:pPr>
        <w:pStyle w:val="FootnoteText"/>
        <w:ind w:left="426" w:hanging="426"/>
        <w:rPr>
          <w:rFonts w:ascii="Times New Roman" w:hAnsi="Times New Roman"/>
        </w:rPr>
      </w:pPr>
      <w:r>
        <w:rPr>
          <w:rStyle w:val="FootnoteReference"/>
        </w:rPr>
        <w:footnoteRef/>
      </w:r>
      <w:r>
        <w:tab/>
      </w:r>
      <w:r>
        <w:rPr>
          <w:rFonts w:ascii="Times New Roman" w:hAnsi="Times New Roman"/>
        </w:rPr>
        <w:t>Също така в съответствие с целта на ЕС за междусистемна електроенергийна свързаност, включена в Регламент (ЕС) 2018/1999 относно управлението на енергийния съюз и действията в областта на климата.</w:t>
      </w:r>
    </w:p>
  </w:footnote>
  <w:footnote w:id="55">
    <w:p>
      <w:pPr>
        <w:pStyle w:val="FootnoteText"/>
        <w:ind w:left="369" w:hanging="369"/>
      </w:pPr>
      <w:r>
        <w:rPr>
          <w:rStyle w:val="FootnoteReference"/>
        </w:rPr>
        <w:footnoteRef/>
      </w:r>
      <w:r>
        <w:tab/>
      </w:r>
      <w:r>
        <w:rPr>
          <w:rFonts w:ascii="Times New Roman" w:hAnsi="Times New Roman"/>
        </w:rPr>
        <w:t>Примеси на водород в размер на 5—20 обемни % се толерират от повечето системи, без да са необходими съществени промени в инфраструктурата или модернизиране или замяна на уреди за крайна употреба. Вж. например BNEF, Hydrogen Economy Outlook („Перспективи на водородната икономика“), 2020 г.</w:t>
      </w:r>
    </w:p>
  </w:footnote>
  <w:footnote w:id="56">
    <w:p>
      <w:pPr>
        <w:pStyle w:val="FootnoteText"/>
        <w:ind w:left="369" w:hanging="369"/>
      </w:pPr>
      <w:r>
        <w:rPr>
          <w:rStyle w:val="FootnoteReference"/>
        </w:rPr>
        <w:footnoteRef/>
      </w:r>
      <w:r>
        <w:tab/>
      </w:r>
      <w:hyperlink r:id="rId3" w:history="1">
        <w:r>
          <w:rPr>
            <w:rStyle w:val="Hyperlink"/>
            <w:rFonts w:ascii="Times New Roman" w:hAnsi="Times New Roman"/>
          </w:rPr>
          <w:t>https://ec.europa.eu/info/sites/info/files/communication-european-strategy-data-19feb2020_en.pdf</w:t>
        </w:r>
      </w:hyperlink>
      <w:r>
        <w:t xml:space="preserve"> </w:t>
      </w:r>
    </w:p>
  </w:footnote>
  <w:footnote w:id="57">
    <w:p>
      <w:pPr>
        <w:pStyle w:val="FootnoteText"/>
        <w:ind w:left="369" w:hanging="369"/>
      </w:pPr>
      <w:r>
        <w:rPr>
          <w:rStyle w:val="FootnoteReference"/>
        </w:rPr>
        <w:footnoteRef/>
      </w:r>
      <w:r>
        <w:tab/>
      </w:r>
      <w:r>
        <w:rPr>
          <w:rFonts w:ascii="Times New Roman" w:hAnsi="Times New Roman"/>
        </w:rPr>
        <w:t>Съгласно Регламент (ЕС) 2019/943.</w:t>
      </w:r>
    </w:p>
  </w:footnote>
  <w:footnote w:id="58">
    <w:p>
      <w:pPr>
        <w:pStyle w:val="FootnoteText"/>
        <w:ind w:left="369" w:hanging="369"/>
      </w:pPr>
      <w:r>
        <w:rPr>
          <w:rStyle w:val="FootnoteReference"/>
        </w:rPr>
        <w:footnoteRef/>
      </w:r>
      <w:r>
        <w:tab/>
      </w:r>
      <w:r>
        <w:rPr>
          <w:rFonts w:ascii="Times New Roman" w:hAnsi="Times New Roman"/>
        </w:rPr>
        <w:t>Съгласно член 24 от Директива (ЕС) 2019/944.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15A"/>
    <w:multiLevelType w:val="multilevel"/>
    <w:tmpl w:val="6570145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2A237D3"/>
    <w:multiLevelType w:val="hybridMultilevel"/>
    <w:tmpl w:val="4544CA12"/>
    <w:lvl w:ilvl="0" w:tplc="04090011">
      <w:start w:val="1"/>
      <w:numFmt w:val="decimal"/>
      <w:lvlText w:val="%1)"/>
      <w:lvlJc w:val="left"/>
      <w:pPr>
        <w:ind w:left="7732" w:hanging="360"/>
      </w:pPr>
    </w:lvl>
    <w:lvl w:ilvl="1" w:tplc="04090019">
      <w:start w:val="1"/>
      <w:numFmt w:val="lowerLetter"/>
      <w:lvlText w:val="%2."/>
      <w:lvlJc w:val="left"/>
      <w:pPr>
        <w:ind w:left="8452" w:hanging="360"/>
      </w:pPr>
    </w:lvl>
    <w:lvl w:ilvl="2" w:tplc="0409001B">
      <w:start w:val="1"/>
      <w:numFmt w:val="lowerRoman"/>
      <w:lvlText w:val="%3."/>
      <w:lvlJc w:val="right"/>
      <w:pPr>
        <w:ind w:left="9172" w:hanging="180"/>
      </w:pPr>
    </w:lvl>
    <w:lvl w:ilvl="3" w:tplc="0409000F">
      <w:start w:val="1"/>
      <w:numFmt w:val="decimal"/>
      <w:lvlText w:val="%4."/>
      <w:lvlJc w:val="left"/>
      <w:pPr>
        <w:ind w:left="9892" w:hanging="360"/>
      </w:pPr>
    </w:lvl>
    <w:lvl w:ilvl="4" w:tplc="04090019">
      <w:start w:val="1"/>
      <w:numFmt w:val="lowerLetter"/>
      <w:lvlText w:val="%5."/>
      <w:lvlJc w:val="left"/>
      <w:pPr>
        <w:ind w:left="10612" w:hanging="360"/>
      </w:pPr>
    </w:lvl>
    <w:lvl w:ilvl="5" w:tplc="0409001B">
      <w:start w:val="1"/>
      <w:numFmt w:val="lowerRoman"/>
      <w:lvlText w:val="%6."/>
      <w:lvlJc w:val="right"/>
      <w:pPr>
        <w:ind w:left="11332" w:hanging="180"/>
      </w:pPr>
    </w:lvl>
    <w:lvl w:ilvl="6" w:tplc="0409000F">
      <w:start w:val="1"/>
      <w:numFmt w:val="decimal"/>
      <w:lvlText w:val="%7."/>
      <w:lvlJc w:val="left"/>
      <w:pPr>
        <w:ind w:left="12052" w:hanging="360"/>
      </w:pPr>
    </w:lvl>
    <w:lvl w:ilvl="7" w:tplc="04090019">
      <w:start w:val="1"/>
      <w:numFmt w:val="lowerLetter"/>
      <w:lvlText w:val="%8."/>
      <w:lvlJc w:val="left"/>
      <w:pPr>
        <w:ind w:left="12772" w:hanging="360"/>
      </w:pPr>
    </w:lvl>
    <w:lvl w:ilvl="8" w:tplc="0409001B">
      <w:start w:val="1"/>
      <w:numFmt w:val="lowerRoman"/>
      <w:lvlText w:val="%9."/>
      <w:lvlJc w:val="right"/>
      <w:pPr>
        <w:ind w:left="13492" w:hanging="180"/>
      </w:pPr>
    </w:lvl>
  </w:abstractNum>
  <w:abstractNum w:abstractNumId="2">
    <w:nsid w:val="0804256B"/>
    <w:multiLevelType w:val="hybridMultilevel"/>
    <w:tmpl w:val="7422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243EA1"/>
    <w:multiLevelType w:val="multilevel"/>
    <w:tmpl w:val="D97E40AE"/>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lowerRoman"/>
      <w:lvlText w:val="%3."/>
      <w:lvlJc w:val="righ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928"/>
        </w:tabs>
        <w:ind w:left="928"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E5038DC"/>
    <w:multiLevelType w:val="hybridMultilevel"/>
    <w:tmpl w:val="3158651A"/>
    <w:lvl w:ilvl="0" w:tplc="90D6F29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E5D35D5"/>
    <w:multiLevelType w:val="hybridMultilevel"/>
    <w:tmpl w:val="8CFE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0D033F"/>
    <w:multiLevelType w:val="hybridMultilevel"/>
    <w:tmpl w:val="B3CE996C"/>
    <w:lvl w:ilvl="0" w:tplc="262E047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7D419B"/>
    <w:multiLevelType w:val="hybridMultilevel"/>
    <w:tmpl w:val="3D6844F2"/>
    <w:lvl w:ilvl="0" w:tplc="4C40BC0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21431E"/>
    <w:multiLevelType w:val="hybridMultilevel"/>
    <w:tmpl w:val="179E562E"/>
    <w:lvl w:ilvl="0" w:tplc="E6CCDDD8">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F5096C"/>
    <w:multiLevelType w:val="hybridMultilevel"/>
    <w:tmpl w:val="4524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D3836E0"/>
    <w:multiLevelType w:val="hybridMultilevel"/>
    <w:tmpl w:val="F5CAF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734306"/>
    <w:multiLevelType w:val="multilevel"/>
    <w:tmpl w:val="2A64B5B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rPr>
        <w:b/>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9345A8F"/>
    <w:multiLevelType w:val="hybridMultilevel"/>
    <w:tmpl w:val="CA1AE53A"/>
    <w:lvl w:ilvl="0" w:tplc="0080834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B213BD4"/>
    <w:multiLevelType w:val="hybridMultilevel"/>
    <w:tmpl w:val="E39A4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3E11A3"/>
    <w:multiLevelType w:val="hybridMultilevel"/>
    <w:tmpl w:val="962EE4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D031460"/>
    <w:multiLevelType w:val="hybridMultilevel"/>
    <w:tmpl w:val="B8F2A9A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000002"/>
    <w:multiLevelType w:val="hybridMultilevel"/>
    <w:tmpl w:val="3365765E"/>
    <w:lvl w:ilvl="0" w:tplc="0CC8A0E2">
      <w:start w:val="1"/>
      <w:numFmt w:val="bullet"/>
      <w:lvlText w:val="·"/>
      <w:lvlJc w:val="left"/>
      <w:pPr>
        <w:ind w:left="1080" w:hanging="360"/>
      </w:pPr>
      <w:rPr>
        <w:rFonts w:ascii="Symbol" w:eastAsia="Symbol" w:hAnsi="Symbol"/>
        <w:w w:val="100"/>
        <w:sz w:val="20"/>
        <w:szCs w:val="20"/>
        <w:shd w:val="clear" w:color="auto" w:fill="auto"/>
      </w:rPr>
    </w:lvl>
    <w:lvl w:ilvl="1" w:tplc="99887E2E">
      <w:start w:val="1"/>
      <w:numFmt w:val="bullet"/>
      <w:lvlText w:val="o"/>
      <w:lvlJc w:val="left"/>
      <w:pPr>
        <w:ind w:left="1800" w:hanging="360"/>
      </w:pPr>
      <w:rPr>
        <w:rFonts w:ascii="Courier New" w:eastAsia="Courier New" w:hAnsi="Courier New"/>
        <w:w w:val="100"/>
        <w:sz w:val="20"/>
        <w:szCs w:val="20"/>
        <w:shd w:val="clear" w:color="auto" w:fill="auto"/>
      </w:rPr>
    </w:lvl>
    <w:lvl w:ilvl="2" w:tplc="2CDC6B02">
      <w:start w:val="1"/>
      <w:numFmt w:val="bullet"/>
      <w:lvlText w:val="§"/>
      <w:lvlJc w:val="left"/>
      <w:pPr>
        <w:ind w:left="2520" w:hanging="360"/>
      </w:pPr>
      <w:rPr>
        <w:rFonts w:ascii="Wingdings" w:eastAsia="Wingdings" w:hAnsi="Wingdings"/>
        <w:w w:val="100"/>
        <w:sz w:val="20"/>
        <w:szCs w:val="20"/>
        <w:shd w:val="clear" w:color="auto" w:fill="auto"/>
      </w:rPr>
    </w:lvl>
    <w:lvl w:ilvl="3" w:tplc="83642B88">
      <w:start w:val="1"/>
      <w:numFmt w:val="bullet"/>
      <w:lvlText w:val="·"/>
      <w:lvlJc w:val="left"/>
      <w:pPr>
        <w:ind w:left="3240" w:hanging="360"/>
      </w:pPr>
      <w:rPr>
        <w:rFonts w:ascii="Symbol" w:eastAsia="Symbol" w:hAnsi="Symbol"/>
        <w:w w:val="100"/>
        <w:sz w:val="20"/>
        <w:szCs w:val="20"/>
        <w:shd w:val="clear" w:color="auto" w:fill="auto"/>
      </w:rPr>
    </w:lvl>
    <w:lvl w:ilvl="4" w:tplc="5596BEE4">
      <w:start w:val="1"/>
      <w:numFmt w:val="bullet"/>
      <w:lvlText w:val="o"/>
      <w:lvlJc w:val="left"/>
      <w:pPr>
        <w:ind w:left="3960" w:hanging="360"/>
      </w:pPr>
      <w:rPr>
        <w:rFonts w:ascii="Courier New" w:eastAsia="Courier New" w:hAnsi="Courier New"/>
        <w:w w:val="100"/>
        <w:sz w:val="20"/>
        <w:szCs w:val="20"/>
        <w:shd w:val="clear" w:color="auto" w:fill="auto"/>
      </w:rPr>
    </w:lvl>
    <w:lvl w:ilvl="5" w:tplc="C3B69C76">
      <w:start w:val="1"/>
      <w:numFmt w:val="bullet"/>
      <w:lvlText w:val="§"/>
      <w:lvlJc w:val="left"/>
      <w:pPr>
        <w:ind w:left="4680" w:hanging="360"/>
      </w:pPr>
      <w:rPr>
        <w:rFonts w:ascii="Wingdings" w:eastAsia="Wingdings" w:hAnsi="Wingdings"/>
        <w:w w:val="100"/>
        <w:sz w:val="20"/>
        <w:szCs w:val="20"/>
        <w:shd w:val="clear" w:color="auto" w:fill="auto"/>
      </w:rPr>
    </w:lvl>
    <w:lvl w:ilvl="6" w:tplc="FDE26CF2">
      <w:start w:val="1"/>
      <w:numFmt w:val="bullet"/>
      <w:lvlText w:val="·"/>
      <w:lvlJc w:val="left"/>
      <w:pPr>
        <w:ind w:left="5400" w:hanging="360"/>
      </w:pPr>
      <w:rPr>
        <w:rFonts w:ascii="Symbol" w:eastAsia="Symbol" w:hAnsi="Symbol"/>
        <w:w w:val="100"/>
        <w:sz w:val="20"/>
        <w:szCs w:val="20"/>
        <w:shd w:val="clear" w:color="auto" w:fill="auto"/>
      </w:rPr>
    </w:lvl>
    <w:lvl w:ilvl="7" w:tplc="0C325E02">
      <w:start w:val="1"/>
      <w:numFmt w:val="bullet"/>
      <w:lvlText w:val="o"/>
      <w:lvlJc w:val="left"/>
      <w:pPr>
        <w:ind w:left="6120" w:hanging="360"/>
      </w:pPr>
      <w:rPr>
        <w:rFonts w:ascii="Courier New" w:eastAsia="Courier New" w:hAnsi="Courier New"/>
        <w:w w:val="100"/>
        <w:sz w:val="20"/>
        <w:szCs w:val="20"/>
        <w:shd w:val="clear" w:color="auto" w:fill="auto"/>
      </w:rPr>
    </w:lvl>
    <w:lvl w:ilvl="8" w:tplc="01CA0712">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8">
    <w:nsid w:val="38666F94"/>
    <w:multiLevelType w:val="hybridMultilevel"/>
    <w:tmpl w:val="2326C750"/>
    <w:lvl w:ilvl="0" w:tplc="AC1AE7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FC0A3A"/>
    <w:multiLevelType w:val="hybridMultilevel"/>
    <w:tmpl w:val="F91A26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C80303F"/>
    <w:multiLevelType w:val="hybridMultilevel"/>
    <w:tmpl w:val="7422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3D23194D"/>
    <w:multiLevelType w:val="hybridMultilevel"/>
    <w:tmpl w:val="5A46973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2A27552"/>
    <w:multiLevelType w:val="hybridMultilevel"/>
    <w:tmpl w:val="7D8E26CA"/>
    <w:lvl w:ilvl="0" w:tplc="0CA223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3012F09"/>
    <w:multiLevelType w:val="hybridMultilevel"/>
    <w:tmpl w:val="589CC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272E28"/>
    <w:multiLevelType w:val="hybridMultilevel"/>
    <w:tmpl w:val="FF004F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DA62E02"/>
    <w:multiLevelType w:val="hybridMultilevel"/>
    <w:tmpl w:val="8FC86534"/>
    <w:lvl w:ilvl="0" w:tplc="08090013">
      <w:start w:val="1"/>
      <w:numFmt w:val="upp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DAC749B"/>
    <w:multiLevelType w:val="multilevel"/>
    <w:tmpl w:val="54A0E39A"/>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bullet"/>
      <w:lvlText w:val=""/>
      <w:lvlJc w:val="left"/>
      <w:pPr>
        <w:tabs>
          <w:tab w:val="num" w:pos="928"/>
        </w:tabs>
        <w:ind w:left="928" w:hanging="360"/>
      </w:pPr>
      <w:rPr>
        <w:rFonts w:ascii="Symbol" w:hAnsi="Symbo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F44EDF"/>
    <w:multiLevelType w:val="hybridMultilevel"/>
    <w:tmpl w:val="8CFE6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E294304"/>
    <w:multiLevelType w:val="hybridMultilevel"/>
    <w:tmpl w:val="6F80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2D3FEE"/>
    <w:multiLevelType w:val="hybridMultilevel"/>
    <w:tmpl w:val="7422C4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04E03C3"/>
    <w:multiLevelType w:val="hybridMultilevel"/>
    <w:tmpl w:val="5A46973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347244E"/>
    <w:multiLevelType w:val="hybridMultilevel"/>
    <w:tmpl w:val="03F65BAA"/>
    <w:lvl w:ilvl="0" w:tplc="E6CCDDD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5CB0129C"/>
    <w:multiLevelType w:val="hybridMultilevel"/>
    <w:tmpl w:val="4A725DEA"/>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nsid w:val="5E45560E"/>
    <w:multiLevelType w:val="hybridMultilevel"/>
    <w:tmpl w:val="5DE22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C2808D8"/>
    <w:multiLevelType w:val="hybridMultilevel"/>
    <w:tmpl w:val="D90061F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5">
    <w:nsid w:val="70DA374F"/>
    <w:multiLevelType w:val="multilevel"/>
    <w:tmpl w:val="65701454"/>
    <w:lvl w:ilvl="0">
      <w:start w:val="1"/>
      <w:numFmt w:val="decimal"/>
      <w:lvlText w:val="%1."/>
      <w:lvlJc w:val="left"/>
      <w:pPr>
        <w:tabs>
          <w:tab w:val="num" w:pos="480"/>
        </w:tabs>
        <w:ind w:left="480" w:hanging="480"/>
      </w:pPr>
    </w:lvl>
    <w:lvl w:ilvl="1">
      <w:start w:val="1"/>
      <w:numFmt w:val="decimal"/>
      <w:lvlText w:val="%1.%2."/>
      <w:lvlJc w:val="left"/>
      <w:pPr>
        <w:tabs>
          <w:tab w:val="num" w:pos="1429"/>
        </w:tabs>
        <w:ind w:left="1429"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1F17DDA"/>
    <w:multiLevelType w:val="hybridMultilevel"/>
    <w:tmpl w:val="F5069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BA17C5"/>
    <w:multiLevelType w:val="hybridMultilevel"/>
    <w:tmpl w:val="4B1E57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74AC3F56"/>
    <w:multiLevelType w:val="hybridMultilevel"/>
    <w:tmpl w:val="A3D00AF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A7D5AD8"/>
    <w:multiLevelType w:val="hybridMultilevel"/>
    <w:tmpl w:val="C3AAD606"/>
    <w:lvl w:ilvl="0" w:tplc="08090001">
      <w:start w:val="1"/>
      <w:numFmt w:val="bullet"/>
      <w:lvlText w:val=""/>
      <w:lvlJc w:val="left"/>
      <w:pPr>
        <w:ind w:left="787" w:hanging="360"/>
      </w:pPr>
      <w:rPr>
        <w:rFonts w:ascii="Symbol" w:hAnsi="Symbol" w:hint="default"/>
      </w:rPr>
    </w:lvl>
    <w:lvl w:ilvl="1" w:tplc="08090003">
      <w:start w:val="1"/>
      <w:numFmt w:val="bullet"/>
      <w:lvlText w:val="o"/>
      <w:lvlJc w:val="left"/>
      <w:pPr>
        <w:ind w:left="1507" w:hanging="360"/>
      </w:pPr>
      <w:rPr>
        <w:rFonts w:ascii="Courier New" w:hAnsi="Courier New" w:cs="Courier New" w:hint="default"/>
      </w:rPr>
    </w:lvl>
    <w:lvl w:ilvl="2" w:tplc="08090005">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25"/>
  </w:num>
  <w:num w:numId="2">
    <w:abstractNumId w:val="5"/>
  </w:num>
  <w:num w:numId="3">
    <w:abstractNumId w:val="27"/>
  </w:num>
  <w:num w:numId="4">
    <w:abstractNumId w:val="33"/>
  </w:num>
  <w:num w:numId="5">
    <w:abstractNumId w:val="2"/>
  </w:num>
  <w:num w:numId="6">
    <w:abstractNumId w:val="30"/>
  </w:num>
  <w:num w:numId="7">
    <w:abstractNumId w:val="28"/>
  </w:num>
  <w:num w:numId="8">
    <w:abstractNumId w:val="21"/>
  </w:num>
  <w:num w:numId="9">
    <w:abstractNumId w:val="29"/>
  </w:num>
  <w:num w:numId="10">
    <w:abstractNumId w:val="20"/>
  </w:num>
  <w:num w:numId="11">
    <w:abstractNumId w:val="13"/>
  </w:num>
  <w:num w:numId="12">
    <w:abstractNumId w:val="11"/>
  </w:num>
  <w:num w:numId="13">
    <w:abstractNumId w:val="31"/>
  </w:num>
  <w:num w:numId="14">
    <w:abstractNumId w:val="8"/>
  </w:num>
  <w:num w:numId="15">
    <w:abstractNumId w:val="35"/>
  </w:num>
  <w:num w:numId="16">
    <w:abstractNumId w:val="23"/>
  </w:num>
  <w:num w:numId="17">
    <w:abstractNumId w:val="14"/>
  </w:num>
  <w:num w:numId="18">
    <w:abstractNumId w:val="39"/>
  </w:num>
  <w:num w:numId="19">
    <w:abstractNumId w:val="14"/>
  </w:num>
  <w:num w:numId="20">
    <w:abstractNumId w:val="8"/>
  </w:num>
  <w:num w:numId="21">
    <w:abstractNumId w:val="17"/>
  </w:num>
  <w:num w:numId="22">
    <w:abstractNumId w:val="0"/>
  </w:num>
  <w:num w:numId="23">
    <w:abstractNumId w:val="4"/>
  </w:num>
  <w:num w:numId="24">
    <w:abstractNumId w:val="36"/>
  </w:num>
  <w:num w:numId="25">
    <w:abstractNumId w:val="15"/>
  </w:num>
  <w:num w:numId="26">
    <w:abstractNumId w:val="34"/>
  </w:num>
  <w:num w:numId="27">
    <w:abstractNumId w:val="15"/>
  </w:num>
  <w:num w:numId="28">
    <w:abstractNumId w:val="32"/>
  </w:num>
  <w:num w:numId="29">
    <w:abstractNumId w:val="19"/>
  </w:num>
  <w:num w:numId="30">
    <w:abstractNumId w:val="16"/>
  </w:num>
  <w:num w:numId="31">
    <w:abstractNumId w:val="16"/>
  </w:num>
  <w:num w:numId="32">
    <w:abstractNumId w:val="16"/>
  </w:num>
  <w:num w:numId="33">
    <w:abstractNumId w:val="24"/>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4"/>
  </w:num>
  <w:num w:numId="39">
    <w:abstractNumId w:val="6"/>
  </w:num>
  <w:num w:numId="40">
    <w:abstractNumId w:val="1"/>
  </w:num>
  <w:num w:numId="41">
    <w:abstractNumId w:val="26"/>
  </w:num>
  <w:num w:numId="42">
    <w:abstractNumId w:val="3"/>
  </w:num>
  <w:num w:numId="4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18"/>
  </w:num>
  <w:num w:numId="46">
    <w:abstractNumId w:val="12"/>
  </w:num>
  <w:num w:numId="47">
    <w:abstractNumId w:val="37"/>
  </w:num>
  <w:num w:numId="48">
    <w:abstractNumId w:val="3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494D983-D387-4C83-8013-D01B2A69C3A7"/>
    <w:docVar w:name="LW_COVERPAGE_TYPE" w:val="1"/>
    <w:docVar w:name="LW_CROSSREFERENCE" w:val="&lt;UNUSED&gt;"/>
    <w:docVar w:name="LW_DocType" w:val="NORMAL"/>
    <w:docVar w:name="LW_EMISSION" w:val="8.7.2020"/>
    <w:docVar w:name="LW_EMISSION_ISODATE" w:val="2020-07-08"/>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29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8?\u1083?\u1072?\u1089?\u1098?\u1082? \u1079?\u1072? \u1085?\u1077?\u1091?\u1090?\u1088?\u1072?\u1083?\u1085?\u1072?\u1090?\u1072? \u1087?\u1086? \u1086?\u1090?\u1085?\u1086?\u1096?\u1077?\u1085?\u1080?\u1077? \u1085?\u1072? \u1082?\u1083?\u1080?\u1084?\u1072?\u1090?\u1072? \u1080?\u1082?\u1086?\u1085?\u1086?\u1084?\u1080?\u1082?\u1072?: \u1057?\u1090?\u1088?\u1072?\u1090?\u1077?\u1075?\u1080?\u1103? \u1085?\u1072? \u1045?\u1057? \u1079?\u1072? &lt;FMT:Bold&gt;\u1080?\u1085?\u1090?\u1077?\u1075?\u1088?\u1072?\u1094?\u1080?\u1103? \u1085?\u1072? \u1077?\u1085?\u1077?\u1088?\u1075?\u1080?\u1081?\u1085?\u1072?\u1090?\u1072? \u1089?\u1080?\u1089?\u1090?\u1077?\u1084?\u1072?&lt;/FMT&gt;_x000d__x000d__x000d__x000d__x000d__x000d__x000d__x000d__x000d__x000d__x000d__x000d__x000d__x000d__x000b_"/>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429"/>
      </w:tabs>
      <w:spacing w:after="240" w:line="240" w:lineRule="auto"/>
      <w:ind w:left="1429"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2160"/>
      </w:tabs>
      <w:spacing w:after="240" w:line="240" w:lineRule="auto"/>
      <w:ind w:left="216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paragraph" w:customStyle="1" w:styleId="LegalNumPar">
    <w:name w:val="LegalNumPar"/>
    <w:basedOn w:val="Normal"/>
    <w:pPr>
      <w:numPr>
        <w:numId w:val="32"/>
      </w:numPr>
      <w:spacing w:line="360" w:lineRule="auto"/>
    </w:pPr>
    <w:rPr>
      <w:sz w:val="24"/>
    </w:rPr>
  </w:style>
  <w:style w:type="paragraph" w:customStyle="1" w:styleId="LegalNumPar2">
    <w:name w:val="LegalNumPar2"/>
    <w:basedOn w:val="Normal"/>
    <w:pPr>
      <w:numPr>
        <w:ilvl w:val="1"/>
        <w:numId w:val="32"/>
      </w:numPr>
      <w:spacing w:line="360" w:lineRule="auto"/>
    </w:pPr>
    <w:rPr>
      <w:sz w:val="24"/>
    </w:rPr>
  </w:style>
  <w:style w:type="paragraph" w:customStyle="1" w:styleId="LegalNumPar3">
    <w:name w:val="LegalNumPar3"/>
    <w:basedOn w:val="Normal"/>
    <w:pPr>
      <w:numPr>
        <w:ilvl w:val="2"/>
        <w:numId w:val="32"/>
      </w:numPr>
      <w:spacing w:line="360" w:lineRule="auto"/>
    </w:pPr>
    <w:rPr>
      <w:sz w:val="24"/>
    </w:rPr>
  </w:style>
  <w:style w:type="paragraph" w:customStyle="1" w:styleId="IEAKeyDataBoxtext">
    <w:name w:val="IEA_KeyDataBox_text"/>
    <w:basedOn w:val="Normal"/>
    <w:qFormat/>
    <w:pPr>
      <w:spacing w:before="100" w:after="0" w:line="288" w:lineRule="auto"/>
      <w:jc w:val="both"/>
    </w:pPr>
    <w:rPr>
      <w:rFonts w:ascii="Arial" w:eastAsia="Calibri" w:hAnsi="Arial" w:cs="Times New Roman"/>
      <w:sz w:val="20"/>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bg-BG"/>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customStyle="1" w:styleId="None">
    <w:name w:val="None"/>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tabs>
        <w:tab w:val="num" w:pos="1429"/>
      </w:tabs>
      <w:spacing w:after="240" w:line="240" w:lineRule="auto"/>
      <w:ind w:left="1429" w:hanging="720"/>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tabs>
        <w:tab w:val="num" w:pos="2160"/>
      </w:tabs>
      <w:spacing w:after="240" w:line="240" w:lineRule="auto"/>
      <w:ind w:left="216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ListParagraph">
    <w:name w:val="List Paragraph"/>
    <w:aliases w:val="Numbered Para 1,Dot pt,No Spacing1,List Paragraph Char Char Char,Indicator Text,List Paragraph1,Bullet Points,MAIN CONTENT,List Paragraph12,F5 List Paragraph,Heading 2_sj,Report Para,WinDForce-Letter,List Paragraph (numbered (a),LISTA,Ha"/>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WB-Fußnoten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rPr>
      <w:sz w:val="20"/>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Ha Char"/>
    <w:link w:val="ListParagraph"/>
    <w:uiPriority w:val="34"/>
    <w:qFormat/>
    <w:locked/>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000FF"/>
      <w:u w:val="single"/>
    </w:rPr>
  </w:style>
  <w:style w:type="paragraph" w:customStyle="1" w:styleId="LegalNumPar">
    <w:name w:val="LegalNumPar"/>
    <w:basedOn w:val="Normal"/>
    <w:pPr>
      <w:numPr>
        <w:numId w:val="32"/>
      </w:numPr>
      <w:spacing w:line="360" w:lineRule="auto"/>
    </w:pPr>
    <w:rPr>
      <w:sz w:val="24"/>
    </w:rPr>
  </w:style>
  <w:style w:type="paragraph" w:customStyle="1" w:styleId="LegalNumPar2">
    <w:name w:val="LegalNumPar2"/>
    <w:basedOn w:val="Normal"/>
    <w:pPr>
      <w:numPr>
        <w:ilvl w:val="1"/>
        <w:numId w:val="32"/>
      </w:numPr>
      <w:spacing w:line="360" w:lineRule="auto"/>
    </w:pPr>
    <w:rPr>
      <w:sz w:val="24"/>
    </w:rPr>
  </w:style>
  <w:style w:type="paragraph" w:customStyle="1" w:styleId="LegalNumPar3">
    <w:name w:val="LegalNumPar3"/>
    <w:basedOn w:val="Normal"/>
    <w:pPr>
      <w:numPr>
        <w:ilvl w:val="2"/>
        <w:numId w:val="32"/>
      </w:numPr>
      <w:spacing w:line="360" w:lineRule="auto"/>
    </w:pPr>
    <w:rPr>
      <w:sz w:val="24"/>
    </w:rPr>
  </w:style>
  <w:style w:type="paragraph" w:customStyle="1" w:styleId="IEAKeyDataBoxtext">
    <w:name w:val="IEA_KeyDataBox_text"/>
    <w:basedOn w:val="Normal"/>
    <w:qFormat/>
    <w:pPr>
      <w:spacing w:before="100" w:after="0" w:line="288" w:lineRule="auto"/>
      <w:jc w:val="both"/>
    </w:pPr>
    <w:rPr>
      <w:rFonts w:ascii="Arial" w:eastAsia="Calibri" w:hAnsi="Arial" w:cs="Times New Roman"/>
      <w:sz w:val="20"/>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lang w:val="bg-BG"/>
    </w:r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No"/>
    <w:basedOn w:val="DefaultParagraphFont"/>
    <w:link w:val="FootnotesymbolCharCharChar"/>
    <w:uiPriority w:val="99"/>
    <w:unhideWhenUsed/>
    <w:qFormat/>
    <w:rPr>
      <w:vertAlign w:val="superscript"/>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style>
  <w:style w:type="character" w:customStyle="1" w:styleId="None">
    <w:name w:val="None"/>
  </w:style>
  <w:style w:type="paragraph" w:customStyle="1" w:styleId="FootnotesymbolCharCharChar">
    <w:name w:val="Footnote symbol Char Char Char"/>
    <w:aliases w:val="Voetnootverwijzing Char Char Char,Times 10 Point Char Char Char,Exposant 3 Point Char Char Char,Footnote Reference Superscript Char Char Char,Footnote symbol Char,FR Char"/>
    <w:basedOn w:val="Normal"/>
    <w:link w:val="FootnoteReference"/>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6925">
      <w:bodyDiv w:val="1"/>
      <w:marLeft w:val="0"/>
      <w:marRight w:val="0"/>
      <w:marTop w:val="0"/>
      <w:marBottom w:val="0"/>
      <w:divBdr>
        <w:top w:val="none" w:sz="0" w:space="0" w:color="auto"/>
        <w:left w:val="none" w:sz="0" w:space="0" w:color="auto"/>
        <w:bottom w:val="none" w:sz="0" w:space="0" w:color="auto"/>
        <w:right w:val="none" w:sz="0" w:space="0" w:color="auto"/>
      </w:divBdr>
    </w:div>
    <w:div w:id="63382998">
      <w:bodyDiv w:val="1"/>
      <w:marLeft w:val="0"/>
      <w:marRight w:val="0"/>
      <w:marTop w:val="0"/>
      <w:marBottom w:val="0"/>
      <w:divBdr>
        <w:top w:val="none" w:sz="0" w:space="0" w:color="auto"/>
        <w:left w:val="none" w:sz="0" w:space="0" w:color="auto"/>
        <w:bottom w:val="none" w:sz="0" w:space="0" w:color="auto"/>
        <w:right w:val="none" w:sz="0" w:space="0" w:color="auto"/>
      </w:divBdr>
    </w:div>
    <w:div w:id="94640088">
      <w:bodyDiv w:val="1"/>
      <w:marLeft w:val="0"/>
      <w:marRight w:val="0"/>
      <w:marTop w:val="0"/>
      <w:marBottom w:val="0"/>
      <w:divBdr>
        <w:top w:val="none" w:sz="0" w:space="0" w:color="auto"/>
        <w:left w:val="none" w:sz="0" w:space="0" w:color="auto"/>
        <w:bottom w:val="none" w:sz="0" w:space="0" w:color="auto"/>
        <w:right w:val="none" w:sz="0" w:space="0" w:color="auto"/>
      </w:divBdr>
    </w:div>
    <w:div w:id="164516832">
      <w:bodyDiv w:val="1"/>
      <w:marLeft w:val="0"/>
      <w:marRight w:val="0"/>
      <w:marTop w:val="0"/>
      <w:marBottom w:val="0"/>
      <w:divBdr>
        <w:top w:val="none" w:sz="0" w:space="0" w:color="auto"/>
        <w:left w:val="none" w:sz="0" w:space="0" w:color="auto"/>
        <w:bottom w:val="none" w:sz="0" w:space="0" w:color="auto"/>
        <w:right w:val="none" w:sz="0" w:space="0" w:color="auto"/>
      </w:divBdr>
    </w:div>
    <w:div w:id="181168507">
      <w:bodyDiv w:val="1"/>
      <w:marLeft w:val="0"/>
      <w:marRight w:val="0"/>
      <w:marTop w:val="0"/>
      <w:marBottom w:val="0"/>
      <w:divBdr>
        <w:top w:val="none" w:sz="0" w:space="0" w:color="auto"/>
        <w:left w:val="none" w:sz="0" w:space="0" w:color="auto"/>
        <w:bottom w:val="none" w:sz="0" w:space="0" w:color="auto"/>
        <w:right w:val="none" w:sz="0" w:space="0" w:color="auto"/>
      </w:divBdr>
    </w:div>
    <w:div w:id="198397575">
      <w:bodyDiv w:val="1"/>
      <w:marLeft w:val="0"/>
      <w:marRight w:val="0"/>
      <w:marTop w:val="0"/>
      <w:marBottom w:val="0"/>
      <w:divBdr>
        <w:top w:val="none" w:sz="0" w:space="0" w:color="auto"/>
        <w:left w:val="none" w:sz="0" w:space="0" w:color="auto"/>
        <w:bottom w:val="none" w:sz="0" w:space="0" w:color="auto"/>
        <w:right w:val="none" w:sz="0" w:space="0" w:color="auto"/>
      </w:divBdr>
    </w:div>
    <w:div w:id="198398068">
      <w:bodyDiv w:val="1"/>
      <w:marLeft w:val="0"/>
      <w:marRight w:val="0"/>
      <w:marTop w:val="0"/>
      <w:marBottom w:val="0"/>
      <w:divBdr>
        <w:top w:val="none" w:sz="0" w:space="0" w:color="auto"/>
        <w:left w:val="none" w:sz="0" w:space="0" w:color="auto"/>
        <w:bottom w:val="none" w:sz="0" w:space="0" w:color="auto"/>
        <w:right w:val="none" w:sz="0" w:space="0" w:color="auto"/>
      </w:divBdr>
    </w:div>
    <w:div w:id="245189880">
      <w:bodyDiv w:val="1"/>
      <w:marLeft w:val="0"/>
      <w:marRight w:val="0"/>
      <w:marTop w:val="0"/>
      <w:marBottom w:val="0"/>
      <w:divBdr>
        <w:top w:val="none" w:sz="0" w:space="0" w:color="auto"/>
        <w:left w:val="none" w:sz="0" w:space="0" w:color="auto"/>
        <w:bottom w:val="none" w:sz="0" w:space="0" w:color="auto"/>
        <w:right w:val="none" w:sz="0" w:space="0" w:color="auto"/>
      </w:divBdr>
    </w:div>
    <w:div w:id="281614606">
      <w:bodyDiv w:val="1"/>
      <w:marLeft w:val="0"/>
      <w:marRight w:val="0"/>
      <w:marTop w:val="0"/>
      <w:marBottom w:val="0"/>
      <w:divBdr>
        <w:top w:val="none" w:sz="0" w:space="0" w:color="auto"/>
        <w:left w:val="none" w:sz="0" w:space="0" w:color="auto"/>
        <w:bottom w:val="none" w:sz="0" w:space="0" w:color="auto"/>
        <w:right w:val="none" w:sz="0" w:space="0" w:color="auto"/>
      </w:divBdr>
    </w:div>
    <w:div w:id="632635163">
      <w:bodyDiv w:val="1"/>
      <w:marLeft w:val="0"/>
      <w:marRight w:val="0"/>
      <w:marTop w:val="0"/>
      <w:marBottom w:val="0"/>
      <w:divBdr>
        <w:top w:val="none" w:sz="0" w:space="0" w:color="auto"/>
        <w:left w:val="none" w:sz="0" w:space="0" w:color="auto"/>
        <w:bottom w:val="none" w:sz="0" w:space="0" w:color="auto"/>
        <w:right w:val="none" w:sz="0" w:space="0" w:color="auto"/>
      </w:divBdr>
    </w:div>
    <w:div w:id="700127113">
      <w:bodyDiv w:val="1"/>
      <w:marLeft w:val="0"/>
      <w:marRight w:val="0"/>
      <w:marTop w:val="0"/>
      <w:marBottom w:val="0"/>
      <w:divBdr>
        <w:top w:val="none" w:sz="0" w:space="0" w:color="auto"/>
        <w:left w:val="none" w:sz="0" w:space="0" w:color="auto"/>
        <w:bottom w:val="none" w:sz="0" w:space="0" w:color="auto"/>
        <w:right w:val="none" w:sz="0" w:space="0" w:color="auto"/>
      </w:divBdr>
    </w:div>
    <w:div w:id="740101017">
      <w:bodyDiv w:val="1"/>
      <w:marLeft w:val="0"/>
      <w:marRight w:val="0"/>
      <w:marTop w:val="0"/>
      <w:marBottom w:val="0"/>
      <w:divBdr>
        <w:top w:val="none" w:sz="0" w:space="0" w:color="auto"/>
        <w:left w:val="none" w:sz="0" w:space="0" w:color="auto"/>
        <w:bottom w:val="none" w:sz="0" w:space="0" w:color="auto"/>
        <w:right w:val="none" w:sz="0" w:space="0" w:color="auto"/>
      </w:divBdr>
    </w:div>
    <w:div w:id="769010632">
      <w:bodyDiv w:val="1"/>
      <w:marLeft w:val="0"/>
      <w:marRight w:val="0"/>
      <w:marTop w:val="0"/>
      <w:marBottom w:val="0"/>
      <w:divBdr>
        <w:top w:val="none" w:sz="0" w:space="0" w:color="auto"/>
        <w:left w:val="none" w:sz="0" w:space="0" w:color="auto"/>
        <w:bottom w:val="none" w:sz="0" w:space="0" w:color="auto"/>
        <w:right w:val="none" w:sz="0" w:space="0" w:color="auto"/>
      </w:divBdr>
      <w:divsChild>
        <w:div w:id="1402830464">
          <w:marLeft w:val="0"/>
          <w:marRight w:val="0"/>
          <w:marTop w:val="90"/>
          <w:marBottom w:val="0"/>
          <w:divBdr>
            <w:top w:val="none" w:sz="0" w:space="0" w:color="auto"/>
            <w:left w:val="none" w:sz="0" w:space="0" w:color="auto"/>
            <w:bottom w:val="none" w:sz="0" w:space="0" w:color="auto"/>
            <w:right w:val="none" w:sz="0" w:space="0" w:color="auto"/>
          </w:divBdr>
          <w:divsChild>
            <w:div w:id="1856532420">
              <w:marLeft w:val="0"/>
              <w:marRight w:val="0"/>
              <w:marTop w:val="0"/>
              <w:marBottom w:val="420"/>
              <w:divBdr>
                <w:top w:val="none" w:sz="0" w:space="0" w:color="auto"/>
                <w:left w:val="none" w:sz="0" w:space="0" w:color="auto"/>
                <w:bottom w:val="none" w:sz="0" w:space="0" w:color="auto"/>
                <w:right w:val="none" w:sz="0" w:space="0" w:color="auto"/>
              </w:divBdr>
              <w:divsChild>
                <w:div w:id="676031648">
                  <w:marLeft w:val="0"/>
                  <w:marRight w:val="0"/>
                  <w:marTop w:val="0"/>
                  <w:marBottom w:val="0"/>
                  <w:divBdr>
                    <w:top w:val="none" w:sz="0" w:space="0" w:color="auto"/>
                    <w:left w:val="none" w:sz="0" w:space="0" w:color="auto"/>
                    <w:bottom w:val="none" w:sz="0" w:space="0" w:color="auto"/>
                    <w:right w:val="none" w:sz="0" w:space="0" w:color="auto"/>
                  </w:divBdr>
                  <w:divsChild>
                    <w:div w:id="1524858493">
                      <w:marLeft w:val="0"/>
                      <w:marRight w:val="0"/>
                      <w:marTop w:val="0"/>
                      <w:marBottom w:val="0"/>
                      <w:divBdr>
                        <w:top w:val="none" w:sz="0" w:space="0" w:color="auto"/>
                        <w:left w:val="none" w:sz="0" w:space="0" w:color="auto"/>
                        <w:bottom w:val="none" w:sz="0" w:space="0" w:color="auto"/>
                        <w:right w:val="none" w:sz="0" w:space="0" w:color="auto"/>
                      </w:divBdr>
                      <w:divsChild>
                        <w:div w:id="19569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094539">
      <w:bodyDiv w:val="1"/>
      <w:marLeft w:val="0"/>
      <w:marRight w:val="0"/>
      <w:marTop w:val="0"/>
      <w:marBottom w:val="0"/>
      <w:divBdr>
        <w:top w:val="none" w:sz="0" w:space="0" w:color="auto"/>
        <w:left w:val="none" w:sz="0" w:space="0" w:color="auto"/>
        <w:bottom w:val="none" w:sz="0" w:space="0" w:color="auto"/>
        <w:right w:val="none" w:sz="0" w:space="0" w:color="auto"/>
      </w:divBdr>
    </w:div>
    <w:div w:id="801926702">
      <w:bodyDiv w:val="1"/>
      <w:marLeft w:val="0"/>
      <w:marRight w:val="0"/>
      <w:marTop w:val="0"/>
      <w:marBottom w:val="0"/>
      <w:divBdr>
        <w:top w:val="none" w:sz="0" w:space="0" w:color="auto"/>
        <w:left w:val="none" w:sz="0" w:space="0" w:color="auto"/>
        <w:bottom w:val="none" w:sz="0" w:space="0" w:color="auto"/>
        <w:right w:val="none" w:sz="0" w:space="0" w:color="auto"/>
      </w:divBdr>
    </w:div>
    <w:div w:id="892958645">
      <w:bodyDiv w:val="1"/>
      <w:marLeft w:val="0"/>
      <w:marRight w:val="0"/>
      <w:marTop w:val="0"/>
      <w:marBottom w:val="0"/>
      <w:divBdr>
        <w:top w:val="none" w:sz="0" w:space="0" w:color="auto"/>
        <w:left w:val="none" w:sz="0" w:space="0" w:color="auto"/>
        <w:bottom w:val="none" w:sz="0" w:space="0" w:color="auto"/>
        <w:right w:val="none" w:sz="0" w:space="0" w:color="auto"/>
      </w:divBdr>
    </w:div>
    <w:div w:id="911700261">
      <w:bodyDiv w:val="1"/>
      <w:marLeft w:val="0"/>
      <w:marRight w:val="0"/>
      <w:marTop w:val="0"/>
      <w:marBottom w:val="0"/>
      <w:divBdr>
        <w:top w:val="none" w:sz="0" w:space="0" w:color="auto"/>
        <w:left w:val="none" w:sz="0" w:space="0" w:color="auto"/>
        <w:bottom w:val="none" w:sz="0" w:space="0" w:color="auto"/>
        <w:right w:val="none" w:sz="0" w:space="0" w:color="auto"/>
      </w:divBdr>
    </w:div>
    <w:div w:id="1002127261">
      <w:bodyDiv w:val="1"/>
      <w:marLeft w:val="0"/>
      <w:marRight w:val="0"/>
      <w:marTop w:val="0"/>
      <w:marBottom w:val="0"/>
      <w:divBdr>
        <w:top w:val="none" w:sz="0" w:space="0" w:color="auto"/>
        <w:left w:val="none" w:sz="0" w:space="0" w:color="auto"/>
        <w:bottom w:val="none" w:sz="0" w:space="0" w:color="auto"/>
        <w:right w:val="none" w:sz="0" w:space="0" w:color="auto"/>
      </w:divBdr>
    </w:div>
    <w:div w:id="1088426186">
      <w:bodyDiv w:val="1"/>
      <w:marLeft w:val="0"/>
      <w:marRight w:val="0"/>
      <w:marTop w:val="0"/>
      <w:marBottom w:val="0"/>
      <w:divBdr>
        <w:top w:val="none" w:sz="0" w:space="0" w:color="auto"/>
        <w:left w:val="none" w:sz="0" w:space="0" w:color="auto"/>
        <w:bottom w:val="none" w:sz="0" w:space="0" w:color="auto"/>
        <w:right w:val="none" w:sz="0" w:space="0" w:color="auto"/>
      </w:divBdr>
    </w:div>
    <w:div w:id="1136802568">
      <w:bodyDiv w:val="1"/>
      <w:marLeft w:val="0"/>
      <w:marRight w:val="0"/>
      <w:marTop w:val="0"/>
      <w:marBottom w:val="0"/>
      <w:divBdr>
        <w:top w:val="none" w:sz="0" w:space="0" w:color="auto"/>
        <w:left w:val="none" w:sz="0" w:space="0" w:color="auto"/>
        <w:bottom w:val="none" w:sz="0" w:space="0" w:color="auto"/>
        <w:right w:val="none" w:sz="0" w:space="0" w:color="auto"/>
      </w:divBdr>
    </w:div>
    <w:div w:id="1163738544">
      <w:bodyDiv w:val="1"/>
      <w:marLeft w:val="0"/>
      <w:marRight w:val="0"/>
      <w:marTop w:val="0"/>
      <w:marBottom w:val="0"/>
      <w:divBdr>
        <w:top w:val="none" w:sz="0" w:space="0" w:color="auto"/>
        <w:left w:val="none" w:sz="0" w:space="0" w:color="auto"/>
        <w:bottom w:val="none" w:sz="0" w:space="0" w:color="auto"/>
        <w:right w:val="none" w:sz="0" w:space="0" w:color="auto"/>
      </w:divBdr>
    </w:div>
    <w:div w:id="1173758866">
      <w:bodyDiv w:val="1"/>
      <w:marLeft w:val="0"/>
      <w:marRight w:val="0"/>
      <w:marTop w:val="0"/>
      <w:marBottom w:val="0"/>
      <w:divBdr>
        <w:top w:val="none" w:sz="0" w:space="0" w:color="auto"/>
        <w:left w:val="none" w:sz="0" w:space="0" w:color="auto"/>
        <w:bottom w:val="none" w:sz="0" w:space="0" w:color="auto"/>
        <w:right w:val="none" w:sz="0" w:space="0" w:color="auto"/>
      </w:divBdr>
    </w:div>
    <w:div w:id="1256281039">
      <w:bodyDiv w:val="1"/>
      <w:marLeft w:val="0"/>
      <w:marRight w:val="0"/>
      <w:marTop w:val="0"/>
      <w:marBottom w:val="0"/>
      <w:divBdr>
        <w:top w:val="none" w:sz="0" w:space="0" w:color="auto"/>
        <w:left w:val="none" w:sz="0" w:space="0" w:color="auto"/>
        <w:bottom w:val="none" w:sz="0" w:space="0" w:color="auto"/>
        <w:right w:val="none" w:sz="0" w:space="0" w:color="auto"/>
      </w:divBdr>
    </w:div>
    <w:div w:id="1267733299">
      <w:bodyDiv w:val="1"/>
      <w:marLeft w:val="0"/>
      <w:marRight w:val="0"/>
      <w:marTop w:val="0"/>
      <w:marBottom w:val="0"/>
      <w:divBdr>
        <w:top w:val="none" w:sz="0" w:space="0" w:color="auto"/>
        <w:left w:val="none" w:sz="0" w:space="0" w:color="auto"/>
        <w:bottom w:val="none" w:sz="0" w:space="0" w:color="auto"/>
        <w:right w:val="none" w:sz="0" w:space="0" w:color="auto"/>
      </w:divBdr>
    </w:div>
    <w:div w:id="1268611150">
      <w:bodyDiv w:val="1"/>
      <w:marLeft w:val="0"/>
      <w:marRight w:val="0"/>
      <w:marTop w:val="0"/>
      <w:marBottom w:val="0"/>
      <w:divBdr>
        <w:top w:val="none" w:sz="0" w:space="0" w:color="auto"/>
        <w:left w:val="none" w:sz="0" w:space="0" w:color="auto"/>
        <w:bottom w:val="none" w:sz="0" w:space="0" w:color="auto"/>
        <w:right w:val="none" w:sz="0" w:space="0" w:color="auto"/>
      </w:divBdr>
    </w:div>
    <w:div w:id="1303660891">
      <w:bodyDiv w:val="1"/>
      <w:marLeft w:val="0"/>
      <w:marRight w:val="0"/>
      <w:marTop w:val="0"/>
      <w:marBottom w:val="0"/>
      <w:divBdr>
        <w:top w:val="none" w:sz="0" w:space="0" w:color="auto"/>
        <w:left w:val="none" w:sz="0" w:space="0" w:color="auto"/>
        <w:bottom w:val="none" w:sz="0" w:space="0" w:color="auto"/>
        <w:right w:val="none" w:sz="0" w:space="0" w:color="auto"/>
      </w:divBdr>
    </w:div>
    <w:div w:id="1308970145">
      <w:bodyDiv w:val="1"/>
      <w:marLeft w:val="0"/>
      <w:marRight w:val="0"/>
      <w:marTop w:val="0"/>
      <w:marBottom w:val="0"/>
      <w:divBdr>
        <w:top w:val="none" w:sz="0" w:space="0" w:color="auto"/>
        <w:left w:val="none" w:sz="0" w:space="0" w:color="auto"/>
        <w:bottom w:val="none" w:sz="0" w:space="0" w:color="auto"/>
        <w:right w:val="none" w:sz="0" w:space="0" w:color="auto"/>
      </w:divBdr>
    </w:div>
    <w:div w:id="1354695796">
      <w:bodyDiv w:val="1"/>
      <w:marLeft w:val="0"/>
      <w:marRight w:val="0"/>
      <w:marTop w:val="0"/>
      <w:marBottom w:val="0"/>
      <w:divBdr>
        <w:top w:val="none" w:sz="0" w:space="0" w:color="auto"/>
        <w:left w:val="none" w:sz="0" w:space="0" w:color="auto"/>
        <w:bottom w:val="none" w:sz="0" w:space="0" w:color="auto"/>
        <w:right w:val="none" w:sz="0" w:space="0" w:color="auto"/>
      </w:divBdr>
    </w:div>
    <w:div w:id="1375695704">
      <w:bodyDiv w:val="1"/>
      <w:marLeft w:val="0"/>
      <w:marRight w:val="0"/>
      <w:marTop w:val="0"/>
      <w:marBottom w:val="0"/>
      <w:divBdr>
        <w:top w:val="none" w:sz="0" w:space="0" w:color="auto"/>
        <w:left w:val="none" w:sz="0" w:space="0" w:color="auto"/>
        <w:bottom w:val="none" w:sz="0" w:space="0" w:color="auto"/>
        <w:right w:val="none" w:sz="0" w:space="0" w:color="auto"/>
      </w:divBdr>
    </w:div>
    <w:div w:id="1419205636">
      <w:bodyDiv w:val="1"/>
      <w:marLeft w:val="0"/>
      <w:marRight w:val="0"/>
      <w:marTop w:val="0"/>
      <w:marBottom w:val="0"/>
      <w:divBdr>
        <w:top w:val="none" w:sz="0" w:space="0" w:color="auto"/>
        <w:left w:val="none" w:sz="0" w:space="0" w:color="auto"/>
        <w:bottom w:val="none" w:sz="0" w:space="0" w:color="auto"/>
        <w:right w:val="none" w:sz="0" w:space="0" w:color="auto"/>
      </w:divBdr>
    </w:div>
    <w:div w:id="1428036130">
      <w:bodyDiv w:val="1"/>
      <w:marLeft w:val="0"/>
      <w:marRight w:val="0"/>
      <w:marTop w:val="0"/>
      <w:marBottom w:val="0"/>
      <w:divBdr>
        <w:top w:val="none" w:sz="0" w:space="0" w:color="auto"/>
        <w:left w:val="none" w:sz="0" w:space="0" w:color="auto"/>
        <w:bottom w:val="none" w:sz="0" w:space="0" w:color="auto"/>
        <w:right w:val="none" w:sz="0" w:space="0" w:color="auto"/>
      </w:divBdr>
    </w:div>
    <w:div w:id="1511262156">
      <w:bodyDiv w:val="1"/>
      <w:marLeft w:val="0"/>
      <w:marRight w:val="0"/>
      <w:marTop w:val="0"/>
      <w:marBottom w:val="0"/>
      <w:divBdr>
        <w:top w:val="none" w:sz="0" w:space="0" w:color="auto"/>
        <w:left w:val="none" w:sz="0" w:space="0" w:color="auto"/>
        <w:bottom w:val="none" w:sz="0" w:space="0" w:color="auto"/>
        <w:right w:val="none" w:sz="0" w:space="0" w:color="auto"/>
      </w:divBdr>
    </w:div>
    <w:div w:id="1574582757">
      <w:bodyDiv w:val="1"/>
      <w:marLeft w:val="0"/>
      <w:marRight w:val="0"/>
      <w:marTop w:val="0"/>
      <w:marBottom w:val="0"/>
      <w:divBdr>
        <w:top w:val="none" w:sz="0" w:space="0" w:color="auto"/>
        <w:left w:val="none" w:sz="0" w:space="0" w:color="auto"/>
        <w:bottom w:val="none" w:sz="0" w:space="0" w:color="auto"/>
        <w:right w:val="none" w:sz="0" w:space="0" w:color="auto"/>
      </w:divBdr>
    </w:div>
    <w:div w:id="1627079887">
      <w:bodyDiv w:val="1"/>
      <w:marLeft w:val="0"/>
      <w:marRight w:val="0"/>
      <w:marTop w:val="0"/>
      <w:marBottom w:val="0"/>
      <w:divBdr>
        <w:top w:val="none" w:sz="0" w:space="0" w:color="auto"/>
        <w:left w:val="none" w:sz="0" w:space="0" w:color="auto"/>
        <w:bottom w:val="none" w:sz="0" w:space="0" w:color="auto"/>
        <w:right w:val="none" w:sz="0" w:space="0" w:color="auto"/>
      </w:divBdr>
    </w:div>
    <w:div w:id="1661730908">
      <w:bodyDiv w:val="1"/>
      <w:marLeft w:val="0"/>
      <w:marRight w:val="0"/>
      <w:marTop w:val="0"/>
      <w:marBottom w:val="0"/>
      <w:divBdr>
        <w:top w:val="none" w:sz="0" w:space="0" w:color="auto"/>
        <w:left w:val="none" w:sz="0" w:space="0" w:color="auto"/>
        <w:bottom w:val="none" w:sz="0" w:space="0" w:color="auto"/>
        <w:right w:val="none" w:sz="0" w:space="0" w:color="auto"/>
      </w:divBdr>
    </w:div>
    <w:div w:id="1734230790">
      <w:bodyDiv w:val="1"/>
      <w:marLeft w:val="0"/>
      <w:marRight w:val="0"/>
      <w:marTop w:val="0"/>
      <w:marBottom w:val="0"/>
      <w:divBdr>
        <w:top w:val="none" w:sz="0" w:space="0" w:color="auto"/>
        <w:left w:val="none" w:sz="0" w:space="0" w:color="auto"/>
        <w:bottom w:val="none" w:sz="0" w:space="0" w:color="auto"/>
        <w:right w:val="none" w:sz="0" w:space="0" w:color="auto"/>
      </w:divBdr>
    </w:div>
    <w:div w:id="1795054434">
      <w:bodyDiv w:val="1"/>
      <w:marLeft w:val="0"/>
      <w:marRight w:val="0"/>
      <w:marTop w:val="0"/>
      <w:marBottom w:val="0"/>
      <w:divBdr>
        <w:top w:val="none" w:sz="0" w:space="0" w:color="auto"/>
        <w:left w:val="none" w:sz="0" w:space="0" w:color="auto"/>
        <w:bottom w:val="none" w:sz="0" w:space="0" w:color="auto"/>
        <w:right w:val="none" w:sz="0" w:space="0" w:color="auto"/>
      </w:divBdr>
    </w:div>
    <w:div w:id="1798330507">
      <w:bodyDiv w:val="1"/>
      <w:marLeft w:val="0"/>
      <w:marRight w:val="0"/>
      <w:marTop w:val="0"/>
      <w:marBottom w:val="0"/>
      <w:divBdr>
        <w:top w:val="none" w:sz="0" w:space="0" w:color="auto"/>
        <w:left w:val="none" w:sz="0" w:space="0" w:color="auto"/>
        <w:bottom w:val="none" w:sz="0" w:space="0" w:color="auto"/>
        <w:right w:val="none" w:sz="0" w:space="0" w:color="auto"/>
      </w:divBdr>
    </w:div>
    <w:div w:id="1877501104">
      <w:bodyDiv w:val="1"/>
      <w:marLeft w:val="0"/>
      <w:marRight w:val="0"/>
      <w:marTop w:val="0"/>
      <w:marBottom w:val="0"/>
      <w:divBdr>
        <w:top w:val="none" w:sz="0" w:space="0" w:color="auto"/>
        <w:left w:val="none" w:sz="0" w:space="0" w:color="auto"/>
        <w:bottom w:val="none" w:sz="0" w:space="0" w:color="auto"/>
        <w:right w:val="none" w:sz="0" w:space="0" w:color="auto"/>
      </w:divBdr>
    </w:div>
    <w:div w:id="1880626685">
      <w:bodyDiv w:val="1"/>
      <w:marLeft w:val="0"/>
      <w:marRight w:val="0"/>
      <w:marTop w:val="0"/>
      <w:marBottom w:val="0"/>
      <w:divBdr>
        <w:top w:val="none" w:sz="0" w:space="0" w:color="auto"/>
        <w:left w:val="none" w:sz="0" w:space="0" w:color="auto"/>
        <w:bottom w:val="none" w:sz="0" w:space="0" w:color="auto"/>
        <w:right w:val="none" w:sz="0" w:space="0" w:color="auto"/>
      </w:divBdr>
    </w:div>
    <w:div w:id="2020961503">
      <w:bodyDiv w:val="1"/>
      <w:marLeft w:val="0"/>
      <w:marRight w:val="0"/>
      <w:marTop w:val="0"/>
      <w:marBottom w:val="0"/>
      <w:divBdr>
        <w:top w:val="none" w:sz="0" w:space="0" w:color="auto"/>
        <w:left w:val="none" w:sz="0" w:space="0" w:color="auto"/>
        <w:bottom w:val="none" w:sz="0" w:space="0" w:color="auto"/>
        <w:right w:val="none" w:sz="0" w:space="0" w:color="auto"/>
      </w:divBdr>
    </w:div>
    <w:div w:id="208224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communication-european-strategy-data-19feb2020_en.pdf" TargetMode="External"/><Relationship Id="rId2" Type="http://schemas.openxmlformats.org/officeDocument/2006/relationships/hyperlink" Target="https://ec.europa.eu/info/law/better-regulation/have-your-say/initiatives/12227" TargetMode="External"/><Relationship Id="rId1" Type="http://schemas.openxmlformats.org/officeDocument/2006/relationships/hyperlink" Target="https://ec.europa.eu/info/law/better-regulation/have-your-say/initiatives/12369-Union-renewable-Financing-mechan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3CB210D939974DBA2188DE497A4746" ma:contentTypeVersion="0" ma:contentTypeDescription="Create a new document." ma:contentTypeScope="" ma:versionID="b7336325627bfbea2152293cc9c0a5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7B8FB-1F76-41BC-A565-209BB935B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5E251-D535-4BB2-AED9-AC0DA81BB9A0}">
  <ds:schemaRefs>
    <ds:schemaRef ds:uri="http://schemas.microsoft.com/sharepoint/v3/contenttype/forms"/>
  </ds:schemaRefs>
</ds:datastoreItem>
</file>

<file path=customXml/itemProps3.xml><?xml version="1.0" encoding="utf-8"?>
<ds:datastoreItem xmlns:ds="http://schemas.openxmlformats.org/officeDocument/2006/customXml" ds:itemID="{B6B3C070-A9C8-425A-9406-15AFEA15884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F291326F-34F5-41EC-9687-E65470B8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11005</Words>
  <Characters>67466</Characters>
  <Application>Microsoft Office Word</Application>
  <DocSecurity>0</DocSecurity>
  <Lines>1106</Lines>
  <Paragraphs>181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2020-07-07T16:02:00Z</dcterms:created>
  <dcterms:modified xsi:type="dcterms:W3CDTF">2020-08-04T12:57:00Z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y fmtid="{D5CDD505-2E9C-101B-9397-08002B2CF9AE}" pid="8" name="_LW_INVALIDATED__LW_INVALIDATED__LW_INVALIDATED__LW_INVALIDATED__LW_INVALIDATED__LW_INVALIDATED__LW_INVALIDATED__LW_INVALIDATED_ContentTypeId">
    <vt:lpwstr>0x010100963CB210D939974DBA2188DE497A4746</vt:lpwstr>
  </property>
</Properties>
</file>