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6426C4D-4E2E-43F4-9F10-59A789585486" style="width:450.75pt;height:451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Решение №…/2020 на Комитета за асоцииране ЕС—Грузия в състав „Търговия“</w:t>
      </w:r>
    </w:p>
    <w:p>
      <w:pPr>
        <w:jc w:val="center"/>
        <w:rPr>
          <w:b/>
          <w:noProof/>
        </w:rPr>
      </w:pPr>
      <w:r>
        <w:rPr>
          <w:b/>
          <w:noProof/>
        </w:rPr>
        <w:t>от xx.xx.2020 година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>за изменение на приложение XIII („Сближаване на митническото законодателство“) към глава 5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</w:t>
      </w:r>
    </w:p>
    <w:p>
      <w:pPr>
        <w:spacing w:line="276" w:lineRule="auto"/>
        <w:rPr>
          <w:noProof/>
        </w:rPr>
      </w:pPr>
      <w:r>
        <w:rPr>
          <w:noProof/>
        </w:rPr>
        <w:t>КОМИТЕТЪТ ЗА АСОЦИИРАНЕ В СЪСТАВ „ТЪРГОВИЯ“,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и по-специално член 84 и член 465, параграф 3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 беше подписано на 27 юни 2014 г. и влезе в сила през юли 2016 г.</w:t>
      </w:r>
    </w:p>
    <w:p>
      <w:pPr>
        <w:pStyle w:val="Considrant"/>
        <w:rPr>
          <w:noProof/>
        </w:rPr>
      </w:pPr>
      <w:r>
        <w:rPr>
          <w:noProof/>
        </w:rPr>
        <w:t>В преамбюла на споразумението се признава желанието на страните да напреднат по отношение на реформата и процеса на сближаване в Грузия, с което да се допринесе за постепенната икономическа интеграция и за задълбочаването на политическото асоцииране, както и за постигането на икономическа интеграция чрез пространно регулаторно сближаване.</w:t>
      </w:r>
    </w:p>
    <w:p>
      <w:pPr>
        <w:pStyle w:val="Considrant"/>
        <w:rPr>
          <w:noProof/>
        </w:rPr>
      </w:pPr>
      <w:r>
        <w:rPr>
          <w:noProof/>
        </w:rPr>
        <w:t xml:space="preserve">В съответствие с член 75 от споразумението Грузия пое ангажимент да сближи своето митническо законодателство с митническото законодателство на ЕС съгласно предвиденото в приложение XIII към споразумението. </w:t>
      </w:r>
    </w:p>
    <w:p>
      <w:pPr>
        <w:pStyle w:val="Considrant"/>
        <w:rPr>
          <w:noProof/>
        </w:rPr>
      </w:pPr>
      <w:r>
        <w:rPr>
          <w:noProof/>
        </w:rPr>
        <w:t>Като се има предвид, че посоченото в приложение XIII („Сближаване на митническото законодателство“) право на ЕС се е развило значително от момента на приключването на преговорите по споразумението, това развитие следва да бъде отразено в приложение XIII към споразумението,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rPr>
          <w:noProof/>
        </w:rPr>
      </w:pPr>
    </w:p>
    <w:p>
      <w:pPr>
        <w:keepNext/>
        <w:spacing w:before="240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 XIII („Сближаване на митническото законодателство“) към споразумението се заменя с приложението към настоящото решение.</w:t>
      </w:r>
    </w:p>
    <w:p>
      <w:pPr>
        <w:rPr>
          <w:noProof/>
        </w:rPr>
      </w:pPr>
    </w:p>
    <w:p>
      <w:pPr>
        <w:pStyle w:val="Artic"/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pStyle w:val="Artic"/>
        <w:rPr>
          <w:noProof/>
        </w:rPr>
      </w:pPr>
      <w:r>
        <w:rPr>
          <w:noProof/>
        </w:rPr>
        <w:t>Настоящото решение е съставено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грузински език, като текстовете на всички езици са автентични.</w:t>
      </w:r>
    </w:p>
    <w:p>
      <w:pPr>
        <w:pStyle w:val="Artic"/>
        <w:rPr>
          <w:noProof/>
        </w:rPr>
      </w:pPr>
    </w:p>
    <w:p>
      <w:pPr>
        <w:keepNext/>
        <w:spacing w:before="360"/>
        <w:jc w:val="center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Съставено в […] на […]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spacing w:before="0" w:after="0"/>
              <w:jc w:val="center"/>
              <w:rPr>
                <w:i/>
                <w:noProof/>
              </w:rPr>
            </w:pPr>
          </w:p>
          <w:p>
            <w:pPr>
              <w:spacing w:before="0" w:after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За Комитета за асоцииране</w:t>
            </w:r>
          </w:p>
          <w:p>
            <w:pPr>
              <w:spacing w:before="0" w:after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в състав „Търговия“</w:t>
            </w:r>
          </w:p>
          <w:p>
            <w:pPr>
              <w:jc w:val="center"/>
              <w:rPr>
                <w:noProof/>
              </w:rPr>
            </w:pPr>
          </w:p>
        </w:tc>
      </w:tr>
      <w:tr>
        <w:tc>
          <w:tcPr>
            <w:tcW w:w="4606" w:type="dxa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>Председател</w:t>
            </w:r>
          </w:p>
        </w:tc>
        <w:tc>
          <w:tcPr>
            <w:tcW w:w="4607" w:type="dxa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>Секретари</w:t>
            </w:r>
          </w:p>
        </w:tc>
      </w:tr>
    </w:tbl>
    <w:p>
      <w:pPr>
        <w:spacing w:before="0" w:line="276" w:lineRule="auto"/>
        <w:jc w:val="lef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spacing w:after="240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</w:t>
      </w:r>
    </w:p>
    <w:p>
      <w:pPr>
        <w:jc w:val="center"/>
        <w:rPr>
          <w:noProof/>
          <w:szCs w:val="24"/>
        </w:rPr>
      </w:pPr>
      <w:r>
        <w:rPr>
          <w:noProof/>
        </w:rPr>
        <w:t>ПРИЛОЖЕНИЕ XIII КЪМ ГЛАВА 5</w:t>
      </w:r>
    </w:p>
    <w:p>
      <w:pPr>
        <w:jc w:val="center"/>
        <w:rPr>
          <w:noProof/>
          <w:szCs w:val="24"/>
        </w:rPr>
      </w:pPr>
    </w:p>
    <w:p>
      <w:pPr>
        <w:spacing w:before="0" w:after="0"/>
        <w:jc w:val="center"/>
        <w:rPr>
          <w:rFonts w:eastAsia="Arial Unicode MS"/>
          <w:b/>
          <w:caps/>
          <w:noProof/>
        </w:rPr>
      </w:pPr>
      <w:r>
        <w:rPr>
          <w:b/>
          <w:caps/>
          <w:noProof/>
        </w:rPr>
        <w:t>Сближаване на митническото законодателство</w:t>
      </w:r>
    </w:p>
    <w:p>
      <w:pPr>
        <w:spacing w:before="0" w:after="0"/>
        <w:jc w:val="center"/>
        <w:rPr>
          <w:rFonts w:eastAsia="Arial Unicode MS"/>
          <w:b/>
          <w:caps/>
          <w:noProof/>
        </w:rPr>
      </w:pPr>
    </w:p>
    <w:p>
      <w:pPr>
        <w:spacing w:before="0" w:after="0"/>
        <w:rPr>
          <w:b/>
          <w:caps/>
          <w:noProof/>
          <w:szCs w:val="24"/>
        </w:rPr>
      </w:pPr>
    </w:p>
    <w:p>
      <w:pPr>
        <w:spacing w:before="0" w:after="0"/>
        <w:rPr>
          <w:b/>
          <w:noProof/>
          <w:szCs w:val="24"/>
        </w:rPr>
      </w:pPr>
      <w:r>
        <w:rPr>
          <w:b/>
          <w:noProof/>
          <w:szCs w:val="24"/>
        </w:rPr>
        <w:t>Митнически кодекс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b/>
          <w:noProof/>
          <w:szCs w:val="24"/>
        </w:rPr>
      </w:pPr>
      <w:r>
        <w:rPr>
          <w:b/>
          <w:noProof/>
          <w:szCs w:val="24"/>
        </w:rPr>
        <w:t>Регламент (ЕС) № 952/2013 на Европейския парламент и на Съвета от 9 октомври 2013 г. за създаване на Митнически кодекс на Съюза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График: Сближаването с разпоредбите на посочения по-горе регламент, с изключение на членове 1 и 4, член 27, параграф 1, буква б), членове 53, 81 и 82, член 87, параграф 4, член 89, параграф 2, буква а), членове 155—157, член 211, параграф 4, буква б), член 227, член 233, параграф 1, буква в) и членове 284—288, се извършва в срок от четири години след влизане в сила на настоящото споразумение. 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Преди изтичането на посочения по-горе срок за сближаване страните разглеждат отново напредъка по сближаването с член 210 от Митническия кодекс на Съюза — „Специални режими“.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Сближаването с член 247 се осъществява въз основа на принципа за полагане на максимални усилия.</w:t>
      </w:r>
      <w:r>
        <w:rPr>
          <w:noProof/>
          <w:szCs w:val="24"/>
          <w:highlight w:val="lightGray"/>
        </w:rPr>
        <w:t xml:space="preserve"> 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b/>
          <w:noProof/>
          <w:szCs w:val="24"/>
        </w:rPr>
      </w:pPr>
      <w:r>
        <w:rPr>
          <w:b/>
          <w:noProof/>
          <w:szCs w:val="24"/>
        </w:rPr>
        <w:t>Общ транзит и единен административен документ (ЕАД)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Конвенция от 20 май 1987 г. за опростяване на формалностите при търговията със стоки </w:t>
      </w: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Конвенция от 20 май 1987 г. за общ транзитен режим </w:t>
      </w:r>
    </w:p>
    <w:p>
      <w:pPr>
        <w:spacing w:before="0" w:after="0"/>
        <w:rPr>
          <w:b/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График: Сближаването с разпоредбите на посочените по-горе конвенции, включително посредством евентуалното присъединяване на Грузия към тях, се извършва в срок от четири години след влизане в сила на настоящото споразумение. 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b/>
          <w:noProof/>
          <w:szCs w:val="24"/>
        </w:rPr>
      </w:pPr>
      <w:r>
        <w:rPr>
          <w:b/>
          <w:noProof/>
          <w:szCs w:val="24"/>
        </w:rPr>
        <w:t xml:space="preserve">Митнически освобождавания 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Регламент (ЕО) № 1186/2009 на Съвета от 16 ноември 2009 г. за установяване на система на Общността за митнически освобождавания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График: Сближаването с дялове I и II на посочения по-горе регламент се извършва в срок от четири години след влизане в сила на настоящото споразумение. 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b/>
          <w:noProof/>
          <w:szCs w:val="24"/>
        </w:rPr>
      </w:pPr>
      <w:r>
        <w:rPr>
          <w:b/>
          <w:noProof/>
          <w:szCs w:val="24"/>
        </w:rPr>
        <w:t xml:space="preserve">Защита на правата върху интелектуалната собственост 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Регламент (ЕС) № 608/2013 на Европейския парламент и на Съвета от 12 юни 2013 г. относно защитата на правата върху интелектуалната собственост, осъществявана от митническите органи 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График: Сближаването с разпоредбите на посочения по-горе регламент, с изключение на член 26, се извършва в срок от три години след влизане в сила на настоящото споразумение. Задължението за сближаване с Регламент № 608/2013 само по себе си не създава задължение за Грузия да налага мерки в случаите, в които дадено право върху интелектуална собственост не е защитено съгласно материалните разпоредби на нейните законови и подзаконови актове.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9909E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47A52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14E8C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4F0A4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B84FB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00B1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FC811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52E2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8-03 08:48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3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6426C4D-4E2E-43F4-9F10-59A789585486"/>
    <w:docVar w:name="LW_COVERPAGE_TYPE" w:val="1"/>
    <w:docVar w:name="LW_CROSSREFERENCE" w:val="&lt;UNUSED&gt;"/>
    <w:docVar w:name="LW_DocType" w:val="ANNEX"/>
    <w:docVar w:name="LW_EMISSION" w:val="5.8.2020"/>
    <w:docVar w:name="LW_EMISSION_ISODATE" w:val="2020-08-0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, \u1074?\u1098?\u1074? \u1074?\u1088?\u1098?\u1079?\u1082?\u1072? \u1089? \u1072?\u1082?\u1090?\u1091?\u1072?\u1083?\u1080?\u1079?\u1080?\u1088?\u1072?\u1085?\u1077?\u1090?\u1086? \u1085?\u1072? \u1087?\u1088?\u1080?\u1083?\u1086?\u1078?\u1077?\u1085?\u1080?\u1077? XIII (\u1057?\u1073?\u1083?\u1080?\u1078?\u1072?\u1074?\u1072?\u1085?\u1077? \u1085?\u1072? \u1084?\u1080?\u1090?\u1085?\u1080?\u1095?\u1077?\u1089?\u1082?\u1086?\u1090?\u1086? \u1079?\u1072?\u1082?\u1086?\u1085?\u1086?\u1076?\u1072?\u1090?\u1077?\u1083?\u1089?\u1090?\u1074?\u1086?) \u1082?\u1098?\u1084? \u1089?\u1087?\u1086?\u1088?\u1072?\u1079?\u1091?\u1084?\u1077?\u1085?\u1080?\u1077?\u1090?\u1086?&lt;/FMT&gt;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, \u1074?\u1098?\u1074? \u1074?\u1088?\u1098?\u1079?\u1082?\u1072? \u1089? \u1072?\u1082?\u1090?\u1091?\u1072?\u1083?\u1080?\u1079?\u1080?\u1088?\u1072?\u1085?\u1077?\u1090?\u1086? \u1085?\u1072? \u1087?\u1088?\u1080?\u1083?\u1086?\u1078?\u1077?\u1085?\u1080?\u1077? XIII (\u1057?\u1073?\u1083?\u1080?\u1078?\u1072?\u1074?\u1072?\u1085?\u1077? \u1085?\u1072? \u1084?\u1080?\u1090?\u1085?\u1080?\u1095?\u1077?\u1089?\u1082?\u1086?\u1090?\u1086? \u1079?\u1072?\u1082?\u1086?\u1085?\u1086?\u1076?\u1072?\u1090?\u1077?\u1083?\u1089?\u1090?\u1074?\u1086?) \u1082?\u1098?\u1084? \u1089?\u1087?\u1086?\u1088?\u1072?\u1079?\u1091?\u1084?\u1077?\u1085?\u1080?\u1077?\u1090?\u1086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5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_x000b_"/>
    <w:docVar w:name="LW_TYPEACTEPRINCIPAL.CP" w:val="\u1056?\u1045?\u1064?\u1045?\u1053?\u1048?\u1045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Artic">
    <w:name w:val="Artic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Artic">
    <w:name w:val="Artic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D421C5-8C57-44DF-A498-FA13023C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698</Words>
  <Characters>4014</Characters>
  <Application>Microsoft Office Word</Application>
  <DocSecurity>0</DocSecurity>
  <Lines>108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cp:lastPrinted>2020-01-30T11:03:00Z</cp:lastPrinted>
  <dcterms:created xsi:type="dcterms:W3CDTF">2020-07-24T15:23:00Z</dcterms:created>
  <dcterms:modified xsi:type="dcterms:W3CDTF">2020-08-03T06:48:00Z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