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9EC249F-CA87-43AB-B276-27107104326C" style="width:450.35pt;height:307.7pt">
            <v:imagedata r:id="rId9" o:title=""/>
          </v:shape>
        </w:pict>
      </w:r>
    </w:p>
    <w:bookmarkEnd w:id="0"/>
    <w:p>
      <w:pPr>
        <w:pStyle w:val="Pagedecouverture"/>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60"/>
        </w:sectPr>
      </w:pPr>
    </w:p>
    <w:bookmarkStart w:id="1" w:name="_GoBack"/>
    <w:bookmarkEnd w:id="1"/>
    <w:p>
      <w:pPr>
        <w:pStyle w:val="TOC2"/>
        <w:tabs>
          <w:tab w:val="right" w:leader="dot" w:pos="9106"/>
        </w:tabs>
        <w:rPr>
          <w:rFonts w:asciiTheme="minorHAnsi" w:eastAsiaTheme="minorEastAsia" w:hAnsiTheme="minorHAnsi" w:cstheme="minorBidi"/>
          <w:noProof/>
          <w:color w:val="auto"/>
          <w:sz w:val="22"/>
          <w:szCs w:val="22"/>
          <w:lang w:val="en-US" w:bidi="ar-SA"/>
        </w:rPr>
      </w:pPr>
      <w:r>
        <w:rPr>
          <w:noProof/>
        </w:rPr>
        <w:lastRenderedPageBreak/>
        <w:fldChar w:fldCharType="begin"/>
      </w:r>
      <w:r>
        <w:rPr>
          <w:noProof/>
        </w:rPr>
        <w:instrText xml:space="preserve"> TOC \o "1-5" \h \z </w:instrText>
      </w:r>
      <w:r>
        <w:rPr>
          <w:noProof/>
        </w:rPr>
        <w:fldChar w:fldCharType="separate"/>
      </w:r>
      <w:hyperlink w:anchor="_Toc47080725" w:history="1">
        <w:r>
          <w:rPr>
            <w:rStyle w:val="Hyperlink"/>
            <w:noProof/>
          </w:rPr>
          <w:t>В</w:t>
        </w:r>
        <w:r>
          <w:rPr>
            <w:rStyle w:val="Hyperlink"/>
            <w:smallCaps/>
            <w:noProof/>
          </w:rPr>
          <w:t>ъведение</w:t>
        </w:r>
        <w:r>
          <w:rPr>
            <w:noProof/>
            <w:webHidden/>
          </w:rPr>
          <w:tab/>
        </w:r>
        <w:r>
          <w:rPr>
            <w:noProof/>
            <w:webHidden/>
          </w:rPr>
          <w:fldChar w:fldCharType="begin"/>
        </w:r>
        <w:r>
          <w:rPr>
            <w:noProof/>
            <w:webHidden/>
          </w:rPr>
          <w:instrText xml:space="preserve"> PAGEREF _Toc47080725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9106"/>
        </w:tabs>
        <w:rPr>
          <w:rFonts w:asciiTheme="minorHAnsi" w:eastAsiaTheme="minorEastAsia" w:hAnsiTheme="minorHAnsi" w:cstheme="minorBidi"/>
          <w:noProof/>
          <w:color w:val="auto"/>
          <w:sz w:val="22"/>
          <w:szCs w:val="22"/>
          <w:lang w:val="en-US" w:bidi="ar-SA"/>
        </w:rPr>
      </w:pPr>
      <w:hyperlink w:anchor="_Toc47080726" w:history="1">
        <w:r>
          <w:rPr>
            <w:rStyle w:val="Hyperlink"/>
            <w:noProof/>
          </w:rPr>
          <w:t>O</w:t>
        </w:r>
        <w:r>
          <w:rPr>
            <w:rStyle w:val="Hyperlink"/>
            <w:smallCaps/>
            <w:noProof/>
          </w:rPr>
          <w:t xml:space="preserve">перации за хуманитарна помощ, </w:t>
        </w:r>
        <w:r>
          <w:rPr>
            <w:rStyle w:val="Hyperlink"/>
            <w:noProof/>
          </w:rPr>
          <w:t>финансирани през 2019 г.</w:t>
        </w:r>
        <w:r>
          <w:rPr>
            <w:noProof/>
            <w:webHidden/>
          </w:rPr>
          <w:tab/>
        </w:r>
        <w:r>
          <w:rPr>
            <w:noProof/>
            <w:webHidden/>
          </w:rPr>
          <w:fldChar w:fldCharType="begin"/>
        </w:r>
        <w:r>
          <w:rPr>
            <w:noProof/>
            <w:webHidden/>
          </w:rPr>
          <w:instrText xml:space="preserve"> PAGEREF _Toc47080726 \h </w:instrText>
        </w:r>
        <w:r>
          <w:rPr>
            <w:noProof/>
            <w:webHidden/>
          </w:rPr>
        </w:r>
        <w:r>
          <w:rPr>
            <w:noProof/>
            <w:webHidden/>
          </w:rPr>
          <w:fldChar w:fldCharType="separate"/>
        </w:r>
        <w:r>
          <w:rPr>
            <w:noProof/>
            <w:webHidden/>
          </w:rPr>
          <w:t>2</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7080728" w:history="1">
        <w:r>
          <w:rPr>
            <w:rStyle w:val="Hyperlink"/>
            <w:noProof/>
          </w:rPr>
          <w:t>Преглед на основните финансирани операции за хуманитарна помощ</w:t>
        </w:r>
        <w:r>
          <w:rPr>
            <w:noProof/>
            <w:webHidden/>
          </w:rPr>
          <w:tab/>
        </w:r>
        <w:r>
          <w:rPr>
            <w:noProof/>
            <w:webHidden/>
          </w:rPr>
          <w:fldChar w:fldCharType="begin"/>
        </w:r>
        <w:r>
          <w:rPr>
            <w:noProof/>
            <w:webHidden/>
          </w:rPr>
          <w:instrText xml:space="preserve"> PAGEREF _Toc47080728 \h </w:instrText>
        </w:r>
        <w:r>
          <w:rPr>
            <w:noProof/>
            <w:webHidden/>
          </w:rPr>
        </w:r>
        <w:r>
          <w:rPr>
            <w:noProof/>
            <w:webHidden/>
          </w:rPr>
          <w:fldChar w:fldCharType="separate"/>
        </w:r>
        <w:r>
          <w:rPr>
            <w:noProof/>
            <w:webHidden/>
          </w:rPr>
          <w:t>2</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7080729" w:history="1">
        <w:r>
          <w:rPr>
            <w:rStyle w:val="Hyperlink"/>
            <w:noProof/>
          </w:rPr>
          <w:t>Хоризонтални приоритети</w:t>
        </w:r>
        <w:r>
          <w:rPr>
            <w:noProof/>
            <w:webHidden/>
          </w:rPr>
          <w:tab/>
        </w:r>
        <w:r>
          <w:rPr>
            <w:noProof/>
            <w:webHidden/>
          </w:rPr>
          <w:fldChar w:fldCharType="begin"/>
        </w:r>
        <w:r>
          <w:rPr>
            <w:noProof/>
            <w:webHidden/>
          </w:rPr>
          <w:instrText xml:space="preserve"> PAGEREF _Toc47080729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7080730" w:history="1">
        <w:r>
          <w:rPr>
            <w:rStyle w:val="Hyperlink"/>
            <w:noProof/>
          </w:rPr>
          <w:t>Обобщение на приключените през 2019 г. оценки</w:t>
        </w:r>
        <w:r>
          <w:rPr>
            <w:noProof/>
            <w:webHidden/>
          </w:rPr>
          <w:tab/>
        </w:r>
        <w:r>
          <w:rPr>
            <w:noProof/>
            <w:webHidden/>
          </w:rPr>
          <w:fldChar w:fldCharType="begin"/>
        </w:r>
        <w:r>
          <w:rPr>
            <w:noProof/>
            <w:webHidden/>
          </w:rPr>
          <w:instrText xml:space="preserve"> PAGEREF _Toc47080730 \h </w:instrText>
        </w:r>
        <w:r>
          <w:rPr>
            <w:noProof/>
            <w:webHidden/>
          </w:rPr>
        </w:r>
        <w:r>
          <w:rPr>
            <w:noProof/>
            <w:webHidden/>
          </w:rPr>
          <w:fldChar w:fldCharType="separate"/>
        </w:r>
        <w:r>
          <w:rPr>
            <w:noProof/>
            <w:webHidden/>
          </w:rPr>
          <w:t>11</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7080731" w:history="1">
        <w:r>
          <w:rPr>
            <w:rStyle w:val="Hyperlink"/>
            <w:noProof/>
          </w:rPr>
          <w:t>Бюджет за 2019 г.</w:t>
        </w:r>
        <w:r>
          <w:rPr>
            <w:noProof/>
            <w:webHidden/>
          </w:rPr>
          <w:tab/>
        </w:r>
        <w:r>
          <w:rPr>
            <w:noProof/>
            <w:webHidden/>
          </w:rPr>
          <w:fldChar w:fldCharType="begin"/>
        </w:r>
        <w:r>
          <w:rPr>
            <w:noProof/>
            <w:webHidden/>
          </w:rPr>
          <w:instrText xml:space="preserve"> PAGEREF _Toc47080731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106"/>
        </w:tabs>
        <w:rPr>
          <w:rFonts w:asciiTheme="minorHAnsi" w:eastAsiaTheme="minorEastAsia" w:hAnsiTheme="minorHAnsi" w:cstheme="minorBidi"/>
          <w:noProof/>
          <w:color w:val="auto"/>
          <w:sz w:val="22"/>
          <w:szCs w:val="22"/>
          <w:lang w:val="en-US" w:bidi="ar-SA"/>
        </w:rPr>
      </w:pPr>
      <w:hyperlink w:anchor="_Toc47080732" w:history="1">
        <w:r>
          <w:rPr>
            <w:rStyle w:val="Hyperlink"/>
            <w:noProof/>
          </w:rPr>
          <w:t>Д</w:t>
        </w:r>
        <w:r>
          <w:rPr>
            <w:rStyle w:val="Hyperlink"/>
            <w:smallCaps/>
            <w:noProof/>
          </w:rPr>
          <w:t>опълнителна информация и източници</w:t>
        </w:r>
        <w:r>
          <w:rPr>
            <w:noProof/>
            <w:webHidden/>
          </w:rPr>
          <w:tab/>
        </w:r>
        <w:r>
          <w:rPr>
            <w:noProof/>
            <w:webHidden/>
          </w:rPr>
          <w:fldChar w:fldCharType="begin"/>
        </w:r>
        <w:r>
          <w:rPr>
            <w:noProof/>
            <w:webHidden/>
          </w:rPr>
          <w:instrText xml:space="preserve"> PAGEREF _Toc47080732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7080733" w:history="1">
        <w:r>
          <w:rPr>
            <w:rStyle w:val="Hyperlink"/>
            <w:noProof/>
          </w:rPr>
          <w:t>Списък на партньорите, подписали Рамковото споразумение за партньорство от 2014 г.</w:t>
        </w:r>
        <w:r>
          <w:rPr>
            <w:noProof/>
            <w:webHidden/>
          </w:rPr>
          <w:tab/>
        </w:r>
        <w:r>
          <w:rPr>
            <w:noProof/>
            <w:webHidden/>
          </w:rPr>
          <w:fldChar w:fldCharType="begin"/>
        </w:r>
        <w:r>
          <w:rPr>
            <w:noProof/>
            <w:webHidden/>
          </w:rPr>
          <w:instrText xml:space="preserve"> PAGEREF _Toc47080733 \h </w:instrText>
        </w:r>
        <w:r>
          <w:rPr>
            <w:noProof/>
            <w:webHidden/>
          </w:rPr>
        </w:r>
        <w:r>
          <w:rPr>
            <w:noProof/>
            <w:webHidden/>
          </w:rPr>
          <w:fldChar w:fldCharType="separate"/>
        </w:r>
        <w:r>
          <w:rPr>
            <w:noProof/>
            <w:webHidden/>
          </w:rPr>
          <w:t>14</w:t>
        </w:r>
        <w:r>
          <w:rPr>
            <w:noProof/>
            <w:webHidden/>
          </w:rPr>
          <w:fldChar w:fldCharType="end"/>
        </w:r>
      </w:hyperlink>
    </w:p>
    <w:p>
      <w:pPr>
        <w:pStyle w:val="TOC2"/>
        <w:shd w:val="clear" w:color="auto" w:fill="auto"/>
        <w:tabs>
          <w:tab w:val="left" w:leader="dot" w:pos="8872"/>
        </w:tabs>
        <w:rPr>
          <w:noProof/>
        </w:rPr>
        <w:sectPr>
          <w:headerReference w:type="even" r:id="rId16"/>
          <w:headerReference w:type="default" r:id="rId17"/>
          <w:footerReference w:type="even" r:id="rId18"/>
          <w:footerReference w:type="default" r:id="rId19"/>
          <w:headerReference w:type="first" r:id="rId20"/>
          <w:footerReference w:type="first" r:id="rId21"/>
          <w:pgSz w:w="11900" w:h="16840"/>
          <w:pgMar w:top="1656" w:right="1410" w:bottom="9614" w:left="1374" w:header="0" w:footer="3" w:gutter="0"/>
          <w:pgNumType w:start="1"/>
          <w:cols w:space="720"/>
          <w:noEndnote/>
          <w:docGrid w:linePitch="360"/>
        </w:sectPr>
      </w:pPr>
      <w:r>
        <w:rPr>
          <w:noProof/>
        </w:rPr>
        <w:fldChar w:fldCharType="end"/>
      </w:r>
    </w:p>
    <w:p>
      <w:pPr>
        <w:pStyle w:val="Heading210"/>
        <w:keepNext/>
        <w:keepLines/>
        <w:shd w:val="clear" w:color="auto" w:fill="auto"/>
        <w:spacing w:after="330"/>
        <w:ind w:left="20"/>
        <w:rPr>
          <w:noProof/>
        </w:rPr>
      </w:pPr>
      <w:bookmarkStart w:id="2" w:name="_Toc47080725"/>
      <w:bookmarkStart w:id="3" w:name="bookmark13"/>
      <w:r>
        <w:rPr>
          <w:rStyle w:val="Heading211"/>
          <w:b/>
          <w:bCs/>
          <w:noProof/>
        </w:rPr>
        <w:lastRenderedPageBreak/>
        <w:t>В</w:t>
      </w:r>
      <w:r>
        <w:rPr>
          <w:rStyle w:val="Heading21SmallCaps"/>
          <w:b/>
          <w:bCs/>
          <w:noProof/>
        </w:rPr>
        <w:t>ъведение</w:t>
      </w:r>
      <w:bookmarkEnd w:id="2"/>
    </w:p>
    <w:p>
      <w:pPr>
        <w:pStyle w:val="Bodytext20"/>
        <w:shd w:val="clear" w:color="auto" w:fill="auto"/>
        <w:spacing w:after="410" w:line="317" w:lineRule="exact"/>
        <w:ind w:firstLine="0"/>
        <w:jc w:val="both"/>
        <w:rPr>
          <w:noProof/>
        </w:rPr>
      </w:pPr>
      <w:r>
        <w:rPr>
          <w:noProof/>
        </w:rPr>
        <w:t xml:space="preserve">В настоящия доклад са представени основните дейности и резултати от политиката на Европейския съюз (ЕС) в областта на хуманитарната помощ през 2019 г., финансирани от Европейската комисия. </w:t>
      </w:r>
      <w:bookmarkStart w:id="4" w:name="bookmark4"/>
      <w:r>
        <w:rPr>
          <w:noProof/>
        </w:rPr>
        <w:t>Докладът е изготвен в съответствие с член 19 от Регламент (ЕО) № 1257/96 на Съвета от 20 юни 1996 г</w:t>
      </w:r>
      <w:bookmarkEnd w:id="4"/>
      <w:r>
        <w:rPr>
          <w:noProof/>
        </w:rPr>
        <w:t>.</w:t>
      </w:r>
    </w:p>
    <w:p>
      <w:pPr>
        <w:pStyle w:val="Heading210"/>
        <w:keepNext/>
        <w:keepLines/>
        <w:shd w:val="clear" w:color="auto" w:fill="auto"/>
        <w:spacing w:after="0"/>
        <w:ind w:left="20"/>
        <w:rPr>
          <w:rStyle w:val="Bodytext41"/>
          <w:b/>
          <w:bCs/>
          <w:noProof/>
          <w:spacing w:val="-4"/>
        </w:rPr>
      </w:pPr>
      <w:bookmarkStart w:id="5" w:name="_Toc47080726"/>
      <w:r>
        <w:rPr>
          <w:rStyle w:val="Heading211"/>
          <w:b/>
          <w:bCs/>
          <w:noProof/>
          <w:spacing w:val="-4"/>
        </w:rPr>
        <w:t>O</w:t>
      </w:r>
      <w:r>
        <w:rPr>
          <w:rStyle w:val="Heading21SmallCaps"/>
          <w:b/>
          <w:bCs/>
          <w:noProof/>
          <w:spacing w:val="-4"/>
        </w:rPr>
        <w:t xml:space="preserve">перации за хуманитарна помощ, </w:t>
      </w:r>
      <w:r>
        <w:rPr>
          <w:rStyle w:val="Bodytext41"/>
          <w:b/>
          <w:bCs/>
          <w:noProof/>
          <w:spacing w:val="-4"/>
        </w:rPr>
        <w:t>финансирани през 2019 г.</w:t>
      </w:r>
      <w:bookmarkEnd w:id="5"/>
    </w:p>
    <w:p>
      <w:pPr>
        <w:pStyle w:val="Heading210"/>
        <w:keepNext/>
        <w:keepLines/>
        <w:shd w:val="clear" w:color="auto" w:fill="auto"/>
        <w:spacing w:after="0"/>
        <w:ind w:left="20"/>
        <w:rPr>
          <w:noProof/>
        </w:rPr>
      </w:pPr>
    </w:p>
    <w:p>
      <w:pPr>
        <w:spacing w:before="240" w:after="120"/>
        <w:jc w:val="both"/>
        <w:rPr>
          <w:noProof/>
        </w:rPr>
      </w:pPr>
      <w:r>
        <w:rPr>
          <w:noProof/>
        </w:rPr>
        <w:t xml:space="preserve">През 2019 г. хуманитарните нужди продължиха да се увеличават вследствие на сложни кризи, често водещи до мащабно разселване на население, както и вследствие на природни бедствия и епидемии. В този контекст Генерална дирекция „Европейска гражданска защита и европейски операции за хуманитарна помощ“ (ГД ECHO) на Европейската комисия продължи да бъде водещ донор на хуманитарна помощ, като предостави 2,4 милиарда евро на милиони засегнати от кризи хора в над 80 държави. За да преодолее нарастващия дефицит в хуманитарното финансиране, ГД ECHO продължи да насърчава изпълнението на </w:t>
      </w:r>
      <w:hyperlink r:id="rId22" w:history="1">
        <w:r>
          <w:rPr>
            <w:rStyle w:val="Hyperlink"/>
            <w:noProof/>
          </w:rPr>
          <w:t>ангажиментите от „Голямото споразумение“</w:t>
        </w:r>
      </w:hyperlink>
      <w:r>
        <w:rPr>
          <w:noProof/>
        </w:rPr>
        <w:t xml:space="preserve">, особено по отношение на </w:t>
      </w:r>
      <w:hyperlink r:id="rId23" w:history="1">
        <w:r>
          <w:rPr>
            <w:rStyle w:val="Hyperlink"/>
            <w:noProof/>
          </w:rPr>
          <w:t>съвместната оценка на многосекторните нужди</w:t>
        </w:r>
      </w:hyperlink>
      <w:r>
        <w:rPr>
          <w:noProof/>
        </w:rPr>
        <w:t xml:space="preserve">. </w:t>
      </w:r>
    </w:p>
    <w:p>
      <w:pPr>
        <w:spacing w:before="240" w:after="120"/>
        <w:jc w:val="both"/>
        <w:rPr>
          <w:noProof/>
          <w:spacing w:val="-4"/>
        </w:rPr>
      </w:pPr>
      <w:r>
        <w:rPr>
          <w:noProof/>
          <w:spacing w:val="-4"/>
        </w:rPr>
        <w:t xml:space="preserve">Значителна част от хуманитарната помощ от ЕС, включително хуманитарният елемент на Механизма на ЕС за бежанците в Турция, беше предназначена за засегнатото от кризата население в Сирия и в съседните ѝ държави. ЕС също така акцентира върху подкрепата за населението, засегнато от „забравените кризи“, като тези в Централноафриканската република, Судан, Пакистан, Колумбия, Венесуела, Хаити и Филипините. </w:t>
      </w:r>
    </w:p>
    <w:p>
      <w:pPr>
        <w:spacing w:before="240" w:after="120"/>
        <w:jc w:val="both"/>
        <w:rPr>
          <w:noProof/>
        </w:rPr>
      </w:pPr>
      <w:r>
        <w:rPr>
          <w:noProof/>
        </w:rPr>
        <w:t>ГД ECHO изигра водеща роля за насърчаване на използването на основаваща се на принципи хуманитарна помощ и на зачитането на международното хуманитарно право. Генералната дирекция постигна това както чрез активно застъпничество за конкретни хуманитарни кризи, така и в световен мащаб чрез председателството на групата за донорска подкрепа</w:t>
      </w:r>
      <w:r>
        <w:rPr>
          <w:noProof/>
          <w:vertAlign w:val="superscript"/>
          <w:lang w:val="en-GB"/>
        </w:rPr>
        <w:footnoteReference w:id="1"/>
      </w:r>
      <w:r>
        <w:rPr>
          <w:noProof/>
          <w:vertAlign w:val="superscript"/>
        </w:rPr>
        <w:t xml:space="preserve"> </w:t>
      </w:r>
      <w:r>
        <w:rPr>
          <w:noProof/>
        </w:rPr>
        <w:t>към Международния комитет на Червения кръст (МКЧК) и на Инициативата за добри хуманитарни донорски практики</w:t>
      </w:r>
      <w:r>
        <w:rPr>
          <w:noProof/>
          <w:vertAlign w:val="superscript"/>
          <w:lang w:val="en-GB"/>
        </w:rPr>
        <w:footnoteReference w:id="2"/>
      </w:r>
      <w:r>
        <w:rPr>
          <w:noProof/>
        </w:rPr>
        <w:t xml:space="preserve"> (съвместно с Швейцария). </w:t>
      </w:r>
    </w:p>
    <w:p>
      <w:pPr>
        <w:pStyle w:val="Heading310"/>
        <w:keepNext/>
        <w:keepLines/>
        <w:shd w:val="clear" w:color="auto" w:fill="auto"/>
        <w:spacing w:before="240" w:after="240" w:line="276" w:lineRule="auto"/>
        <w:ind w:firstLine="0"/>
        <w:jc w:val="both"/>
        <w:rPr>
          <w:b w:val="0"/>
          <w:bCs w:val="0"/>
          <w:noProof/>
          <w:sz w:val="24"/>
          <w:szCs w:val="24"/>
        </w:rPr>
      </w:pPr>
      <w:bookmarkStart w:id="6" w:name="_Toc47080727"/>
      <w:r>
        <w:rPr>
          <w:b w:val="0"/>
          <w:bCs w:val="0"/>
          <w:noProof/>
          <w:sz w:val="24"/>
          <w:szCs w:val="24"/>
        </w:rPr>
        <w:t>ГД ECHO финансира и използва за целите на своя основан на доказателства подход разработения от Съвместния изследователски център (JRC) индекс на риска INFORM. Този индекс фактически се превръща в методологията за определяне на риска в много организации като ООН и различни международни неправителствени организации.</w:t>
      </w:r>
      <w:bookmarkStart w:id="7" w:name="bookmark6"/>
      <w:bookmarkEnd w:id="6"/>
    </w:p>
    <w:p>
      <w:pPr>
        <w:pStyle w:val="Heading310"/>
        <w:keepNext/>
        <w:keepLines/>
        <w:shd w:val="clear" w:color="auto" w:fill="auto"/>
        <w:spacing w:before="240" w:after="240" w:line="276" w:lineRule="auto"/>
        <w:ind w:firstLine="0"/>
        <w:jc w:val="both"/>
        <w:rPr>
          <w:noProof/>
          <w:sz w:val="28"/>
          <w:u w:val="single"/>
        </w:rPr>
      </w:pPr>
      <w:bookmarkStart w:id="8" w:name="_Toc47080728"/>
      <w:r>
        <w:rPr>
          <w:noProof/>
          <w:sz w:val="28"/>
          <w:u w:val="single"/>
        </w:rPr>
        <w:t>Преглед на основните финансирани операции за хуманитарна помощ</w:t>
      </w:r>
      <w:bookmarkEnd w:id="7"/>
      <w:bookmarkEnd w:id="8"/>
    </w:p>
    <w:p>
      <w:pPr>
        <w:spacing w:before="240"/>
        <w:jc w:val="both"/>
        <w:rPr>
          <w:b/>
          <w:noProof/>
        </w:rPr>
      </w:pPr>
      <w:r>
        <w:rPr>
          <w:b/>
          <w:noProof/>
        </w:rPr>
        <w:t>Сахел — сложна криза</w:t>
      </w:r>
    </w:p>
    <w:p>
      <w:pPr>
        <w:spacing w:before="240" w:after="120"/>
        <w:jc w:val="both"/>
        <w:rPr>
          <w:bCs/>
          <w:noProof/>
        </w:rPr>
      </w:pPr>
      <w:r>
        <w:rPr>
          <w:noProof/>
        </w:rPr>
        <w:t xml:space="preserve">ЕС предостави 188 милиона евро в отговор на спешните хуманитарни нужди в Буркина Фасо, Мавритания, Мали, Чад, Нигер, Нигерия и Камерун. Това включваше механизми за бързо реагиране (тримесечен пакет за спешна многосекторна помощ) и подкрепа за съществуващите национални структури с цел запазване на достъпа до основни услуги. Помощта от ЕС помогна да се достигне до труднодостъпни райони посредством хуманитарните въздухоплавателни служби, хуманитарната гражданско-военна координация и управлението на информацията. </w:t>
      </w:r>
    </w:p>
    <w:p>
      <w:pPr>
        <w:spacing w:before="240" w:after="120"/>
        <w:jc w:val="both"/>
        <w:rPr>
          <w:bCs/>
          <w:noProof/>
        </w:rPr>
      </w:pPr>
      <w:r>
        <w:rPr>
          <w:noProof/>
        </w:rPr>
        <w:t>ЕС предостави хранителни продукти през сезона на оскъдица и хранителна терапия за деца, страдащи от тежка форма на остро недохранване и нуждаещи се от животоспасяващо лечение. Освен това ЕС работеше активно за осъществяване на връзката между хуманитарните действия и развитието, за да се изгради устойчивост у засегнатото от кризи население и да се преодолеят първопричините за продоволствената несигурност и острото недохранване.</w:t>
      </w:r>
    </w:p>
    <w:p>
      <w:pPr>
        <w:spacing w:before="240"/>
        <w:jc w:val="both"/>
        <w:rPr>
          <w:b/>
          <w:noProof/>
        </w:rPr>
      </w:pPr>
      <w:r>
        <w:rPr>
          <w:b/>
          <w:noProof/>
        </w:rPr>
        <w:t>Регионалната криза в Централноафриканската република</w:t>
      </w:r>
    </w:p>
    <w:p>
      <w:pPr>
        <w:spacing w:before="240" w:after="120"/>
        <w:jc w:val="both"/>
        <w:rPr>
          <w:bCs/>
          <w:noProof/>
        </w:rPr>
      </w:pPr>
      <w:r>
        <w:rPr>
          <w:noProof/>
        </w:rPr>
        <w:t xml:space="preserve">Въпреки подписаното през февруари мирно споразумение хуманитарната ситуация в Централноафриканската република (ЦАР) не се е подобрила. На бежанци от ЦАР и Централна Африка в Камерун и Чад бяха предоставени 22,4 милиона евро, с които беше осигурена многосекторна хуманитарна помощ и бяха подобрени координацията, сигурността и логистиката на хуманитарните дейности. </w:t>
      </w:r>
    </w:p>
    <w:p>
      <w:pPr>
        <w:spacing w:before="240"/>
        <w:jc w:val="both"/>
        <w:rPr>
          <w:b/>
          <w:noProof/>
        </w:rPr>
      </w:pPr>
      <w:r>
        <w:rPr>
          <w:b/>
          <w:noProof/>
        </w:rPr>
        <w:t>Кризата в басейна на езерото Чад</w:t>
      </w:r>
    </w:p>
    <w:p>
      <w:pPr>
        <w:spacing w:before="240" w:after="120"/>
        <w:jc w:val="both"/>
        <w:rPr>
          <w:bCs/>
          <w:noProof/>
        </w:rPr>
      </w:pPr>
      <w:r>
        <w:rPr>
          <w:noProof/>
        </w:rPr>
        <w:t>От живеещите 17,4 милиона души в Нигерия, Нигер, Камерун и Чад 10,7 милиона се нуждаеха от хуманитарна помощ, включително над 6 милиона деца. ЕС предостави многосекторна хуманитарна помощ в размер на около 64 милиона евро.</w:t>
      </w:r>
    </w:p>
    <w:p>
      <w:pPr>
        <w:spacing w:before="240"/>
        <w:jc w:val="both"/>
        <w:rPr>
          <w:b/>
          <w:noProof/>
        </w:rPr>
      </w:pPr>
      <w:r>
        <w:rPr>
          <w:b/>
          <w:noProof/>
        </w:rPr>
        <w:t>Южен Судан</w:t>
      </w:r>
    </w:p>
    <w:p>
      <w:pPr>
        <w:pStyle w:val="NormalWeb"/>
        <w:spacing w:before="240" w:beforeAutospacing="0" w:after="255" w:afterAutospacing="0" w:line="300" w:lineRule="atLeast"/>
        <w:jc w:val="both"/>
        <w:rPr>
          <w:bCs/>
          <w:noProof/>
          <w:color w:val="000000"/>
        </w:rPr>
      </w:pPr>
      <w:r>
        <w:rPr>
          <w:bCs/>
          <w:noProof/>
          <w:color w:val="000000"/>
        </w:rPr>
        <w:t>През 2019 г. около 7,5 милиона жители на Южен Судан спешно се нуждаеха от хуманитарна помощ, а над 2 милиона бежанци от страната бяха приети в съседни държави. ЕС предостави на Южен Судан 51,6 милиона евро в отговор на високото равнище на продоволствена несигурност и недохранване в страната. Като се имат предвид изключително високите нива на насилие и използването на сексуалното насилие като военно оръжие, защитата на децата и жените е приоритет за ЕС.</w:t>
      </w:r>
    </w:p>
    <w:p>
      <w:pPr>
        <w:spacing w:before="240"/>
        <w:jc w:val="both"/>
        <w:rPr>
          <w:b/>
          <w:noProof/>
        </w:rPr>
      </w:pPr>
      <w:r>
        <w:rPr>
          <w:b/>
          <w:noProof/>
        </w:rPr>
        <w:t>Судан</w:t>
      </w:r>
    </w:p>
    <w:p>
      <w:pPr>
        <w:spacing w:before="240" w:after="120"/>
        <w:jc w:val="both"/>
        <w:rPr>
          <w:bCs/>
          <w:noProof/>
        </w:rPr>
      </w:pPr>
      <w:r>
        <w:rPr>
          <w:noProof/>
        </w:rPr>
        <w:t xml:space="preserve">Страната страда от последиците от десетилетия конфликти, съпроводени от безпрецедентна икономическа криза, нарастваща цена на хранителните продукти и факта, че 25 % от населението живеят в изключително остра продоволствена несигурност. През годината по-голямата част от хуманитарната помощ на ЕС — 55,7 милиона евро, беше изразходвана за продоволствено подпомагане, грижи в областта на храненето и лечение, основно за деца под петгодишна възраст и бременни или кърмещи жени. За да увеличи достъпа на населението в Судан до дългосрочна социална закрила, ЕС допълва хуманитарното финансиране с помощ за развитие, с която да се помогне на общностите да изградят устойчивост. </w:t>
      </w:r>
    </w:p>
    <w:p>
      <w:pPr>
        <w:spacing w:before="240" w:after="120"/>
        <w:jc w:val="both"/>
        <w:rPr>
          <w:b/>
          <w:bCs/>
          <w:noProof/>
        </w:rPr>
      </w:pPr>
      <w:r>
        <w:rPr>
          <w:b/>
          <w:bCs/>
          <w:noProof/>
        </w:rPr>
        <w:t>Кризата в региона на Големите езера в Африка</w:t>
      </w:r>
    </w:p>
    <w:p>
      <w:pPr>
        <w:spacing w:before="240" w:after="120"/>
        <w:jc w:val="both"/>
        <w:rPr>
          <w:bCs/>
          <w:noProof/>
        </w:rPr>
      </w:pPr>
      <w:r>
        <w:rPr>
          <w:noProof/>
        </w:rPr>
        <w:t>Непрекъснатите конфликти и болестта ебола засегнаха както Демократична република Конго (ДРК), така и Република Конго. Комисията предостави около 72 милиона евро за региона, включително за справяне с болестта ебола. Допълнителни 7 милиона евро бяха изразходвани за операциите на ECHO Flight.</w:t>
      </w:r>
    </w:p>
    <w:p>
      <w:pPr>
        <w:spacing w:before="240"/>
        <w:jc w:val="both"/>
        <w:rPr>
          <w:b/>
          <w:noProof/>
        </w:rPr>
      </w:pPr>
      <w:r>
        <w:rPr>
          <w:b/>
          <w:noProof/>
        </w:rPr>
        <w:t xml:space="preserve">Етиопия </w:t>
      </w:r>
    </w:p>
    <w:p>
      <w:pPr>
        <w:spacing w:before="240" w:after="120"/>
        <w:jc w:val="both"/>
        <w:rPr>
          <w:bCs/>
          <w:noProof/>
        </w:rPr>
      </w:pPr>
      <w:r>
        <w:rPr>
          <w:noProof/>
        </w:rPr>
        <w:t>Поради насилие на етническа основа, в началото на 2019 г. броят на вътрешно разселените лица в Етиопия достигна най-високото си ниво от 3,1 милиона души, след което спадна на 2 милиона души. Въпреки че условията за безопасност и сигурност невинаги бяха налице, властите се опитаха да върнат разселени лица в местата им на произход, нарушавайки по този начин принципите на доброволно и безопасно връщане. През 2019 г. ЕС предостави 51,5 милиона евро за подпомагане на засегнатото население с хранителни продукти, подслон, основни битови принадлежности, лечение вследствие на недохранване, водоснабдяване, канализация и услуги за закрила. Най-голямата част от средствата беше предоставена за лица, бягащи от продължаващо насилие и унищожаване на техните домове и препитание.</w:t>
      </w:r>
    </w:p>
    <w:p>
      <w:pPr>
        <w:spacing w:before="240" w:after="120"/>
        <w:jc w:val="both"/>
        <w:rPr>
          <w:bCs/>
          <w:noProof/>
        </w:rPr>
      </w:pPr>
    </w:p>
    <w:p>
      <w:pPr>
        <w:spacing w:before="240"/>
        <w:jc w:val="both"/>
        <w:rPr>
          <w:b/>
          <w:noProof/>
        </w:rPr>
      </w:pPr>
      <w:r>
        <w:rPr>
          <w:b/>
          <w:noProof/>
        </w:rPr>
        <w:t>Кения</w:t>
      </w:r>
    </w:p>
    <w:p>
      <w:pPr>
        <w:spacing w:before="240" w:after="120"/>
        <w:jc w:val="both"/>
        <w:rPr>
          <w:bCs/>
          <w:noProof/>
        </w:rPr>
      </w:pPr>
      <w:r>
        <w:rPr>
          <w:noProof/>
        </w:rPr>
        <w:t xml:space="preserve">Кения е приела около 490 000 бежанци, които са напълно зависими от помощи заради политиката на правителството относно настаняването в лагери. Нов период на суша доведе до продоволствена несигурност, засягаща 2,6 милиона души, разселване на населението и повишен риск от конфликти, породени от оскъдицата на пасища и вода. </w:t>
      </w:r>
    </w:p>
    <w:p>
      <w:pPr>
        <w:spacing w:before="240" w:after="120"/>
        <w:jc w:val="both"/>
        <w:rPr>
          <w:bCs/>
          <w:noProof/>
        </w:rPr>
      </w:pPr>
      <w:r>
        <w:rPr>
          <w:noProof/>
        </w:rPr>
        <w:t>Средствата от ЕС за Кения възлязоха на 15,95 милиона евро, включително 11,5 милиона за бежанските лагери, 1,3 милиона за готовност при бедствия в три държави, изложени на риск от внезапни бедствия, и 3,15 милиона евро за спешно реагиране във връзка със сушата и наводненията извън лагерите.</w:t>
      </w:r>
    </w:p>
    <w:p>
      <w:pPr>
        <w:spacing w:before="240"/>
        <w:jc w:val="both"/>
        <w:rPr>
          <w:b/>
          <w:noProof/>
        </w:rPr>
      </w:pPr>
      <w:r>
        <w:rPr>
          <w:b/>
          <w:noProof/>
        </w:rPr>
        <w:t xml:space="preserve">Сомалия </w:t>
      </w:r>
    </w:p>
    <w:p>
      <w:pPr>
        <w:spacing w:before="240" w:after="120"/>
        <w:jc w:val="both"/>
        <w:rPr>
          <w:bCs/>
          <w:noProof/>
        </w:rPr>
      </w:pPr>
      <w:r>
        <w:rPr>
          <w:noProof/>
        </w:rPr>
        <w:t>Хуманитарните нужди продължиха да бъдат големи поради продължаващите непредсказуеми климатични условия и въоръжения конфликт. Хуманитарната ситуация се влоши и заради нов период на суша, а в края на годината валежите в южната част на страната бяха над средното равнище и доведоха до тежки речни наводнения. Тези наводнения засегнаха над 500 000 души, като унищожиха насаждения и доведоха до разселването на 370 000 души. В резултат на това капацитетът на населението за справяне със ситуацията намаля и възстановяването се забави. Комисията отпусна около 63 милиона евро за справяне с кризата.</w:t>
      </w:r>
    </w:p>
    <w:p>
      <w:pPr>
        <w:spacing w:before="240"/>
        <w:jc w:val="both"/>
        <w:rPr>
          <w:b/>
          <w:noProof/>
        </w:rPr>
      </w:pPr>
      <w:r>
        <w:rPr>
          <w:b/>
          <w:noProof/>
        </w:rPr>
        <w:t>Уганда</w:t>
      </w:r>
    </w:p>
    <w:p>
      <w:pPr>
        <w:spacing w:before="240" w:after="120"/>
        <w:jc w:val="both"/>
        <w:rPr>
          <w:bCs/>
          <w:noProof/>
          <w:spacing w:val="-4"/>
        </w:rPr>
      </w:pPr>
      <w:r>
        <w:rPr>
          <w:noProof/>
          <w:spacing w:val="-4"/>
        </w:rPr>
        <w:t xml:space="preserve">Уганда е приела 1,41 милиона бежанци, 91 % от които са от Южен Судан и ДРК. Освен това от август 2018 г. насам страната е изложена на висок риск от болестта ебола, тъй като в съседната ДРК се наблюдава най-голямата епидемия досега. ЕС отпусна 33 милиона евро за закрила, продоволствено подпомагане, здравни грижи, достъп до безопасна питейна вода и канализация и образователна помощ за бежанците и техните приемни общности. Освен това бяха предоставени средства за готовност за реагиране, мониторинг и справяне с болестта ебола и за повишаване на устойчивостта и самодостатъчността на най-уязвимите лица с цел намаляване на зависимостта им от дългосрочна помощ. </w:t>
      </w:r>
    </w:p>
    <w:p>
      <w:pPr>
        <w:keepNext/>
        <w:spacing w:before="240"/>
        <w:jc w:val="both"/>
        <w:rPr>
          <w:b/>
          <w:noProof/>
        </w:rPr>
      </w:pPr>
      <w:r>
        <w:rPr>
          <w:b/>
          <w:noProof/>
        </w:rPr>
        <w:t>Регионът на Южна Африка и Индийския океан (ЮАИО)</w:t>
      </w:r>
    </w:p>
    <w:p>
      <w:pPr>
        <w:spacing w:before="240" w:after="120"/>
        <w:jc w:val="both"/>
        <w:rPr>
          <w:bCs/>
          <w:noProof/>
        </w:rPr>
      </w:pPr>
      <w:r>
        <w:rPr>
          <w:noProof/>
        </w:rPr>
        <w:t xml:space="preserve">В региона на ЮАИО редовно се наблюдават екстремни метеорологични явления, които стават все по-чести и тежки заради изменението на климата. ЕС отпусна на държавите от региона на ЮАИО над 66 милиона евро за спешна хуманитарна помощ и готовност при бедствия и акцентира върху засилването на капацитета на общностите и органите за управление на бедствия за справяне с периодичните природни бедствия на общностите. </w:t>
      </w:r>
    </w:p>
    <w:p>
      <w:pPr>
        <w:spacing w:before="240" w:after="120"/>
        <w:jc w:val="both"/>
        <w:rPr>
          <w:bCs/>
          <w:noProof/>
        </w:rPr>
      </w:pPr>
      <w:r>
        <w:rPr>
          <w:noProof/>
        </w:rPr>
        <w:t xml:space="preserve">Два мощни циклона удариха Южна Африка и засегнаха три милиона души в Замбия, Есватини, Лесото, Мадагаскар, Мозамбик, Зимбабве, Малави и Коморските острови. ЕС незабавно реагира с хуманитарна помощ за засегнатите държави, включително като задейства своя Механизъм за гражданска защита в Мозамбик. </w:t>
      </w:r>
    </w:p>
    <w:p>
      <w:pPr>
        <w:spacing w:before="240" w:after="120"/>
        <w:jc w:val="both"/>
        <w:rPr>
          <w:bCs/>
          <w:noProof/>
        </w:rPr>
      </w:pPr>
      <w:r>
        <w:rPr>
          <w:noProof/>
        </w:rPr>
        <w:t xml:space="preserve">Освен че се намира в икономическа криза, Зимбабве понесе сътресения като циклона Идай, който доведе до тежка продоволствена несигурност за 7,7 милиона души — над 50 % от населението. ЕС предостави 31,6 милиона евро за справяне с последиците от циклона, като акцентира върху хуманитарното продоволствено подпомагане и готовността при бедствия. </w:t>
      </w:r>
    </w:p>
    <w:p>
      <w:pPr>
        <w:spacing w:before="240"/>
        <w:jc w:val="both"/>
        <w:rPr>
          <w:b/>
          <w:noProof/>
        </w:rPr>
      </w:pPr>
      <w:r>
        <w:rPr>
          <w:b/>
          <w:noProof/>
        </w:rPr>
        <w:t>Венесуела</w:t>
      </w:r>
    </w:p>
    <w:p>
      <w:pPr>
        <w:spacing w:before="240" w:after="120"/>
        <w:jc w:val="both"/>
        <w:rPr>
          <w:bCs/>
          <w:noProof/>
        </w:rPr>
      </w:pPr>
      <w:r>
        <w:rPr>
          <w:noProof/>
        </w:rPr>
        <w:t xml:space="preserve">Социално-икономическият срив във Венесуела доведе до разселването на 3,9 милиона венесуелци през 2019 г. Според Службата на ООН за координация по хуманитарни въпроси поне 7 милиона души се нуждаеха от хуманитарна помощ най-вече заради липсата на достъп до здравни услуги, образование и храна. </w:t>
      </w:r>
    </w:p>
    <w:p>
      <w:pPr>
        <w:spacing w:before="240" w:after="120"/>
        <w:jc w:val="both"/>
        <w:rPr>
          <w:bCs/>
          <w:noProof/>
        </w:rPr>
      </w:pPr>
      <w:r>
        <w:rPr>
          <w:noProof/>
        </w:rPr>
        <w:t>Общо 55 милиона евро бяха отпуснати от ЕС за предоставянето на хуманитарна помощ на разселените лица, както и за подкрепа на приемните общности. С цел стриктно проследяване на операциите ГД ECHO създаде през май свой офис в Каракас. По-големите усилия в областта на хуманитарното застъпничество допринесоха за отварянето на хуманитарното пространство в страната, а ГД ECHO беше на първа линия на Конференцията за солидарност с Венесуела, проведена през октомври в Брюксел.</w:t>
      </w:r>
    </w:p>
    <w:p>
      <w:pPr>
        <w:spacing w:before="240"/>
        <w:jc w:val="both"/>
        <w:rPr>
          <w:b/>
          <w:noProof/>
        </w:rPr>
      </w:pPr>
      <w:r>
        <w:rPr>
          <w:b/>
          <w:noProof/>
        </w:rPr>
        <w:t>Колумбия</w:t>
      </w:r>
    </w:p>
    <w:p>
      <w:pPr>
        <w:spacing w:before="240" w:after="240" w:line="276" w:lineRule="auto"/>
        <w:jc w:val="both"/>
        <w:rPr>
          <w:bCs/>
          <w:noProof/>
        </w:rPr>
      </w:pPr>
      <w:r>
        <w:rPr>
          <w:noProof/>
        </w:rPr>
        <w:t xml:space="preserve">Хуманитарната ситуация в Колумбия рязко се влоши заради бързо разрасналия се вътрешен конфликт, съпроводен от приемането на 1,6 милиона венесуелски бежанци. Колумбия е изложена на много природни бедствия и рискът за засегнатите от конфликти общини е особено голям. Около 140 000 души бяха разселени и над 350 000 бяха подложени на ограничения на мобилността, което доведе до липса на достъп до препитание и основни услуги. Приблизително 350 000 колумбийски бежанци бяха приети в съседни държави. </w:t>
      </w:r>
    </w:p>
    <w:p>
      <w:pPr>
        <w:spacing w:before="240" w:after="240" w:line="276" w:lineRule="auto"/>
        <w:jc w:val="both"/>
        <w:rPr>
          <w:bCs/>
          <w:noProof/>
        </w:rPr>
      </w:pPr>
      <w:r>
        <w:rPr>
          <w:noProof/>
        </w:rPr>
        <w:t>ГД ECHO отпусна 11 милиона евро в помощ на пострадалите от конфликти и природни бедствия лица в Колумбия и региона. Секторите, в които беше оказана помощ, включват: закрила, здравни грижи, водоснабдяване и канализация, образование и готовност при бедствия.</w:t>
      </w:r>
    </w:p>
    <w:p>
      <w:pPr>
        <w:spacing w:before="240"/>
        <w:jc w:val="both"/>
        <w:rPr>
          <w:b/>
          <w:noProof/>
        </w:rPr>
      </w:pPr>
      <w:r>
        <w:rPr>
          <w:b/>
          <w:noProof/>
        </w:rPr>
        <w:t>Хаити</w:t>
      </w:r>
    </w:p>
    <w:p>
      <w:pPr>
        <w:spacing w:before="240" w:after="240" w:line="276" w:lineRule="auto"/>
        <w:jc w:val="both"/>
        <w:rPr>
          <w:bCs/>
          <w:noProof/>
        </w:rPr>
      </w:pPr>
      <w:r>
        <w:rPr>
          <w:noProof/>
        </w:rPr>
        <w:t>Политическите сътресения, по-високите нива на насилие и икономическият спад в Хаити доведоха до още по-голямо намаляване на покупателната способност на най-уязвимите домакинства, като над 3,7 милиона души бяха засегнати от остра продоволствена криза. ГД ECHO предостави 14 милиона евро в отговор на острата продоволствена несигурност и в подкрепа на координацията на хуманитарните дейности. Допълнителни 3 милиона евро бяха инвестирани за готовност при бедствия.</w:t>
      </w:r>
    </w:p>
    <w:p>
      <w:pPr>
        <w:spacing w:before="240"/>
        <w:jc w:val="both"/>
        <w:rPr>
          <w:b/>
          <w:noProof/>
        </w:rPr>
      </w:pPr>
      <w:r>
        <w:rPr>
          <w:b/>
          <w:noProof/>
        </w:rPr>
        <w:t>Афганистанската криза (Афганистан, Пакистан, Иран)</w:t>
      </w:r>
    </w:p>
    <w:p>
      <w:pPr>
        <w:spacing w:before="240" w:after="240" w:line="276" w:lineRule="auto"/>
        <w:jc w:val="both"/>
        <w:rPr>
          <w:bCs/>
          <w:noProof/>
        </w:rPr>
      </w:pPr>
      <w:r>
        <w:rPr>
          <w:noProof/>
        </w:rPr>
        <w:t xml:space="preserve">В Афганистан бушува един от най-смъртоносните конфликти в световен мащаб, като 17 милиона души (50 % от населението на страната) живеят в силно засегнати от конфликта райони, от които 3,4 милиона души са вътрешно разселени. По света има около 10 милиона афганистански бежанци (документирани или недокументирани). Иран и Пакистан са основните страни, приемащи афганистански бежанци, като осигуряват подслон и помощ на съответно почти 3 и 4 милиона души. </w:t>
      </w:r>
    </w:p>
    <w:p>
      <w:pPr>
        <w:spacing w:before="240" w:after="240" w:line="276" w:lineRule="auto"/>
        <w:jc w:val="both"/>
        <w:rPr>
          <w:bCs/>
          <w:noProof/>
          <w:spacing w:val="-4"/>
        </w:rPr>
      </w:pPr>
      <w:r>
        <w:rPr>
          <w:noProof/>
          <w:spacing w:val="-4"/>
        </w:rPr>
        <w:t xml:space="preserve">ГД ECHO отпусна на Афганистан 61 милиона евро, акцентирайки върху реагирането в извънредни ситуации и грижите вследствие на причинени от конфликта травми. В Иран и Пакистан ЕС предостави 18 милиона евро хуманитарна помощ за афганистанските бежанци и за най-уязвимите лица от местното население. ЕС подкрепи образованието на афганистанските деца в Иран, което наложи и регистрирането на семействата им. Както в Иран, така и в Пакистан, помощта от ЕС беше използвана и за водоснабдяване, канализация и хигиена, продоволствена сигурност и препитание, подслон, закрила и здравеопазване. </w:t>
      </w:r>
    </w:p>
    <w:p>
      <w:pPr>
        <w:spacing w:before="240"/>
        <w:jc w:val="both"/>
        <w:rPr>
          <w:b/>
          <w:noProof/>
        </w:rPr>
      </w:pPr>
      <w:r>
        <w:rPr>
          <w:b/>
          <w:noProof/>
        </w:rPr>
        <w:t>Кризата с етническото малцинство рохингия (Мианмар, Бангладеш)</w:t>
      </w:r>
    </w:p>
    <w:p>
      <w:pPr>
        <w:spacing w:before="240" w:after="240" w:line="276" w:lineRule="auto"/>
        <w:jc w:val="both"/>
        <w:rPr>
          <w:bCs/>
          <w:noProof/>
          <w:spacing w:val="-4"/>
        </w:rPr>
      </w:pPr>
      <w:r>
        <w:rPr>
          <w:noProof/>
          <w:spacing w:val="-4"/>
        </w:rPr>
        <w:t xml:space="preserve">Етническото малцинство рохингия в Мианмар е изложено на системна дискриминация и целенасочено насилие. До края на 2019 г. ВКБООН регистрира 855 000 бежанци от общността рохингия в Кокс Базар (Бангладеш), живеещи в изключително пренаселен огромен лагер. Бежанците зависят изцяло от хуманитарната помощ заради липсата на свобода на движение, възможности за препитание и достъп до социални услуги. Освен това районът е изложен на изключително голям брой природни бедствия. Около 600 000 рохинги все още живееха в изключително тежки условия в щата Рахин в Мианмар, като част от тях бяха изолирани в лагери и изцяло зависеха от хуманитарна помощ. </w:t>
      </w:r>
    </w:p>
    <w:p>
      <w:pPr>
        <w:spacing w:before="240" w:after="240" w:line="276" w:lineRule="auto"/>
        <w:jc w:val="both"/>
        <w:rPr>
          <w:bCs/>
          <w:noProof/>
        </w:rPr>
      </w:pPr>
      <w:r>
        <w:rPr>
          <w:noProof/>
        </w:rPr>
        <w:t>ЕС предостави 36 милиона евро хуманитарна помощ в отговор на кризата с общността рохингия както в Бангладеш, така и в Мианмар, под формата на основни здравни грижи, водоснабдяване, канализация, подслон, храна, образование, закрила, психологическа подкрепа и намаляване на риска от бедствия.</w:t>
      </w:r>
    </w:p>
    <w:p>
      <w:pPr>
        <w:spacing w:before="240"/>
        <w:jc w:val="both"/>
        <w:rPr>
          <w:b/>
          <w:noProof/>
        </w:rPr>
      </w:pPr>
      <w:r>
        <w:rPr>
          <w:b/>
          <w:noProof/>
        </w:rPr>
        <w:t>Филипини</w:t>
      </w:r>
    </w:p>
    <w:p>
      <w:pPr>
        <w:spacing w:before="240" w:after="240" w:line="276" w:lineRule="auto"/>
        <w:jc w:val="both"/>
        <w:rPr>
          <w:bCs/>
          <w:noProof/>
          <w:spacing w:val="-6"/>
        </w:rPr>
      </w:pPr>
      <w:r>
        <w:rPr>
          <w:noProof/>
          <w:spacing w:val="-6"/>
        </w:rPr>
        <w:t>В Минданао бушуват дългогодишни вътрешни конфликти, като около 400 000 души се нуждаят от хуманитарна помощ (включително вътрешно разселени и върнали се лица). Освен това Филипините са една от най-изложените на бедствия страни в света. ЕС отпусна на страната общо 6,7 милиона евро за хуманитарна помощ за засегнатото от конфликти население в Минданао (центрове за спешно настаняване, услуги в областта на водоснабдяването, канализацията и хигиената, здравеопазване, хранителни продукти и вещи от първа необходимост, образование), както и за спешно реагиране и готовност при бедствия.</w:t>
      </w:r>
    </w:p>
    <w:p>
      <w:pPr>
        <w:spacing w:before="240"/>
        <w:jc w:val="both"/>
        <w:rPr>
          <w:b/>
          <w:noProof/>
        </w:rPr>
      </w:pPr>
      <w:r>
        <w:rPr>
          <w:b/>
          <w:noProof/>
        </w:rPr>
        <w:t>Кризата в Сирия</w:t>
      </w:r>
    </w:p>
    <w:p>
      <w:pPr>
        <w:spacing w:before="240" w:after="240" w:line="276" w:lineRule="auto"/>
        <w:jc w:val="both"/>
        <w:rPr>
          <w:bCs/>
          <w:noProof/>
        </w:rPr>
      </w:pPr>
      <w:r>
        <w:rPr>
          <w:noProof/>
        </w:rPr>
        <w:t xml:space="preserve">Конфликтът в Сирия продължава вече девета година, като в страната има над 11 милиона души, нуждаещи се от хуманитарна помощ. ЕС предостави общо 260 милиона евро за животоспасяваща помощ в Сирия и за осигуряване на хранителни продукти, лекарства, вода и подслон за сирийските бежанци в Ливан, Йордания и Египет. В съседните Ливан и Йордания хуманитарните средства от ЕС подпомогнаха най-уязвимите бежанци с парична помощ, която се счита за най-рентабилния и достоен начин на подпомагане. </w:t>
      </w:r>
    </w:p>
    <w:p>
      <w:pPr>
        <w:spacing w:before="240" w:after="240" w:line="276" w:lineRule="auto"/>
        <w:jc w:val="both"/>
        <w:rPr>
          <w:bCs/>
          <w:noProof/>
        </w:rPr>
      </w:pPr>
      <w:r>
        <w:rPr>
          <w:noProof/>
        </w:rPr>
        <w:t xml:space="preserve">ГД ECHO взе пряко участие в международни дипломатически инициативи, като например третата конференция „Подкрепа за бъдещето на Сирия и региона“ в Брюксел, хуманитарната работна група на Международната група за подкрепа на Сирия в Женева и срещите на висши служители, организирани през февруари и ноември съответно в Женева и Копенхаген. </w:t>
      </w:r>
    </w:p>
    <w:p>
      <w:pPr>
        <w:spacing w:before="240"/>
        <w:jc w:val="both"/>
        <w:rPr>
          <w:b/>
          <w:noProof/>
        </w:rPr>
      </w:pPr>
      <w:r>
        <w:rPr>
          <w:b/>
          <w:noProof/>
        </w:rPr>
        <w:t>Ирак</w:t>
      </w:r>
    </w:p>
    <w:p>
      <w:pPr>
        <w:spacing w:before="240" w:after="240" w:line="276" w:lineRule="auto"/>
        <w:jc w:val="both"/>
        <w:rPr>
          <w:bCs/>
          <w:noProof/>
        </w:rPr>
      </w:pPr>
      <w:r>
        <w:rPr>
          <w:noProof/>
        </w:rPr>
        <w:t>Над 6,7 милиона души в Ирак все още се нуждаеха от хуманитарна помощ, включително 1,6 милиона вътрешно разселени лица, 375 000 от които се намираха в лагери. ГД ECHO осъществи операции на стойност 38 милиона евро за осигуряване на спешни здравни грижи, основен подслон, безопасна питейна вода, канализация, хигиена и хуманитарна закрила със специален акцент върху вътрешно разселените лица. Генералната дирекция предостави помощ за преживелите сексуално насилие лица и за осигуряването на физиотерапия и рехабилитация на жертвите на конфликта, по-специално на целеви групи като йезидите в Северозападен Ирак.</w:t>
      </w:r>
    </w:p>
    <w:p>
      <w:pPr>
        <w:spacing w:before="240" w:after="240" w:line="276" w:lineRule="auto"/>
        <w:jc w:val="both"/>
        <w:rPr>
          <w:bCs/>
          <w:noProof/>
          <w:spacing w:val="-4"/>
        </w:rPr>
      </w:pPr>
      <w:r>
        <w:rPr>
          <w:noProof/>
          <w:spacing w:val="-4"/>
        </w:rPr>
        <w:t>ГД ECHO подкрепи възобновяването на основни обществени услуги в засегнатите от войната райони и помогна на 4,5 милиона души да се завърнат в домовете си. Подкрепата включваше образование в извънредни ситуации (ОИС), с което да се спомогне за връщането на децата в училище, често след продължило с години прекъсване.</w:t>
      </w:r>
    </w:p>
    <w:p>
      <w:pPr>
        <w:spacing w:before="240" w:after="240" w:line="276" w:lineRule="auto"/>
        <w:jc w:val="both"/>
        <w:rPr>
          <w:bCs/>
          <w:noProof/>
        </w:rPr>
      </w:pPr>
      <w:r>
        <w:rPr>
          <w:noProof/>
        </w:rPr>
        <w:t>ГД ECHO предостави правна помощ на семейства, опитващи се да получат документи за самоличност, които са били изгубени или неиздадени по време на контрола на т.нар. „Ислямска държава“, както и основни услуги в пренаселени затвори, помощ за непълнолетни лица в центрове за задържане и механизми на общностна основа за реинтеграция на бивши деца войници.</w:t>
      </w:r>
    </w:p>
    <w:p>
      <w:pPr>
        <w:spacing w:before="240"/>
        <w:jc w:val="both"/>
        <w:rPr>
          <w:b/>
          <w:noProof/>
        </w:rPr>
      </w:pPr>
      <w:r>
        <w:rPr>
          <w:b/>
          <w:noProof/>
        </w:rPr>
        <w:t>Йемен</w:t>
      </w:r>
    </w:p>
    <w:p>
      <w:pPr>
        <w:spacing w:before="240" w:after="240" w:line="276" w:lineRule="auto"/>
        <w:jc w:val="both"/>
        <w:rPr>
          <w:bCs/>
          <w:noProof/>
        </w:rPr>
      </w:pPr>
      <w:r>
        <w:rPr>
          <w:noProof/>
        </w:rPr>
        <w:t xml:space="preserve">Страната преминава през най-голямата хуманитарна криза в света — с 24,1 милиона души, нуждаещи се от помощ (80 % от населението), три милиона от които са вътрешно разселени. Общо 20 милиона йеменци страдат от продоволствена несигурност, като поне 238 000 души живеят в условия на глад. Освен това страната е изправена пред срив на здравните услуги, като 19,7 милиона души се нуждаят от помощ, има съмнения за 460 000 случая на холера, вносът на хранителни продукти, горива и лекарства е ограничен и недостатъчен, а училищата затварят. </w:t>
      </w:r>
    </w:p>
    <w:p>
      <w:pPr>
        <w:spacing w:before="240" w:after="240" w:line="276" w:lineRule="auto"/>
        <w:jc w:val="both"/>
        <w:rPr>
          <w:bCs/>
          <w:noProof/>
          <w:spacing w:val="-4"/>
        </w:rPr>
      </w:pPr>
      <w:r>
        <w:rPr>
          <w:noProof/>
          <w:spacing w:val="-4"/>
        </w:rPr>
        <w:t xml:space="preserve">ГД ECHO осъществи операции на стойност 115 милиона евро, с които предостави хранителни продукти, здравни грижи, образование, вода, подслон и комплекти с хигиенни принадлежности за засегнатите от войната зони и разселеното население. Средствата бяха използвани за лечение на деца, страдащи от остро недохранване, за борба с епидемията от холера и справяне с огнищата на морбили (дребна шарка) и дифтерия, за рехабилитация на лица с увреждания, за реконструкция на класни стаи и за финансиране на хуманитарните въздухоплавателни служби на ООН (UNHAS), които осигуряват на хуманитарния персонал изключително важен и надежден транспорт по вода и въздух. </w:t>
      </w:r>
    </w:p>
    <w:p>
      <w:pPr>
        <w:spacing w:before="240"/>
        <w:jc w:val="both"/>
        <w:rPr>
          <w:b/>
          <w:noProof/>
        </w:rPr>
      </w:pPr>
      <w:r>
        <w:rPr>
          <w:b/>
          <w:noProof/>
        </w:rPr>
        <w:t>Турция</w:t>
      </w:r>
    </w:p>
    <w:p>
      <w:pPr>
        <w:spacing w:before="240" w:after="240" w:line="276" w:lineRule="auto"/>
        <w:jc w:val="both"/>
        <w:rPr>
          <w:bCs/>
          <w:noProof/>
          <w:spacing w:val="-4"/>
        </w:rPr>
      </w:pPr>
      <w:r>
        <w:rPr>
          <w:noProof/>
          <w:spacing w:val="-4"/>
        </w:rPr>
        <w:t>Турция продължава да бъде страната, приела най-голямата общност от бежанци в света — с 3,6 милиона сирийци, намиращи се под временна закрила, и около 370 000 лица от държави, различни от Сирия, регистрирани като лица под международна закрила. С първия и втория транш от Механизма за бежанците в Турция (FRiT) ЕС предостави 2,4 милиарда евро хуманитарна помощ, с която подкрепи около 1,7 милиона бежанци чрез 64 проекта и 19 партньорски организации, работещи по въпросите на основните нужди, неформалното образование, закрилата и здравеопазването.</w:t>
      </w:r>
    </w:p>
    <w:p>
      <w:pPr>
        <w:spacing w:before="240" w:after="240" w:line="276" w:lineRule="auto"/>
        <w:jc w:val="both"/>
        <w:rPr>
          <w:bCs/>
          <w:noProof/>
        </w:rPr>
      </w:pPr>
      <w:r>
        <w:rPr>
          <w:noProof/>
        </w:rPr>
        <w:t>През 2019 г. ГД ECHO сключи договори на стойност 1,021 милиарда евро, като голяма част от средствата бяха отпуснати на Мрежата за социална закрила при извънредни обстоятелства (МСЗИО). Тази водеща програма предоставяше на 1,7 милиона бежанци месечни парични средства по дебитна карта, с които да посрещат основните си нужди. Обвързаното с условия предоставяне на парични средства за образование е програмата за образование в извънредни ситуации, достигнала до повече от 560 000 деца. Чрез нея уязвими семейства получават парични преводи, с които да се насърчи записването и редовното присъствие на децата бежанци в училище.</w:t>
      </w:r>
    </w:p>
    <w:p>
      <w:pPr>
        <w:spacing w:before="240"/>
        <w:jc w:val="both"/>
        <w:rPr>
          <w:b/>
          <w:noProof/>
        </w:rPr>
      </w:pPr>
      <w:r>
        <w:rPr>
          <w:b/>
          <w:noProof/>
        </w:rPr>
        <w:t>Западни Балкани</w:t>
      </w:r>
    </w:p>
    <w:p>
      <w:pPr>
        <w:spacing w:before="240" w:after="240" w:line="276" w:lineRule="auto"/>
        <w:jc w:val="both"/>
        <w:rPr>
          <w:bCs/>
          <w:noProof/>
        </w:rPr>
      </w:pPr>
      <w:r>
        <w:rPr>
          <w:noProof/>
        </w:rPr>
        <w:t>В началото на 2018 г. възникна нов „подмаршрут“ за бежанци, който минава през Босна и Херцеговина и достига Хърватия и Словения. През 2019 г. в Босна и Херцеговина пристигнаха 29 000 уязвими лица спрямо 24 000 през 2018 г. Общият брой на мигрантите и бежанците в страната надхвърля 8000 души, от които 2000 са бездомни (установяват се незаконно на публични или частни площи или живеят в изоставени сгради или железопътни гари). ЕС предостави 3,8 милиона евро хуманитарна помощ на Босна и Херцеговина. Чрез хуманитарните си партньори ГД ECHO предостави на бежанци и мигранти здравни грижи, закрила и помощ на терен (включително идентифициране на уязвими лица, предоставяне на спешни хранителни продукти и продукти от първа необходимост, медицинска помощ и др.).</w:t>
      </w:r>
    </w:p>
    <w:p>
      <w:pPr>
        <w:spacing w:before="240"/>
        <w:jc w:val="both"/>
        <w:rPr>
          <w:b/>
          <w:noProof/>
        </w:rPr>
      </w:pPr>
      <w:r>
        <w:rPr>
          <w:b/>
          <w:noProof/>
        </w:rPr>
        <w:t>Украйна</w:t>
      </w:r>
    </w:p>
    <w:p>
      <w:pPr>
        <w:spacing w:before="240" w:after="240" w:line="276" w:lineRule="auto"/>
        <w:jc w:val="both"/>
        <w:rPr>
          <w:bCs/>
          <w:noProof/>
        </w:rPr>
      </w:pPr>
      <w:r>
        <w:rPr>
          <w:noProof/>
        </w:rPr>
        <w:t xml:space="preserve">Над 5,2 милиона души са засегнати от конфликта, като поне 3,5 милиона от тях — основно в зоните извън контрола на правителството и от двете страни на контактната линия, се нуждаят от хуманитарна помощ. Заедно с държавите членки ЕС е най-големият донор на хуманитарна помощ и помощ за ранно възстановяване/развитие в Украйна. От началото на конфликта ЕС е предоставил над 762,5 милиона евро, от които около половината под формата на хуманитарна помощ. Към днешна дата ЕС (чрез Европейската комисия) е предоставил над 141,8 милиона евро хуманитарна помощ, от които 23 милиона евро през 2019 г. на 11 партньори, работещи от двете страни на контактната линия в шест сектора на интервенция: здравеопазване, подслон, водоснабдяване, канализация и хигиена, образование, основни нужди и закрила. </w:t>
      </w:r>
    </w:p>
    <w:p>
      <w:pPr>
        <w:spacing w:before="240"/>
        <w:jc w:val="both"/>
        <w:rPr>
          <w:b/>
          <w:noProof/>
        </w:rPr>
      </w:pPr>
      <w:r>
        <w:rPr>
          <w:b/>
          <w:noProof/>
        </w:rPr>
        <w:t>Либия</w:t>
      </w:r>
    </w:p>
    <w:p>
      <w:pPr>
        <w:spacing w:before="240" w:after="240" w:line="276" w:lineRule="auto"/>
        <w:jc w:val="both"/>
        <w:rPr>
          <w:bCs/>
          <w:noProof/>
        </w:rPr>
      </w:pPr>
      <w:r>
        <w:rPr>
          <w:noProof/>
        </w:rPr>
        <w:t xml:space="preserve">Общо 820 000 либийци се нуждаят от хуманитарна помощ. Двадесет процента от здравните заведения са затворени, защото са разрушени, с нанесени щети или под окупация. Наблюдават се повсеместно потъпкване на международното хуманитарно право, трафик на хора и възпрепятстване на доставките на помощ и на достъпа на организации, предоставящи помощ. </w:t>
      </w:r>
    </w:p>
    <w:p>
      <w:pPr>
        <w:spacing w:before="240" w:after="240" w:line="276" w:lineRule="auto"/>
        <w:jc w:val="both"/>
        <w:rPr>
          <w:bCs/>
          <w:noProof/>
        </w:rPr>
      </w:pPr>
      <w:r>
        <w:rPr>
          <w:noProof/>
        </w:rPr>
        <w:t>ГД ECHO осъществи операции на стойност 8 милиона евро за предоставяне на основни здравни грижи на жертвите на конфликта, включително спешни военни хирургически операции, комплекти за първа помощ при травми, физическо възстановяване, протези и психологическа подкрепа, осигуряване на основни лекарства и грижи за лица, преживели насилие, основано на пола. Благодарение на помощта бяха възстановени първичните здравни услуги в засегнати от конфликти райони и основните образователни услуги в Бенгази и Сирт, като по този начин хиляди деца получиха достъп до основно образование и психосоциална подкрепа. ЕС също така предостави продоволствено подпомагане и подкрепа за препитание, както и парична помощ за най-уязвимите лица. Услугите бяха предоставени на недискриминационен принцип на всички уязвими лица, включително мигранти, бежанци и търсещи убежище лица.</w:t>
      </w:r>
    </w:p>
    <w:p>
      <w:pPr>
        <w:spacing w:before="240"/>
        <w:jc w:val="both"/>
        <w:rPr>
          <w:b/>
          <w:noProof/>
        </w:rPr>
      </w:pPr>
      <w:r>
        <w:rPr>
          <w:b/>
          <w:noProof/>
        </w:rPr>
        <w:t>Египет</w:t>
      </w:r>
    </w:p>
    <w:p>
      <w:pPr>
        <w:spacing w:before="240" w:after="240" w:line="276" w:lineRule="auto"/>
        <w:jc w:val="both"/>
        <w:rPr>
          <w:bCs/>
          <w:noProof/>
        </w:rPr>
      </w:pPr>
      <w:r>
        <w:rPr>
          <w:noProof/>
        </w:rPr>
        <w:t>Общо 250 000 регистрирани бежанци са блокирани в най-пренаселените и бедни квартали на големите градове, като Кайро и Александрия, където приемните общности също страдат от голяма уязвимост. Около 50 % от бежанците са от Сирия, а останалите са основно от Източна Африка, Ирак и Йемен.</w:t>
      </w:r>
    </w:p>
    <w:p>
      <w:pPr>
        <w:spacing w:before="240" w:after="240" w:line="276" w:lineRule="auto"/>
        <w:jc w:val="both"/>
        <w:rPr>
          <w:bCs/>
          <w:noProof/>
        </w:rPr>
      </w:pPr>
      <w:r>
        <w:rPr>
          <w:noProof/>
        </w:rPr>
        <w:t>През 2019 г. ГД ECHO осъществи операции на стойност 5 милиона евро, с които предложи хуманитарна закрила, услуги за спешна здравна помощ (по-специално за майчино и репродуктивно здравеопазване), образование в извънредни ситуации и парични средства за покриване на основни нужди. Общо 38 % от бежанците са деца, като делът на непридружените и отделените от семействата си деца се увеличава.</w:t>
      </w:r>
    </w:p>
    <w:p>
      <w:pPr>
        <w:spacing w:before="240"/>
        <w:jc w:val="both"/>
        <w:rPr>
          <w:b/>
          <w:noProof/>
        </w:rPr>
      </w:pPr>
      <w:r>
        <w:rPr>
          <w:b/>
          <w:noProof/>
        </w:rPr>
        <w:t>Кризата с народа сахрави</w:t>
      </w:r>
    </w:p>
    <w:p>
      <w:pPr>
        <w:spacing w:before="240" w:after="240" w:line="276" w:lineRule="auto"/>
        <w:jc w:val="both"/>
        <w:rPr>
          <w:bCs/>
          <w:noProof/>
        </w:rPr>
      </w:pPr>
      <w:r>
        <w:rPr>
          <w:noProof/>
        </w:rPr>
        <w:t>След четири десетилетия неразрешен политически конфликт с хуманитарни последици десетки хиляди бежанци от народа сахрави са блокирани в една забравена и продължителна криза. Те живеят в пет лагера в пустинята в Югозападен Алжир и зависят от хуманитарна помощ, за да оцелеят.</w:t>
      </w:r>
    </w:p>
    <w:p>
      <w:pPr>
        <w:spacing w:before="240" w:after="240" w:line="276" w:lineRule="auto"/>
        <w:jc w:val="both"/>
        <w:rPr>
          <w:noProof/>
          <w:sz w:val="28"/>
          <w:u w:val="single"/>
        </w:rPr>
      </w:pPr>
      <w:r>
        <w:rPr>
          <w:noProof/>
        </w:rPr>
        <w:t xml:space="preserve">ГД ECHO осъществи операции на стойност 9 милиона евро за предоставяне на хранителни продукти и безопасна питейна вода и справяне с увеличаващите се случаи на недохранване сред децата и жените бежанци от народа сахрави. Генералната дирекция също така предостави основни лекарства, с които покри 80 % от здравните нужди на населението в лагерите, и специална подкрепа за хората с увреждания. Освен това ГД ECHO предостави помощ по линия на образованието в извънредни ситуации, като подобри лошото състояние на образователните инфраструктури и санитарните съоръжения в училищата. </w:t>
      </w:r>
    </w:p>
    <w:p>
      <w:pPr>
        <w:pStyle w:val="Heading310"/>
        <w:keepNext/>
        <w:keepLines/>
        <w:shd w:val="clear" w:color="auto" w:fill="auto"/>
        <w:spacing w:after="240" w:line="276" w:lineRule="auto"/>
        <w:ind w:firstLine="0"/>
        <w:jc w:val="both"/>
        <w:rPr>
          <w:noProof/>
          <w:sz w:val="28"/>
          <w:u w:val="single"/>
        </w:rPr>
      </w:pPr>
      <w:bookmarkStart w:id="9" w:name="_Toc47080729"/>
      <w:r>
        <w:rPr>
          <w:noProof/>
          <w:sz w:val="28"/>
          <w:u w:val="single"/>
        </w:rPr>
        <w:t>Хоризонтални приоритети</w:t>
      </w:r>
      <w:bookmarkEnd w:id="9"/>
    </w:p>
    <w:p>
      <w:pPr>
        <w:spacing w:after="240" w:line="276" w:lineRule="auto"/>
        <w:jc w:val="both"/>
        <w:rPr>
          <w:noProof/>
        </w:rPr>
      </w:pPr>
      <w:r>
        <w:rPr>
          <w:noProof/>
        </w:rPr>
        <w:t>В съответствие с предишните си ангажименти ГД ECHO разпредели 10 % от бюджета за хуманитарна помощ от ЕС за 2019 г. за образование в извънредни ситуации и запази ангажимента си за предоставяне на 35 % от хуманитарната помощ чрез парични преводи. Също така през 2019 г. бяха приети оперативните насоки „</w:t>
      </w:r>
      <w:hyperlink r:id="rId24" w:history="1">
        <w:r>
          <w:rPr>
            <w:rStyle w:val="Hyperlink"/>
            <w:noProof/>
          </w:rPr>
          <w:t>Приобщаване на лицата с увреждания в операциите за хуманитарна помощ, финансирани от ЕС</w:t>
        </w:r>
      </w:hyperlink>
      <w:r>
        <w:rPr>
          <w:noProof/>
        </w:rPr>
        <w:t>“</w:t>
      </w:r>
    </w:p>
    <w:p>
      <w:pPr>
        <w:spacing w:after="240" w:line="276" w:lineRule="auto"/>
        <w:jc w:val="both"/>
        <w:rPr>
          <w:b/>
          <w:bCs/>
          <w:noProof/>
          <w:color w:val="auto"/>
        </w:rPr>
      </w:pPr>
      <w:r>
        <w:rPr>
          <w:b/>
          <w:bCs/>
          <w:noProof/>
        </w:rPr>
        <w:t>Образование в извънредни ситуации (ОИС)</w:t>
      </w:r>
    </w:p>
    <w:p>
      <w:pPr>
        <w:spacing w:after="240" w:line="276" w:lineRule="auto"/>
        <w:jc w:val="both"/>
        <w:rPr>
          <w:rFonts w:ascii="Calibri" w:hAnsi="Calibri" w:cs="Calibri"/>
          <w:noProof/>
          <w:sz w:val="22"/>
          <w:szCs w:val="22"/>
        </w:rPr>
      </w:pPr>
      <w:r>
        <w:rPr>
          <w:noProof/>
        </w:rPr>
        <w:t xml:space="preserve">ГД ECHO продължи да действа като световен лидер в областта на ОИС. Тя отдели за ОИС средства на стойност 166 милиона евро, с които подкрепи дейности в 52 страни и подпомогна над 2,5 милиона души, осигурявайки достъп до безопасно и качествено образование за момичетата и момчетата в най-уязвими ситуации. </w:t>
      </w:r>
    </w:p>
    <w:p>
      <w:pPr>
        <w:spacing w:after="240" w:line="276" w:lineRule="auto"/>
        <w:jc w:val="both"/>
        <w:rPr>
          <w:noProof/>
        </w:rPr>
      </w:pPr>
      <w:r>
        <w:rPr>
          <w:noProof/>
        </w:rPr>
        <w:t>За да повиши видимостта на ОИС и осведомеността по въпроса, през май 2019 г. ГД ECHO беше домакин на събитие на високо равнище на тема „Образованието в извънредни ситуации: School4All“ с участието на комисаря Христос Стилианидис, носителя на нобелова награда Денис Муквеге, посланика на Handicap International — Аксел Ред, и певицата Тиф Бароу. ГД ECHO започна кампания в социалните медии под надслов #RaiseYourPencil for #School4All в знак на солидарност с всички засегнати от кризи деца, които не посещават училище.</w:t>
      </w:r>
    </w:p>
    <w:p>
      <w:pPr>
        <w:spacing w:after="240" w:line="276" w:lineRule="auto"/>
        <w:jc w:val="both"/>
        <w:rPr>
          <w:b/>
          <w:noProof/>
        </w:rPr>
      </w:pPr>
      <w:r>
        <w:rPr>
          <w:b/>
          <w:noProof/>
        </w:rPr>
        <w:t>Парична помощ</w:t>
      </w:r>
    </w:p>
    <w:p>
      <w:pPr>
        <w:spacing w:after="240" w:line="276" w:lineRule="auto"/>
        <w:jc w:val="both"/>
        <w:rPr>
          <w:noProof/>
        </w:rPr>
      </w:pPr>
      <w:r>
        <w:rPr>
          <w:noProof/>
        </w:rPr>
        <w:t xml:space="preserve">ГД ECHO продължи да дава тласък на обсъжданията относно паричните преводи. Това спомогна за насърчаването на по-добра координация между донорите чрез приемането на съвместно изявление на донорите относно паричната помощ в двете пилотни държави Нигерия и Бангладеш. </w:t>
      </w:r>
    </w:p>
    <w:p>
      <w:pPr>
        <w:spacing w:after="240" w:line="276" w:lineRule="auto"/>
        <w:jc w:val="both"/>
        <w:rPr>
          <w:noProof/>
        </w:rPr>
      </w:pPr>
      <w:r>
        <w:rPr>
          <w:noProof/>
        </w:rPr>
        <w:t xml:space="preserve">ГД ECHO публикува </w:t>
      </w:r>
      <w:hyperlink r:id="rId25" w:history="1">
        <w:r>
          <w:rPr>
            <w:rStyle w:val="Hyperlink"/>
            <w:noProof/>
          </w:rPr>
          <w:t>Компендиум на ЕС за паричната помощ за 2019 г.:</w:t>
        </w:r>
      </w:hyperlink>
      <w:hyperlink r:id="rId26" w:history="1">
        <w:r>
          <w:rPr>
            <w:rStyle w:val="Hyperlink"/>
            <w:noProof/>
          </w:rPr>
          <w:t xml:space="preserve"> повече парични средства чрез по-ефективни методи</w:t>
        </w:r>
      </w:hyperlink>
      <w:r>
        <w:rPr>
          <w:noProof/>
        </w:rPr>
        <w:t xml:space="preserve">, в който се подчертават резултатите на проектно равнище с оглед на препоръките, посочени в Насоките на ГД ECHO относно мащабните парични помощи. В документа се съпоставят различните подходи при проектите, начините, по които се следват препоръките от Насоките на ГД ECHO относно мащабните парични помощи, начините, по които се гарантира координацията с други донори и с мрежите за социална безопасност, както и предизвикателствата и извлечените поуки. В няколко държави вече бе постигнат и надминат предвиденият в Насоките коефициент на ефективност 85:15 (85 % от средствата са достигнали бенефициерите от целевата група). </w:t>
      </w:r>
    </w:p>
    <w:p>
      <w:pPr>
        <w:spacing w:after="240" w:line="276" w:lineRule="auto"/>
        <w:jc w:val="both"/>
        <w:rPr>
          <w:b/>
          <w:noProof/>
        </w:rPr>
      </w:pPr>
      <w:r>
        <w:rPr>
          <w:b/>
          <w:noProof/>
        </w:rPr>
        <w:t>Иновации и ангажираност на частния сектор</w:t>
      </w:r>
    </w:p>
    <w:p>
      <w:pPr>
        <w:spacing w:after="240" w:line="276" w:lineRule="auto"/>
        <w:jc w:val="both"/>
        <w:rPr>
          <w:noProof/>
        </w:rPr>
      </w:pPr>
      <w:r>
        <w:rPr>
          <w:noProof/>
        </w:rPr>
        <w:t>ГД ECHO продължи да участва в глобалните дебати, по-специално в годишното заседание на Световния икономически форум, заседанието по хуманитарни въпроси на Икономическия и социален съвет на ООН, Общото събрание на ООН и донорската среща в Берлин относно бъдещето на иновациите в хуманитарните дейности. ГД ECHO продължи да подкрепя разработването на иновативни подходи чрез Приложението относно тематичните политики към плановете за изпълнение на хуманитарни дейности (ПИХД), с което партньорите са насърчавани да намалят отпечатъка на хуманитарните реакции върху околната среда, като използват цифрови подходи и подкрепят наградата за достъпни високи технологии за хуманитарна помощ на Европейския съвет по иновациите в рамките на програмата „Хоризонт 2020“, която ще бъде връчена през 2020 г.</w:t>
      </w:r>
    </w:p>
    <w:p>
      <w:pPr>
        <w:spacing w:after="240" w:line="276" w:lineRule="auto"/>
        <w:jc w:val="both"/>
        <w:rPr>
          <w:b/>
          <w:noProof/>
        </w:rPr>
      </w:pPr>
      <w:r>
        <w:rPr>
          <w:b/>
          <w:noProof/>
        </w:rPr>
        <w:t>Водещата роля на ЕС за Призива за действие за защита от основано на пола насилие при извънредни ситуации</w:t>
      </w:r>
    </w:p>
    <w:p>
      <w:pPr>
        <w:spacing w:after="240" w:line="276" w:lineRule="auto"/>
        <w:jc w:val="both"/>
        <w:rPr>
          <w:noProof/>
        </w:rPr>
      </w:pPr>
      <w:r>
        <w:rPr>
          <w:noProof/>
        </w:rPr>
        <w:t>ГД ECHO е член на глобалната инициатива „Призив за действие за защита от основано на пола насилие при извънредни ситуации“. Фондът на ООН за населението (ФНООН) ръководи проект за засилен капацитет за реагиране (програма на ГД ECHO), с който бе насърчено разработването на междуинституционални стандарти относно основаното на пола насилие при извънредни ситуации и на насоки за разработването на съобразени с контекста пътни карти във връзка с Призива за действие (от пилотни проекти в Нигерия и ДРК). През 2018 г. и 2019 г. ГД ECHO отпусна приблизително 52 милиона евро за предотвратяване и ответни действия във връзка със сексуалното и основаното на пола насилие. ГД ECHO започна първото си електронно обучение относно своя маркер за пол и възраст.</w:t>
      </w:r>
    </w:p>
    <w:p>
      <w:pPr>
        <w:spacing w:after="240" w:line="276" w:lineRule="auto"/>
        <w:jc w:val="both"/>
        <w:rPr>
          <w:b/>
          <w:noProof/>
        </w:rPr>
      </w:pPr>
      <w:r>
        <w:rPr>
          <w:b/>
          <w:noProof/>
        </w:rPr>
        <w:t>ECHO Flight (Африка) и подкрепа за хуманитарните въздухоплавателни служби</w:t>
      </w:r>
    </w:p>
    <w:p>
      <w:pPr>
        <w:spacing w:after="240" w:line="276" w:lineRule="auto"/>
        <w:jc w:val="both"/>
        <w:rPr>
          <w:noProof/>
        </w:rPr>
      </w:pPr>
      <w:r>
        <w:rPr>
          <w:noProof/>
        </w:rPr>
        <w:t xml:space="preserve">ECHO Flight е хуманитарна въздухоплавателна служба, разполагаща с шест въздухоплавателни средства и бюджет от 12,4 милиона евро. Нейните услуги са безплатни за хуманитарните организации и за партньорите на ГД ECHO. През 2019 г. службата подкрепи над 250 проекта и превози над 25 000 хуманитарни работници и около 200 тона хуманитарни товари. </w:t>
      </w:r>
    </w:p>
    <w:p>
      <w:pPr>
        <w:spacing w:after="240" w:line="276" w:lineRule="auto"/>
        <w:jc w:val="both"/>
        <w:rPr>
          <w:noProof/>
          <w:spacing w:val="-4"/>
        </w:rPr>
      </w:pPr>
      <w:r>
        <w:rPr>
          <w:noProof/>
          <w:spacing w:val="-4"/>
        </w:rPr>
        <w:t xml:space="preserve">Освен това ЕС подпомогна хуманитарни въздухоплавателни служби с нестопанска цел, като например предостави 25 милиона евро в помощ на хуманитарната въздухоплавателна служба на ООН, управлявана от СПП, и логистичните ѝ операции в 12 страни. </w:t>
      </w:r>
    </w:p>
    <w:p>
      <w:pPr>
        <w:pStyle w:val="Heading310"/>
        <w:spacing w:after="240" w:line="276" w:lineRule="auto"/>
        <w:ind w:firstLine="0"/>
        <w:jc w:val="left"/>
        <w:rPr>
          <w:noProof/>
          <w:sz w:val="28"/>
          <w:u w:val="single"/>
        </w:rPr>
      </w:pPr>
      <w:bookmarkStart w:id="10" w:name="_Toc47080730"/>
      <w:r>
        <w:rPr>
          <w:noProof/>
          <w:sz w:val="28"/>
          <w:u w:val="single"/>
        </w:rPr>
        <w:t>Обобщение на приключените през 2019 г. оценки</w:t>
      </w:r>
      <w:bookmarkEnd w:id="10"/>
    </w:p>
    <w:p>
      <w:pPr>
        <w:spacing w:after="240" w:line="276" w:lineRule="auto"/>
        <w:jc w:val="both"/>
        <w:rPr>
          <w:b/>
          <w:bCs/>
          <w:noProof/>
        </w:rPr>
      </w:pPr>
      <w:hyperlink r:id="rId27" w:history="1">
        <w:r>
          <w:rPr>
            <w:rStyle w:val="Hyperlink"/>
            <w:b/>
            <w:bCs/>
            <w:noProof/>
          </w:rPr>
          <w:t>Комбинирана оценка на хуманитарните операции на ЕС в Централна Африка и на координацията на хуманитарните дейности през периода 2014—2018 г.</w:t>
        </w:r>
      </w:hyperlink>
    </w:p>
    <w:p>
      <w:pPr>
        <w:spacing w:after="240" w:line="276" w:lineRule="auto"/>
        <w:jc w:val="both"/>
        <w:rPr>
          <w:bCs/>
          <w:noProof/>
          <w:spacing w:val="-4"/>
        </w:rPr>
      </w:pPr>
      <w:r>
        <w:rPr>
          <w:noProof/>
          <w:spacing w:val="-4"/>
        </w:rPr>
        <w:t>ЕС допринесе значително за удовлетворяването на неотложните нужди и засилването на хуманитарните реакции в Централна Африка. Като ценен актив бяха посочени дейностите на ГД ECHO и надеждното постигане на планираните резултати чрез партньори и подкрепа за координационната функция на Службата на ООН за координация по хуманитарни въпроси, по-специално за коригиране на пропуските в координацията.</w:t>
      </w:r>
    </w:p>
    <w:p>
      <w:pPr>
        <w:spacing w:after="240" w:line="276" w:lineRule="auto"/>
        <w:jc w:val="both"/>
        <w:rPr>
          <w:bCs/>
          <w:noProof/>
        </w:rPr>
      </w:pPr>
      <w:r>
        <w:rPr>
          <w:noProof/>
        </w:rPr>
        <w:t xml:space="preserve">В оценката бяха подчертани предизвикателствата, свързани със справянето с хроничните нужди и пропуските в координацията, които продължават да бъдат налице, и бяха дадени препоръки за подкрепа за бъдеща хуманитарна помощ от страна на ЕС и координация в региона. </w:t>
      </w:r>
    </w:p>
    <w:p>
      <w:pPr>
        <w:spacing w:after="240" w:line="276" w:lineRule="auto"/>
        <w:jc w:val="both"/>
        <w:rPr>
          <w:b/>
          <w:bCs/>
          <w:noProof/>
        </w:rPr>
      </w:pPr>
      <w:hyperlink r:id="rId28" w:history="1">
        <w:r>
          <w:rPr>
            <w:rStyle w:val="Hyperlink"/>
            <w:b/>
            <w:bCs/>
            <w:noProof/>
          </w:rPr>
          <w:t>Комбинирана оценка на хуманитарните операции на ЕС в Афганистан и на партньорството с Норвежкия съвет за бежанците (2014—2018 г.)</w:t>
        </w:r>
      </w:hyperlink>
    </w:p>
    <w:p>
      <w:pPr>
        <w:spacing w:after="240" w:line="276" w:lineRule="auto"/>
        <w:jc w:val="both"/>
        <w:rPr>
          <w:bCs/>
          <w:noProof/>
          <w:spacing w:val="-4"/>
        </w:rPr>
      </w:pPr>
      <w:r>
        <w:rPr>
          <w:noProof/>
          <w:spacing w:val="-4"/>
        </w:rPr>
        <w:t>В оценката бе констатирано, че ГД ECHO е ключов участник в контекста на помощта за Афганистан и подкрепя полезните взаимодействия между развитието и хуманитарните действия. Действията на ГД ECHO чрез Механизма за реагиране при извънредни ситуации и парични помощи за вътрешно разселени лица (ответните действия обикновено зависят от нуждите) помагат при непосредствените последствия от конфликти и бедствия.</w:t>
      </w:r>
    </w:p>
    <w:p>
      <w:pPr>
        <w:spacing w:after="240" w:line="276" w:lineRule="auto"/>
        <w:jc w:val="both"/>
        <w:rPr>
          <w:bCs/>
          <w:noProof/>
        </w:rPr>
      </w:pPr>
      <w:r>
        <w:rPr>
          <w:noProof/>
        </w:rPr>
        <w:t xml:space="preserve">В оценката бе установено, че партньорството е на високо ниво. Има безспорни доказателства за редовен, всеобхватен и прозрачен обмен на информация на всички равнища, а доверието е ключов фактор. Бяха открити и някои слабости: някои процеси бяха неефективни, имаше пропуски във вътрешните комуникации, а одитните изисквания наложиха значителни разходи и за двете организации. </w:t>
      </w:r>
    </w:p>
    <w:p>
      <w:pPr>
        <w:pStyle w:val="Heading310"/>
        <w:keepNext/>
        <w:keepLines/>
        <w:shd w:val="clear" w:color="auto" w:fill="auto"/>
        <w:spacing w:after="240" w:line="557" w:lineRule="exact"/>
        <w:ind w:firstLine="0"/>
        <w:jc w:val="left"/>
        <w:rPr>
          <w:noProof/>
          <w:sz w:val="28"/>
          <w:u w:val="single"/>
        </w:rPr>
      </w:pPr>
      <w:bookmarkStart w:id="11" w:name="_Toc47080731"/>
      <w:r>
        <w:rPr>
          <w:noProof/>
          <w:sz w:val="28"/>
          <w:u w:val="single"/>
        </w:rPr>
        <w:t>Бюджет за 2019 г.</w:t>
      </w:r>
      <w:bookmarkEnd w:id="3"/>
      <w:bookmarkEnd w:id="11"/>
    </w:p>
    <w:p>
      <w:pPr>
        <w:pStyle w:val="Bodytext20"/>
        <w:numPr>
          <w:ilvl w:val="0"/>
          <w:numId w:val="3"/>
        </w:numPr>
        <w:shd w:val="clear" w:color="auto" w:fill="auto"/>
        <w:tabs>
          <w:tab w:val="left" w:pos="330"/>
        </w:tabs>
        <w:spacing w:after="0" w:line="276" w:lineRule="auto"/>
        <w:ind w:left="261" w:hanging="261"/>
        <w:rPr>
          <w:noProof/>
        </w:rPr>
      </w:pPr>
      <w:r>
        <w:rPr>
          <w:noProof/>
        </w:rPr>
        <w:t>Списък на сключените от Комисията споразумения за финансиране в областта на хуманитарната помощ</w:t>
      </w:r>
      <w:r>
        <w:rPr>
          <w:rStyle w:val="FootnoteReference"/>
          <w:noProof/>
          <w:lang w:val="en-GB"/>
        </w:rPr>
        <w:footnoteReference w:id="3"/>
      </w:r>
      <w:r>
        <w:rPr>
          <w:noProof/>
        </w:rPr>
        <w:t xml:space="preserve">: </w:t>
      </w:r>
    </w:p>
    <w:p>
      <w:pPr>
        <w:pStyle w:val="Bodytext20"/>
        <w:shd w:val="clear" w:color="auto" w:fill="auto"/>
        <w:tabs>
          <w:tab w:val="left" w:pos="354"/>
        </w:tabs>
        <w:spacing w:after="0" w:line="276" w:lineRule="auto"/>
        <w:ind w:left="260" w:firstLine="0"/>
        <w:rPr>
          <w:noProof/>
        </w:rPr>
      </w:pPr>
      <w:r>
        <w:rPr>
          <w:noProof/>
        </w:rPr>
        <w:t xml:space="preserve">Текстовете на споразуменията за предоставяне на хуманитарна помощ от ЕС могат да бъдат намерени на </w:t>
      </w:r>
      <w:hyperlink r:id="rId29" w:tgtFrame="_blank" w:history="1">
        <w:r>
          <w:rPr>
            <w:noProof/>
          </w:rPr>
          <w:t>уебсайта на Системата за финансова прозрачност (СФП)</w:t>
        </w:r>
      </w:hyperlink>
      <w:r>
        <w:rPr>
          <w:noProof/>
        </w:rPr>
        <w:t xml:space="preserve">. </w:t>
      </w:r>
    </w:p>
    <w:p>
      <w:pPr>
        <w:pStyle w:val="Bodytext20"/>
        <w:numPr>
          <w:ilvl w:val="0"/>
          <w:numId w:val="3"/>
        </w:numPr>
        <w:shd w:val="clear" w:color="auto" w:fill="auto"/>
        <w:tabs>
          <w:tab w:val="left" w:pos="354"/>
        </w:tabs>
        <w:spacing w:after="0" w:line="557" w:lineRule="exact"/>
        <w:ind w:left="260" w:hanging="260"/>
        <w:rPr>
          <w:noProof/>
        </w:rPr>
      </w:pPr>
      <w:r>
        <w:rPr>
          <w:noProof/>
        </w:rPr>
        <w:t xml:space="preserve">Изпълнение на бюджета </w:t>
      </w:r>
    </w:p>
    <w:tbl>
      <w:tblPr>
        <w:tblW w:w="9012" w:type="dxa"/>
        <w:tblInd w:w="108" w:type="dxa"/>
        <w:tblLook w:val="04A0" w:firstRow="1" w:lastRow="0" w:firstColumn="1" w:lastColumn="0" w:noHBand="0" w:noVBand="1"/>
      </w:tblPr>
      <w:tblGrid>
        <w:gridCol w:w="6647"/>
        <w:gridCol w:w="222"/>
        <w:gridCol w:w="1243"/>
        <w:gridCol w:w="222"/>
        <w:gridCol w:w="728"/>
      </w:tblGrid>
      <w:tr>
        <w:trPr>
          <w:trHeight w:val="540"/>
        </w:trPr>
        <w:tc>
          <w:tcPr>
            <w:tcW w:w="9012" w:type="dxa"/>
            <w:gridSpan w:val="5"/>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32"/>
                <w:szCs w:val="32"/>
              </w:rPr>
            </w:pPr>
            <w:r>
              <w:rPr>
                <w:rFonts w:ascii="Arial Narrow" w:hAnsi="Arial Narrow"/>
                <w:b/>
                <w:bCs/>
                <w:noProof/>
                <w:sz w:val="32"/>
                <w:szCs w:val="32"/>
              </w:rPr>
              <w:t>ИЗПЪЛНЕНИЕ НА БЮДЖЕТА НА ГД ECHO ЗА 2019 г.</w:t>
            </w:r>
          </w:p>
        </w:tc>
      </w:tr>
      <w:tr>
        <w:trPr>
          <w:trHeight w:val="90"/>
        </w:trPr>
        <w:tc>
          <w:tcPr>
            <w:tcW w:w="6647"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32"/>
                <w:szCs w:val="32"/>
                <w:lang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bidi="ar-SA"/>
              </w:rPr>
            </w:pPr>
          </w:p>
        </w:tc>
      </w:tr>
      <w:tr>
        <w:trPr>
          <w:trHeight w:val="315"/>
        </w:trPr>
        <w:tc>
          <w:tcPr>
            <w:tcW w:w="9012" w:type="dxa"/>
            <w:gridSpan w:val="5"/>
            <w:tcBorders>
              <w:top w:val="nil"/>
              <w:left w:val="nil"/>
              <w:bottom w:val="nil"/>
              <w:right w:val="nil"/>
            </w:tcBorders>
            <w:shd w:val="clear" w:color="000000" w:fill="FF6600"/>
            <w:noWrap/>
            <w:vAlign w:val="center"/>
            <w:hideMark/>
          </w:tcPr>
          <w:p>
            <w:pPr>
              <w:widowControl/>
              <w:jc w:val="center"/>
              <w:rPr>
                <w:rFonts w:ascii="Arial Narrow" w:hAnsi="Arial Narrow" w:cs="Arial"/>
                <w:i/>
                <w:iCs/>
                <w:noProof/>
                <w:sz w:val="22"/>
                <w:szCs w:val="22"/>
              </w:rPr>
            </w:pPr>
            <w:r>
              <w:rPr>
                <w:rFonts w:ascii="Arial Narrow" w:hAnsi="Arial Narrow"/>
                <w:i/>
                <w:iCs/>
                <w:noProof/>
                <w:sz w:val="22"/>
                <w:szCs w:val="22"/>
              </w:rPr>
              <w:t>Не са включени външните целеви приходи от държавите членки</w:t>
            </w:r>
          </w:p>
        </w:tc>
      </w:tr>
      <w:tr>
        <w:trPr>
          <w:trHeight w:val="360"/>
        </w:trPr>
        <w:tc>
          <w:tcPr>
            <w:tcW w:w="6647" w:type="dxa"/>
            <w:tcBorders>
              <w:top w:val="nil"/>
              <w:left w:val="nil"/>
              <w:bottom w:val="nil"/>
              <w:right w:val="nil"/>
            </w:tcBorders>
            <w:shd w:val="clear" w:color="auto" w:fill="auto"/>
            <w:noWrap/>
            <w:vAlign w:val="center"/>
            <w:hideMark/>
          </w:tcPr>
          <w:p>
            <w:pPr>
              <w:widowControl/>
              <w:jc w:val="center"/>
              <w:rPr>
                <w:rFonts w:ascii="Arial Narrow" w:hAnsi="Arial Narrow" w:cs="Arial"/>
                <w:i/>
                <w:iCs/>
                <w:noProof/>
                <w:sz w:val="22"/>
                <w:szCs w:val="22"/>
                <w:lang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bidi="ar-SA"/>
              </w:rPr>
            </w:pPr>
          </w:p>
        </w:tc>
      </w:tr>
      <w:tr>
        <w:trPr>
          <w:trHeight w:val="435"/>
        </w:trPr>
        <w:tc>
          <w:tcPr>
            <w:tcW w:w="6647" w:type="dxa"/>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22"/>
                <w:szCs w:val="22"/>
              </w:rPr>
            </w:pPr>
            <w:r>
              <w:rPr>
                <w:rFonts w:ascii="Arial Narrow" w:hAnsi="Arial Narrow"/>
                <w:b/>
                <w:bCs/>
                <w:noProof/>
                <w:sz w:val="22"/>
                <w:szCs w:val="22"/>
              </w:rPr>
              <w:t>Регион/държава</w:t>
            </w:r>
          </w:p>
        </w:tc>
        <w:tc>
          <w:tcPr>
            <w:tcW w:w="222"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22"/>
                <w:szCs w:val="22"/>
              </w:rPr>
            </w:pPr>
            <w:r>
              <w:rPr>
                <w:rFonts w:ascii="Arial Narrow" w:hAnsi="Arial Narrow"/>
                <w:b/>
                <w:bCs/>
                <w:noProof/>
                <w:sz w:val="22"/>
                <w:szCs w:val="22"/>
              </w:rPr>
              <w:t>Сума</w:t>
            </w:r>
          </w:p>
        </w:tc>
        <w:tc>
          <w:tcPr>
            <w:tcW w:w="222"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22"/>
                <w:szCs w:val="22"/>
              </w:rPr>
            </w:pPr>
            <w:r>
              <w:rPr>
                <w:rFonts w:ascii="Arial Narrow" w:hAnsi="Arial Narrow"/>
                <w:b/>
                <w:bCs/>
                <w:noProof/>
                <w:sz w:val="22"/>
                <w:szCs w:val="22"/>
              </w:rPr>
              <w:t>%</w:t>
            </w:r>
          </w:p>
        </w:tc>
      </w:tr>
      <w:tr>
        <w:trPr>
          <w:trHeight w:val="75"/>
        </w:trPr>
        <w:tc>
          <w:tcPr>
            <w:tcW w:w="6647"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Африка</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632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29 %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Судан и Южен Судан</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105</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Централна Африка</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68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Големите езера</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72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Африкански рог</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163</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Южна Африка, Индийски океан</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60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Западна Африка</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138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Северна Африка</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17</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Африка</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Близък изток, Югоизточна Европа и Източното съседство</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1062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50 %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Близък изток</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436</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Югоизточна Европа и Източното съседство</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627</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Азия, Тихоокеанският басейн</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127</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6 %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Югозападна и Централна Азия</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75</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Югоизточна Азия и Тихоокеанският басейн</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52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Латинска Америка, Карибският басейн</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104</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5 %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Латинска Америка</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84</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Карибският басейн</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20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Бедствия по света</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40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2 %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Гражданска защита</w:t>
            </w:r>
            <w:r>
              <w:rPr>
                <w:rStyle w:val="FootnoteReference"/>
                <w:rFonts w:ascii="Arial Narrow" w:hAnsi="Arial Narrow" w:cs="Arial"/>
                <w:b/>
                <w:bCs/>
                <w:noProof/>
                <w:sz w:val="22"/>
                <w:szCs w:val="22"/>
                <w:lang w:val="en-GB" w:bidi="ar-SA"/>
              </w:rPr>
              <w:footnoteReference w:id="4"/>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95</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4 %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Доброволци на ЕС за хуманитарна помощ</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Допълнителни операции и подкрепа</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68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3 %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435"/>
        </w:trPr>
        <w:tc>
          <w:tcPr>
            <w:tcW w:w="6647" w:type="dxa"/>
            <w:tcBorders>
              <w:top w:val="nil"/>
              <w:left w:val="nil"/>
              <w:bottom w:val="nil"/>
              <w:right w:val="nil"/>
            </w:tcBorders>
            <w:shd w:val="clear" w:color="000000" w:fill="FF6600"/>
            <w:noWrap/>
            <w:vAlign w:val="center"/>
            <w:hideMark/>
          </w:tcPr>
          <w:p>
            <w:pPr>
              <w:widowControl/>
              <w:rPr>
                <w:rFonts w:ascii="Arial Narrow" w:hAnsi="Arial Narrow" w:cs="Arial"/>
                <w:b/>
                <w:bCs/>
                <w:noProof/>
                <w:sz w:val="22"/>
                <w:szCs w:val="22"/>
              </w:rPr>
            </w:pPr>
            <w:r>
              <w:rPr>
                <w:rFonts w:ascii="Arial Narrow" w:hAnsi="Arial Narrow"/>
                <w:b/>
                <w:bCs/>
                <w:noProof/>
                <w:sz w:val="22"/>
                <w:szCs w:val="22"/>
              </w:rPr>
              <w:t>ОБЩО</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6600"/>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2146</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6600"/>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100 %</w:t>
            </w:r>
          </w:p>
        </w:tc>
      </w:tr>
      <w:tr>
        <w:trPr>
          <w:trHeight w:val="13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jc w:val="center"/>
              <w:rPr>
                <w:rFonts w:ascii="Arial Narrow" w:hAnsi="Arial Narrow" w:cs="Arial"/>
                <w:i/>
                <w:iCs/>
                <w:noProof/>
                <w:sz w:val="20"/>
                <w:szCs w:val="20"/>
              </w:rPr>
            </w:pPr>
            <w:r>
              <w:rPr>
                <w:rFonts w:ascii="Arial Narrow" w:hAnsi="Arial Narrow"/>
                <w:i/>
                <w:iCs/>
                <w:noProof/>
                <w:sz w:val="20"/>
                <w:szCs w:val="20"/>
              </w:rPr>
              <w:t>(в милиони евро)</w:t>
            </w:r>
          </w:p>
        </w:tc>
        <w:tc>
          <w:tcPr>
            <w:tcW w:w="222" w:type="dxa"/>
            <w:tcBorders>
              <w:top w:val="nil"/>
              <w:left w:val="nil"/>
              <w:bottom w:val="nil"/>
              <w:right w:val="nil"/>
            </w:tcBorders>
            <w:shd w:val="clear" w:color="auto" w:fill="auto"/>
            <w:noWrap/>
            <w:vAlign w:val="center"/>
            <w:hideMark/>
          </w:tcPr>
          <w:p>
            <w:pPr>
              <w:widowControl/>
              <w:jc w:val="center"/>
              <w:rPr>
                <w:rFonts w:ascii="Arial Narrow" w:hAnsi="Arial Narrow" w:cs="Arial"/>
                <w:i/>
                <w:iCs/>
                <w:noProof/>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bl>
    <w:p>
      <w:pPr>
        <w:pStyle w:val="Heading210"/>
        <w:keepNext/>
        <w:keepLines/>
        <w:shd w:val="clear" w:color="auto" w:fill="auto"/>
        <w:spacing w:before="663" w:after="381"/>
        <w:ind w:left="20"/>
        <w:rPr>
          <w:noProof/>
        </w:rPr>
      </w:pPr>
      <w:bookmarkStart w:id="12" w:name="_Toc47080732"/>
      <w:r>
        <w:rPr>
          <w:rStyle w:val="Heading211"/>
          <w:b/>
          <w:bCs/>
          <w:noProof/>
        </w:rPr>
        <w:t>Д</w:t>
      </w:r>
      <w:r>
        <w:rPr>
          <w:rStyle w:val="Heading21SmallCaps"/>
          <w:b/>
          <w:bCs/>
          <w:noProof/>
        </w:rPr>
        <w:t>опълнителна информация и източници</w:t>
      </w:r>
      <w:bookmarkEnd w:id="12"/>
    </w:p>
    <w:p>
      <w:pPr>
        <w:pStyle w:val="Bodytext20"/>
        <w:numPr>
          <w:ilvl w:val="0"/>
          <w:numId w:val="6"/>
        </w:numPr>
        <w:shd w:val="clear" w:color="auto" w:fill="auto"/>
        <w:spacing w:after="0" w:line="276" w:lineRule="auto"/>
        <w:ind w:left="720" w:right="4960" w:hanging="260"/>
        <w:rPr>
          <w:noProof/>
        </w:rPr>
      </w:pPr>
      <w:bookmarkStart w:id="13" w:name="bookmark15"/>
      <w:r>
        <w:rPr>
          <w:noProof/>
        </w:rPr>
        <w:t xml:space="preserve">Обща информация за ГД ECHO: </w:t>
      </w:r>
    </w:p>
    <w:p>
      <w:pPr>
        <w:pStyle w:val="Bodytext20"/>
        <w:shd w:val="clear" w:color="auto" w:fill="auto"/>
        <w:spacing w:after="0" w:line="276" w:lineRule="auto"/>
        <w:ind w:left="720" w:right="4960" w:firstLine="0"/>
        <w:rPr>
          <w:rStyle w:val="Hyperlink"/>
          <w:noProof/>
        </w:rPr>
      </w:pPr>
      <w:hyperlink r:id="rId30" w:history="1">
        <w:r>
          <w:rPr>
            <w:rStyle w:val="Hyperlink"/>
            <w:noProof/>
          </w:rPr>
          <w:t>http://ec.europa.eu/echo/en</w:t>
        </w:r>
        <w:bookmarkEnd w:id="13"/>
      </w:hyperlink>
    </w:p>
    <w:p>
      <w:pPr>
        <w:pStyle w:val="Bodytext20"/>
        <w:numPr>
          <w:ilvl w:val="0"/>
          <w:numId w:val="6"/>
        </w:numPr>
        <w:shd w:val="clear" w:color="auto" w:fill="auto"/>
        <w:spacing w:after="0" w:line="276" w:lineRule="auto"/>
        <w:ind w:left="720" w:right="81" w:hanging="260"/>
        <w:rPr>
          <w:noProof/>
        </w:rPr>
      </w:pPr>
      <w:r>
        <w:rPr>
          <w:noProof/>
        </w:rPr>
        <w:t>Финансова информация относно дейностите на Европейската комисия за хуманитарна помощ през 2019 г.:</w:t>
      </w:r>
    </w:p>
    <w:p>
      <w:pPr>
        <w:pStyle w:val="Bodytext20"/>
        <w:shd w:val="clear" w:color="auto" w:fill="auto"/>
        <w:spacing w:after="0" w:line="276" w:lineRule="auto"/>
        <w:ind w:left="720" w:right="81" w:firstLine="0"/>
        <w:rPr>
          <w:noProof/>
        </w:rPr>
      </w:pPr>
      <w:hyperlink r:id="rId31" w:history="1">
        <w:r>
          <w:rPr>
            <w:rStyle w:val="Hyperlink"/>
            <w:noProof/>
          </w:rPr>
          <w:t>https://ec.europa.eu/echo/funding-evaluations/financing-decisions-hips-2019_en</w:t>
        </w:r>
      </w:hyperlink>
    </w:p>
    <w:p>
      <w:pPr>
        <w:pStyle w:val="Bodytext20"/>
        <w:numPr>
          <w:ilvl w:val="0"/>
          <w:numId w:val="6"/>
        </w:numPr>
        <w:shd w:val="clear" w:color="auto" w:fill="auto"/>
        <w:spacing w:after="0" w:line="276" w:lineRule="auto"/>
        <w:ind w:left="720" w:right="81" w:hanging="260"/>
        <w:rPr>
          <w:noProof/>
        </w:rPr>
      </w:pPr>
      <w:r>
        <w:rPr>
          <w:noProof/>
        </w:rPr>
        <w:t xml:space="preserve">Оперативна информация от предходни години: </w:t>
      </w:r>
    </w:p>
    <w:p>
      <w:pPr>
        <w:pStyle w:val="Bodytext20"/>
        <w:shd w:val="clear" w:color="auto" w:fill="auto"/>
        <w:tabs>
          <w:tab w:val="left" w:pos="732"/>
        </w:tabs>
        <w:spacing w:after="0" w:line="276" w:lineRule="auto"/>
        <w:ind w:right="1660" w:firstLine="0"/>
        <w:rPr>
          <w:noProof/>
        </w:rPr>
      </w:pPr>
      <w:r>
        <w:rPr>
          <w:noProof/>
        </w:rPr>
        <w:tab/>
      </w:r>
      <w:hyperlink r:id="rId32" w:history="1">
        <w:r>
          <w:rPr>
            <w:rStyle w:val="Hyperlink"/>
            <w:noProof/>
          </w:rPr>
          <w:t>https://ec.europa.eu/echo/who/accountability/annual-reports_en</w:t>
        </w:r>
      </w:hyperlink>
    </w:p>
    <w:p>
      <w:pPr>
        <w:pStyle w:val="Bodytext20"/>
        <w:numPr>
          <w:ilvl w:val="0"/>
          <w:numId w:val="6"/>
        </w:numPr>
        <w:shd w:val="clear" w:color="auto" w:fill="auto"/>
        <w:tabs>
          <w:tab w:val="left" w:pos="732"/>
        </w:tabs>
        <w:spacing w:after="0" w:line="276" w:lineRule="auto"/>
        <w:ind w:left="740" w:right="1660"/>
        <w:rPr>
          <w:rStyle w:val="Bodytext21"/>
          <w:noProof/>
          <w:u w:val="none"/>
        </w:rPr>
      </w:pPr>
      <w:r>
        <w:rPr>
          <w:noProof/>
        </w:rPr>
        <w:t xml:space="preserve">Годишен отчет за дейността за 2019 г., ГД ECHO: </w:t>
      </w:r>
      <w:hyperlink r:id="rId33" w:history="1">
        <w:r>
          <w:rPr>
            <w:rStyle w:val="Hyperlink"/>
            <w:noProof/>
          </w:rPr>
          <w:t>https://ec.europa.eu/info/publications/annual-activity-report-2019-european-civil-protection-and-humanitarian-aid-operations-echo_en</w:t>
        </w:r>
      </w:hyperlink>
    </w:p>
    <w:p>
      <w:pPr>
        <w:pStyle w:val="Bodytext20"/>
        <w:numPr>
          <w:ilvl w:val="0"/>
          <w:numId w:val="6"/>
        </w:numPr>
        <w:shd w:val="clear" w:color="auto" w:fill="auto"/>
        <w:tabs>
          <w:tab w:val="left" w:pos="732"/>
        </w:tabs>
        <w:spacing w:after="0" w:line="276" w:lineRule="auto"/>
        <w:ind w:left="740" w:right="1660"/>
        <w:rPr>
          <w:noProof/>
        </w:rPr>
      </w:pPr>
      <w:r>
        <w:rPr>
          <w:noProof/>
        </w:rPr>
        <w:t xml:space="preserve">Годишен доклад за управлението и изпълнението за 2019 г.: </w:t>
      </w:r>
      <w:hyperlink r:id="rId34" w:history="1">
        <w:r>
          <w:rPr>
            <w:rStyle w:val="Hyperlink"/>
            <w:noProof/>
          </w:rPr>
          <w:t>https://ec.europa.eu/info/publications/annual-management-and-performance-report-2019_en</w:t>
        </w:r>
      </w:hyperlink>
    </w:p>
    <w:p>
      <w:pPr>
        <w:pStyle w:val="Bodytext20"/>
        <w:numPr>
          <w:ilvl w:val="0"/>
          <w:numId w:val="6"/>
        </w:numPr>
        <w:shd w:val="clear" w:color="auto" w:fill="auto"/>
        <w:tabs>
          <w:tab w:val="left" w:pos="732"/>
        </w:tabs>
        <w:spacing w:after="0" w:line="276" w:lineRule="auto"/>
        <w:ind w:left="740" w:right="1240"/>
        <w:rPr>
          <w:noProof/>
        </w:rPr>
      </w:pPr>
      <w:r>
        <w:rPr>
          <w:noProof/>
        </w:rPr>
        <w:t xml:space="preserve">Доклади за оценка на ГД ECHO: </w:t>
      </w:r>
    </w:p>
    <w:p>
      <w:pPr>
        <w:pStyle w:val="Bodytext20"/>
        <w:shd w:val="clear" w:color="auto" w:fill="auto"/>
        <w:spacing w:after="0" w:line="276" w:lineRule="auto"/>
        <w:ind w:left="720" w:right="4960" w:firstLine="0"/>
        <w:rPr>
          <w:rStyle w:val="Hyperlink"/>
          <w:noProof/>
        </w:rPr>
      </w:pPr>
      <w:hyperlink r:id="rId35" w:history="1">
        <w:r>
          <w:rPr>
            <w:rStyle w:val="Hyperlink"/>
            <w:noProof/>
          </w:rPr>
          <w:t>http://ec.europa.eu/echo/funding-evaluations/evaluations_en</w:t>
        </w:r>
      </w:hyperlink>
    </w:p>
    <w:p>
      <w:pPr>
        <w:pStyle w:val="Bodytext20"/>
        <w:numPr>
          <w:ilvl w:val="0"/>
          <w:numId w:val="6"/>
        </w:numPr>
        <w:shd w:val="clear" w:color="auto" w:fill="auto"/>
        <w:tabs>
          <w:tab w:val="left" w:pos="732"/>
        </w:tabs>
        <w:spacing w:after="0" w:line="276" w:lineRule="auto"/>
        <w:ind w:left="740" w:right="1240"/>
        <w:rPr>
          <w:noProof/>
          <w:u w:val="single"/>
        </w:rPr>
      </w:pPr>
      <w:r>
        <w:rPr>
          <w:noProof/>
        </w:rPr>
        <w:t xml:space="preserve">Данни за финансирането на хуманитарна помощ от Европейската комисия и държавите членки: </w:t>
      </w:r>
      <w:hyperlink r:id="rId36" w:history="1">
        <w:r>
          <w:rPr>
            <w:rStyle w:val="Hyperlink"/>
            <w:noProof/>
          </w:rPr>
          <w:t>https://webgate.ec.europa.eu/hac/</w:t>
        </w:r>
      </w:hyperlink>
    </w:p>
    <w:p>
      <w:pPr>
        <w:pStyle w:val="Bodytext20"/>
        <w:numPr>
          <w:ilvl w:val="0"/>
          <w:numId w:val="6"/>
        </w:numPr>
        <w:shd w:val="clear" w:color="auto" w:fill="auto"/>
        <w:tabs>
          <w:tab w:val="left" w:pos="732"/>
        </w:tabs>
        <w:spacing w:after="0" w:line="276" w:lineRule="auto"/>
        <w:ind w:left="740" w:right="1240"/>
        <w:rPr>
          <w:noProof/>
          <w:u w:val="single"/>
        </w:rPr>
      </w:pPr>
      <w:r>
        <w:rPr>
          <w:noProof/>
        </w:rPr>
        <w:t xml:space="preserve">Глобален индекс на риска INFORM </w:t>
      </w:r>
      <w:r>
        <w:rPr>
          <w:noProof/>
        </w:rPr>
        <w:br/>
      </w:r>
      <w:hyperlink r:id="rId37" w:history="1">
        <w:r>
          <w:rPr>
            <w:rStyle w:val="Hyperlink"/>
            <w:noProof/>
          </w:rPr>
          <w:t>https://drmkc.jrc.ec.europa.eu/inform-index</w:t>
        </w:r>
      </w:hyperlink>
    </w:p>
    <w:p>
      <w:pPr>
        <w:pStyle w:val="Bodytext20"/>
        <w:shd w:val="clear" w:color="auto" w:fill="auto"/>
        <w:tabs>
          <w:tab w:val="left" w:pos="732"/>
        </w:tabs>
        <w:spacing w:after="0" w:line="322" w:lineRule="exact"/>
        <w:ind w:right="1240" w:firstLine="0"/>
        <w:rPr>
          <w:noProof/>
          <w:lang w:eastAsia="fr-FR" w:bidi="fr-FR"/>
        </w:rPr>
      </w:pPr>
    </w:p>
    <w:p>
      <w:pPr>
        <w:pStyle w:val="Heading310"/>
        <w:keepNext/>
        <w:keepLines/>
        <w:shd w:val="clear" w:color="auto" w:fill="auto"/>
        <w:spacing w:after="0" w:line="557" w:lineRule="exact"/>
        <w:ind w:left="260"/>
        <w:jc w:val="left"/>
        <w:rPr>
          <w:noProof/>
          <w:sz w:val="28"/>
          <w:u w:val="single"/>
        </w:rPr>
      </w:pPr>
      <w:bookmarkStart w:id="14" w:name="_Toc47080733"/>
      <w:r>
        <w:rPr>
          <w:noProof/>
          <w:sz w:val="28"/>
          <w:u w:val="single"/>
        </w:rPr>
        <w:t>Списък на партньорите, подписали Рамковото споразумение за партньорство от 2014 г.</w:t>
      </w:r>
      <w:bookmarkEnd w:id="14"/>
    </w:p>
    <w:p>
      <w:pPr>
        <w:pStyle w:val="Bodytext20"/>
        <w:shd w:val="clear" w:color="auto" w:fill="auto"/>
        <w:tabs>
          <w:tab w:val="left" w:pos="732"/>
        </w:tabs>
        <w:spacing w:after="0" w:line="322" w:lineRule="exact"/>
        <w:ind w:right="1240" w:firstLine="0"/>
        <w:rPr>
          <w:noProof/>
          <w:sz w:val="28"/>
          <w:szCs w:val="22"/>
          <w:u w:val="single"/>
        </w:rPr>
      </w:pPr>
    </w:p>
    <w:p>
      <w:pPr>
        <w:pStyle w:val="Bodytext20"/>
        <w:shd w:val="clear" w:color="auto" w:fill="auto"/>
        <w:tabs>
          <w:tab w:val="left" w:pos="732"/>
        </w:tabs>
        <w:spacing w:after="0" w:line="322" w:lineRule="exact"/>
        <w:ind w:right="1240" w:firstLine="0"/>
        <w:rPr>
          <w:rStyle w:val="Hyperlink"/>
          <w:noProof/>
        </w:rPr>
      </w:pPr>
      <w:hyperlink r:id="rId38" w:history="1">
        <w:r>
          <w:rPr>
            <w:rStyle w:val="Hyperlink"/>
            <w:noProof/>
          </w:rPr>
          <w:t>http://ec.europa.eu/echo/sites/echo-site/files/weblistpartners.pdf</w:t>
        </w:r>
      </w:hyperlink>
    </w:p>
    <w:p>
      <w:pPr>
        <w:pStyle w:val="Bodytext20"/>
        <w:shd w:val="clear" w:color="auto" w:fill="auto"/>
        <w:tabs>
          <w:tab w:val="left" w:pos="732"/>
        </w:tabs>
        <w:spacing w:after="0" w:line="322" w:lineRule="exact"/>
        <w:ind w:right="1240" w:firstLine="0"/>
        <w:rPr>
          <w:noProof/>
        </w:rPr>
      </w:pPr>
    </w:p>
    <w:sectPr>
      <w:headerReference w:type="even" r:id="rId39"/>
      <w:headerReference w:type="default" r:id="rId40"/>
      <w:footerReference w:type="even" r:id="rId41"/>
      <w:footerReference w:type="default" r:id="rId42"/>
      <w:headerReference w:type="first" r:id="rId43"/>
      <w:footerReference w:type="first" r:id="rId44"/>
      <w:pgSz w:w="11900" w:h="16840"/>
      <w:pgMar w:top="914" w:right="1440" w:bottom="1308" w:left="13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pict>
        <v:shapetype id="_x0000_t202" coordsize="21600,21600" o:spt="202" path="m,l,21600r21600,l21600,xe">
          <v:stroke joinstyle="miter"/>
          <v:path gradientshapeok="t" o:connecttype="rect"/>
        </v:shapetype>
        <v:shape id="_x0000_s2049" type="#_x0000_t202" style="position:absolute;margin-left:68.7pt;margin-top:801.4pt;width:10.1pt;height:7.9pt;z-index:-251658752;mso-wrap-style:none;mso-wrap-distance-left:5pt;mso-wrap-distance-right:5pt;mso-position-horizontal-relative:page;mso-position-vertical-relative:page" wrapcoords="0 0" filled="f" stroked="f">
          <v:textbox style="mso-next-textbox:#_x0000_s2049;mso-fit-shape-to-text:t" inset="0,0,0,0">
            <w:txbxContent>
              <w:p>
                <w:pPr>
                  <w:pStyle w:val="Headerorfooter10"/>
                  <w:shd w:val="clear" w:color="auto" w:fill="auto"/>
                  <w:spacing w:line="240" w:lineRule="auto"/>
                </w:pPr>
                <w:r>
                  <w:fldChar w:fldCharType="begin"/>
                </w:r>
                <w:r>
                  <w:instrText xml:space="preserve"> PAGE \* MERGEFORMAT </w:instrText>
                </w:r>
                <w:r>
                  <w:fldChar w:fldCharType="separate"/>
                </w:r>
                <w:r>
                  <w:rPr>
                    <w:rStyle w:val="Headerorfooter1TimesNewRoman11pt"/>
                    <w:rFonts w:eastAsia="Verdana"/>
                    <w:noProof/>
                  </w:rPr>
                  <w:t>1</w:t>
                </w:r>
                <w:r>
                  <w:rPr>
                    <w:rStyle w:val="Headerorfooter1TimesNewRoman11pt"/>
                    <w:rFonts w:eastAsia="Verdana"/>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pict>
        <v:shapetype id="_x0000_t202" coordsize="21600,21600" o:spt="202" path="m,l,21600r21600,l21600,xe">
          <v:stroke joinstyle="miter"/>
          <v:path gradientshapeok="t" o:connecttype="rect"/>
        </v:shapetype>
        <v:shape id="_x0000_s2051" type="#_x0000_t202" style="position:absolute;margin-left:68.7pt;margin-top:801.4pt;width:10.1pt;height:7.9pt;z-index:-251656704;mso-wrap-style:none;mso-wrap-distance-left:5pt;mso-wrap-distance-right:5pt;mso-position-horizontal-relative:page;mso-position-vertical-relative:page" wrapcoords="0 0" filled="f" stroked="f">
          <v:textbox style="mso-next-textbox:#_x0000_s2051;mso-fit-shape-to-text:t" inset="0,0,0,0">
            <w:txbxContent>
              <w:p>
                <w:pPr>
                  <w:pStyle w:val="Headerorfooter10"/>
                  <w:shd w:val="clear" w:color="auto" w:fill="auto"/>
                  <w:spacing w:line="240" w:lineRule="auto"/>
                </w:pPr>
                <w:r>
                  <w:fldChar w:fldCharType="begin"/>
                </w:r>
                <w:r>
                  <w:instrText xml:space="preserve"> PAGE \* MERGEFORMAT </w:instrText>
                </w:r>
                <w:r>
                  <w:fldChar w:fldCharType="separate"/>
                </w:r>
                <w:r>
                  <w:rPr>
                    <w:rStyle w:val="Headerorfooter1TimesNewRoman11pt"/>
                    <w:rFonts w:eastAsia="Verdana"/>
                    <w:noProof/>
                  </w:rPr>
                  <w:t>14</w:t>
                </w:r>
                <w:r>
                  <w:rPr>
                    <w:rStyle w:val="Headerorfooter1TimesNewRoman11pt"/>
                    <w:rFonts w:eastAsia="Verdana"/>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rPr>
          <w:sz w:val="16"/>
          <w:szCs w:val="16"/>
        </w:rPr>
      </w:pPr>
      <w:r>
        <w:rPr>
          <w:rStyle w:val="FootnoteReference"/>
          <w:sz w:val="18"/>
          <w:szCs w:val="18"/>
        </w:rPr>
        <w:footnoteRef/>
      </w:r>
      <w:r>
        <w:t xml:space="preserve"> </w:t>
      </w:r>
      <w:r>
        <w:rPr>
          <w:sz w:val="16"/>
          <w:szCs w:val="16"/>
        </w:rPr>
        <w:t>Групата за донорска подкрепа към МКЧК е съставена от правителства, наднационални организации и международни институции, които ежегодно предоставят най-малко 10 милиона швейцарски франка.</w:t>
      </w:r>
    </w:p>
  </w:footnote>
  <w:footnote w:id="2">
    <w:p>
      <w:pPr>
        <w:pStyle w:val="FootnoteText"/>
        <w:ind w:left="0" w:firstLine="0"/>
      </w:pPr>
      <w:r>
        <w:rPr>
          <w:rStyle w:val="FootnoteReference"/>
          <w:rFonts w:ascii="Times New Roman" w:hAnsi="Times New Roman"/>
          <w:sz w:val="18"/>
          <w:szCs w:val="18"/>
        </w:rPr>
        <w:footnoteRef/>
      </w:r>
      <w:r>
        <w:rPr>
          <w:rFonts w:ascii="Times New Roman" w:hAnsi="Times New Roman"/>
        </w:rPr>
        <w:t xml:space="preserve"> </w:t>
      </w:r>
      <w:r>
        <w:rPr>
          <w:rFonts w:ascii="Times New Roman" w:hAnsi="Times New Roman"/>
          <w:sz w:val="16"/>
          <w:szCs w:val="16"/>
        </w:rPr>
        <w:t>Инициативата за добри хуманитарни донорски практики е неофициален донорски форум, който обединява 42 донори, ангажирали се да предоставят ефективна и подлежаща на отчетност хуманитарна помощ.</w:t>
      </w:r>
    </w:p>
  </w:footnote>
  <w:footnote w:id="3">
    <w:p>
      <w:pPr>
        <w:pStyle w:val="FootnoteText"/>
      </w:pPr>
      <w:r>
        <w:rPr>
          <w:rStyle w:val="FootnoteReference"/>
          <w:rFonts w:ascii="Times New Roman" w:hAnsi="Times New Roman"/>
          <w:sz w:val="18"/>
          <w:szCs w:val="18"/>
        </w:rPr>
        <w:footnoteRef/>
      </w:r>
      <w:r>
        <w:t xml:space="preserve"> </w:t>
      </w:r>
      <w:r>
        <w:rPr>
          <w:rFonts w:ascii="Times New Roman" w:hAnsi="Times New Roman"/>
          <w:sz w:val="16"/>
          <w:szCs w:val="16"/>
        </w:rPr>
        <w:t>Включително наименованията на съответните партньорски организации.</w:t>
      </w:r>
    </w:p>
  </w:footnote>
  <w:footnote w:id="4">
    <w:p>
      <w:pPr>
        <w:pStyle w:val="FootnoteText"/>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Дейностите по тази точка не са обхванати от Регламента относно хуманитарната помощ и не са финансирани от бюджета за хуманитарна помощ.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998"/>
    <w:multiLevelType w:val="multilevel"/>
    <w:tmpl w:val="26FC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63D3D"/>
    <w:multiLevelType w:val="multilevel"/>
    <w:tmpl w:val="266A0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53F3A"/>
    <w:multiLevelType w:val="hybridMultilevel"/>
    <w:tmpl w:val="BF3E3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F5167C"/>
    <w:multiLevelType w:val="multilevel"/>
    <w:tmpl w:val="89562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E93559"/>
    <w:multiLevelType w:val="multilevel"/>
    <w:tmpl w:val="26FC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64C38"/>
    <w:multiLevelType w:val="multilevel"/>
    <w:tmpl w:val="90EAD4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FR" w:vendorID="64" w:dllVersion="131078" w:nlCheck="1" w:checkStyle="0"/>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08"/>
  <w:hyphenationZone w:val="425"/>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DocStatus" w:val="Green"/>
    <w:docVar w:name="LW_CORRIGENDUM" w:val="&lt;UNUSED&gt;"/>
    <w:docVar w:name="LW_COVERPAGE_EXISTS" w:val="True"/>
    <w:docVar w:name="LW_COVERPAGE_GUID" w:val="F9EC249F-CA87-43AB-B276-27107104326C"/>
    <w:docVar w:name="LW_COVERPAGE_TYPE" w:val="1"/>
    <w:docVar w:name="LW_CROSSREFERENCE" w:val="&lt;UNUSED&gt;"/>
    <w:docVar w:name="LW_DocType" w:val="NORMAL"/>
    <w:docVar w:name="LW_EMISSION" w:val="7.8.2020"/>
    <w:docVar w:name="LW_EMISSION_ISODATE" w:val="2020-08-0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3?\u1086?\u1076?\u1080?\u1096?\u1077?\u1085? \u1076?\u1086?\u1082?\u1083?\u1072?\u1076? \u1079?\u1072? \u1086?\u1087?\u1077?\u1088?\u1072?\u1094?\u1080?\u1080?\u1090?\u1077? \u1079?\u1072? \u1093?\u1091?\u1084?\u1072?\u1085?\u1080?\u1090?\u1072?\u1088?\u1085?\u1072? \u1087?\u1086?\u1084?\u1086?\u1097? \u1085?\u1072? \u1045?\u1074?\u1088?\u1086?\u1087?\u1077?\u1081?\u1089?\u1082?\u1080?\u1103? \u1089?\u1098?\u1102?\u1079?, \u1092?\u1080?\u1085?\u1072?\u1085?\u1089?\u1080?\u1088?\u1072?\u1085?\u1080? \u1087?\u1088?\u1077?\u1079? 2019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b w:val="0"/>
      <w:bCs w:val="0"/>
      <w:i w:val="0"/>
      <w:iCs w:val="0"/>
      <w:smallCaps w:val="0"/>
      <w:strike w:val="0"/>
      <w:sz w:val="20"/>
      <w:szCs w:val="20"/>
      <w:u w:val="none"/>
    </w:rPr>
  </w:style>
  <w:style w:type="character" w:customStyle="1" w:styleId="Footnote11">
    <w:name w:val="Footnote|1"/>
    <w:basedOn w:val="Footnote1"/>
    <w:semiHidden/>
    <w:unhideWhenUsed/>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bg-BG" w:eastAsia="en-US" w:bidi="en-US"/>
    </w:rPr>
  </w:style>
  <w:style w:type="character" w:customStyle="1" w:styleId="Picturecaption1Exact">
    <w:name w:val="Picture caption|1 Exact"/>
    <w:basedOn w:val="DefaultParagraphFont"/>
    <w:link w:val="Picturecaption1"/>
    <w:rPr>
      <w:rFonts w:ascii="Arial" w:eastAsia="Arial" w:hAnsi="Arial" w:cs="Arial"/>
      <w:b w:val="0"/>
      <w:bCs w:val="0"/>
      <w:i w:val="0"/>
      <w:iCs w:val="0"/>
      <w:smallCaps w:val="0"/>
      <w:strike w:val="0"/>
      <w:sz w:val="22"/>
      <w:szCs w:val="22"/>
      <w:u w:val="none"/>
      <w:lang w:val="bg-BG" w:eastAsia="fi-FI" w:bidi="fi-FI"/>
    </w:rPr>
  </w:style>
  <w:style w:type="character" w:customStyle="1" w:styleId="Heading11Exact">
    <w:name w:val="Heading #1|1 Exact"/>
    <w:basedOn w:val="DefaultParagraphFont"/>
    <w:link w:val="Heading11"/>
    <w:rPr>
      <w:rFonts w:ascii="Arial" w:eastAsia="Arial" w:hAnsi="Arial" w:cs="Arial"/>
      <w:b/>
      <w:bCs/>
      <w:i w:val="0"/>
      <w:iCs w:val="0"/>
      <w:smallCaps w:val="0"/>
      <w:strike w:val="0"/>
      <w:sz w:val="46"/>
      <w:szCs w:val="46"/>
      <w:u w:val="none"/>
      <w:lang w:val="bg-BG" w:eastAsia="fr-FR" w:bidi="fr-FR"/>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Heading31">
    <w:name w:val="Heading #3|1_"/>
    <w:basedOn w:val="DefaultParagraphFont"/>
    <w:link w:val="Heading310"/>
    <w:rPr>
      <w:b/>
      <w:bCs/>
      <w:i w:val="0"/>
      <w:iCs w:val="0"/>
      <w:smallCaps w:val="0"/>
      <w:strike w:val="0"/>
      <w:sz w:val="22"/>
      <w:szCs w:val="22"/>
      <w:u w:val="none"/>
    </w:rPr>
  </w:style>
  <w:style w:type="character" w:customStyle="1" w:styleId="Headerorfooter1">
    <w:name w:val="Header or footer|1_"/>
    <w:basedOn w:val="DefaultParagraphFont"/>
    <w:link w:val="Headerorfooter10"/>
    <w:rPr>
      <w:rFonts w:ascii="Verdana" w:eastAsia="Verdana" w:hAnsi="Verdana" w:cs="Verdana"/>
      <w:b w:val="0"/>
      <w:bCs w:val="0"/>
      <w:i w:val="0"/>
      <w:iCs w:val="0"/>
      <w:smallCaps w:val="0"/>
      <w:strike w:val="0"/>
      <w:sz w:val="14"/>
      <w:szCs w:val="14"/>
      <w:u w:val="none"/>
    </w:rPr>
  </w:style>
  <w:style w:type="character" w:customStyle="1" w:styleId="Headerorfooter11">
    <w:name w:val="Header or footer|1"/>
    <w:basedOn w:val="Headerorfooter1"/>
    <w:semiHidden/>
    <w:unhideWhenUsed/>
    <w:rPr>
      <w:rFonts w:ascii="Verdana" w:eastAsia="Verdana" w:hAnsi="Verdana" w:cs="Verdana"/>
      <w:b w:val="0"/>
      <w:bCs w:val="0"/>
      <w:i w:val="0"/>
      <w:iCs w:val="0"/>
      <w:smallCaps w:val="0"/>
      <w:strike w:val="0"/>
      <w:color w:val="000000"/>
      <w:spacing w:val="0"/>
      <w:w w:val="100"/>
      <w:position w:val="0"/>
      <w:sz w:val="14"/>
      <w:szCs w:val="14"/>
      <w:u w:val="none"/>
      <w:lang w:val="bg-BG" w:eastAsia="en-US" w:bidi="en-US"/>
    </w:rPr>
  </w:style>
  <w:style w:type="character" w:customStyle="1" w:styleId="Headerorfooter1TimesNewRoman11pt">
    <w:name w:val="Header or footer|1 + Times New Roman;11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fr-FR" w:bidi="fr-FR"/>
    </w:rPr>
  </w:style>
  <w:style w:type="character" w:customStyle="1" w:styleId="TOC2Char">
    <w:name w:val="TOC 2 Char"/>
    <w:basedOn w:val="DefaultParagraphFont"/>
    <w:link w:val="TOC2"/>
    <w:rPr>
      <w:b w:val="0"/>
      <w:bCs w:val="0"/>
      <w:i w:val="0"/>
      <w:iCs w:val="0"/>
      <w:smallCaps w:val="0"/>
      <w:strike w:val="0"/>
      <w:u w:val="none"/>
    </w:rPr>
  </w:style>
  <w:style w:type="character" w:customStyle="1" w:styleId="Heading21">
    <w:name w:val="Heading #2|1_"/>
    <w:basedOn w:val="DefaultParagraphFont"/>
    <w:link w:val="Heading210"/>
    <w:rPr>
      <w:b/>
      <w:bCs/>
      <w:i w:val="0"/>
      <w:iCs w:val="0"/>
      <w:smallCaps w:val="0"/>
      <w:strike w:val="0"/>
      <w:sz w:val="32"/>
      <w:szCs w:val="32"/>
      <w:u w:val="none"/>
    </w:rPr>
  </w:style>
  <w:style w:type="character" w:customStyle="1" w:styleId="Heading211">
    <w:name w:val="Heading #2|1"/>
    <w:basedOn w:val="Heading21"/>
    <w:semiHidden/>
    <w:unhideWhenUsed/>
    <w:rPr>
      <w:rFonts w:ascii="Times New Roman" w:eastAsia="Times New Roman" w:hAnsi="Times New Roman" w:cs="Times New Roman"/>
      <w:b/>
      <w:bCs/>
      <w:i w:val="0"/>
      <w:iCs w:val="0"/>
      <w:smallCaps w:val="0"/>
      <w:strike w:val="0"/>
      <w:color w:val="4F81BD"/>
      <w:spacing w:val="0"/>
      <w:w w:val="100"/>
      <w:position w:val="0"/>
      <w:sz w:val="32"/>
      <w:szCs w:val="32"/>
      <w:u w:val="single"/>
      <w:lang w:val="bg-BG" w:eastAsia="en-US" w:bidi="en-US"/>
    </w:rPr>
  </w:style>
  <w:style w:type="character" w:customStyle="1" w:styleId="Heading21SmallCaps">
    <w:name w:val="Heading #2|1 + Small Caps"/>
    <w:basedOn w:val="Heading21"/>
    <w:semiHidden/>
    <w:unhideWhenUsed/>
    <w:rPr>
      <w:rFonts w:ascii="Times New Roman" w:eastAsia="Times New Roman" w:hAnsi="Times New Roman" w:cs="Times New Roman"/>
      <w:b/>
      <w:bCs/>
      <w:i w:val="0"/>
      <w:iCs w:val="0"/>
      <w:smallCaps/>
      <w:strike w:val="0"/>
      <w:color w:val="4F81BD"/>
      <w:spacing w:val="0"/>
      <w:w w:val="100"/>
      <w:position w:val="0"/>
      <w:sz w:val="32"/>
      <w:szCs w:val="32"/>
      <w:u w:val="single"/>
      <w:lang w:val="bg-BG" w:eastAsia="en-US" w:bidi="en-US"/>
    </w:rPr>
  </w:style>
  <w:style w:type="character" w:customStyle="1" w:styleId="Bodytext4">
    <w:name w:val="Body text|4_"/>
    <w:basedOn w:val="DefaultParagraphFont"/>
    <w:link w:val="Bodytext40"/>
    <w:rPr>
      <w:b/>
      <w:bCs/>
      <w:i w:val="0"/>
      <w:iCs w:val="0"/>
      <w:smallCaps w:val="0"/>
      <w:strike w:val="0"/>
      <w:sz w:val="32"/>
      <w:szCs w:val="32"/>
      <w:u w:val="none"/>
    </w:rPr>
  </w:style>
  <w:style w:type="character" w:customStyle="1" w:styleId="Bodytext41">
    <w:name w:val="Body text|4"/>
    <w:basedOn w:val="Bodytext4"/>
    <w:semiHidden/>
    <w:unhideWhenUsed/>
    <w:rPr>
      <w:rFonts w:ascii="Times New Roman" w:eastAsia="Times New Roman" w:hAnsi="Times New Roman" w:cs="Times New Roman"/>
      <w:b/>
      <w:bCs/>
      <w:i w:val="0"/>
      <w:iCs w:val="0"/>
      <w:smallCaps w:val="0"/>
      <w:strike w:val="0"/>
      <w:color w:val="4F81BD"/>
      <w:spacing w:val="0"/>
      <w:w w:val="100"/>
      <w:position w:val="0"/>
      <w:sz w:val="32"/>
      <w:szCs w:val="32"/>
      <w:u w:val="single"/>
      <w:lang w:val="bg-BG" w:eastAsia="en-US" w:bidi="en-US"/>
    </w:rPr>
  </w:style>
  <w:style w:type="character" w:customStyle="1" w:styleId="Heading311">
    <w:name w:val="Heading #3|1"/>
    <w:basedOn w:val="Heading3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bg-BG" w:eastAsia="en-US" w:bidi="en-US"/>
    </w:rPr>
  </w:style>
  <w:style w:type="character" w:customStyle="1" w:styleId="Bodytext5">
    <w:name w:val="Body text|5_"/>
    <w:basedOn w:val="DefaultParagraphFont"/>
    <w:link w:val="Bodytext50"/>
    <w:rPr>
      <w:b w:val="0"/>
      <w:bCs w:val="0"/>
      <w:i w:val="0"/>
      <w:iCs w:val="0"/>
      <w:smallCaps w:val="0"/>
      <w:strike w:val="0"/>
      <w:sz w:val="20"/>
      <w:szCs w:val="20"/>
      <w:u w:val="none"/>
    </w:rPr>
  </w:style>
  <w:style w:type="character" w:customStyle="1" w:styleId="Bodytext51">
    <w:name w:val="Body text|5"/>
    <w:basedOn w:val="Bodytext5"/>
    <w:semiHidden/>
    <w:unhideWhenUsed/>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bg-BG" w:eastAsia="en-US" w:bidi="en-US"/>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en-US" w:bidi="en-US"/>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24"/>
      <w:szCs w:val="24"/>
      <w:u w:val="none"/>
      <w:lang w:val="bg-BG"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bg-BG" w:eastAsia="en-US" w:bidi="en-US"/>
    </w:rPr>
  </w:style>
  <w:style w:type="character" w:customStyle="1" w:styleId="Tablecaption1">
    <w:name w:val="Table caption|1_"/>
    <w:basedOn w:val="DefaultParagraphFont"/>
    <w:link w:val="Tablecaption10"/>
    <w:rPr>
      <w:b w:val="0"/>
      <w:bCs w:val="0"/>
      <w:i/>
      <w:iCs/>
      <w:smallCaps w:val="0"/>
      <w:strike w:val="0"/>
      <w:sz w:val="22"/>
      <w:szCs w:val="22"/>
      <w:u w:val="none"/>
    </w:rPr>
  </w:style>
  <w:style w:type="character" w:customStyle="1" w:styleId="Bodytext216ptBoldSmallCaps">
    <w:name w:val="Body text|2 + 16 pt;Bold;Small Caps"/>
    <w:basedOn w:val="Bodytext2"/>
    <w:semiHidden/>
    <w:unhideWhenUsed/>
    <w:rPr>
      <w:rFonts w:ascii="Times New Roman" w:eastAsia="Times New Roman" w:hAnsi="Times New Roman" w:cs="Times New Roman"/>
      <w:b/>
      <w:bCs/>
      <w:i w:val="0"/>
      <w:iCs w:val="0"/>
      <w:smallCaps/>
      <w:strike w:val="0"/>
      <w:color w:val="000000"/>
      <w:spacing w:val="0"/>
      <w:w w:val="100"/>
      <w:position w:val="0"/>
      <w:sz w:val="32"/>
      <w:szCs w:val="32"/>
      <w:u w:val="none"/>
      <w:lang w:val="bg-BG" w:eastAsia="en-US" w:bidi="en-US"/>
    </w:rPr>
  </w:style>
  <w:style w:type="character" w:customStyle="1" w:styleId="Bodytext216ptBold">
    <w:name w:val="Body text|2 + 16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32"/>
      <w:szCs w:val="32"/>
      <w:u w:val="none"/>
      <w:lang w:val="bg-BG" w:eastAsia="en-US" w:bidi="en-US"/>
    </w:rPr>
  </w:style>
  <w:style w:type="character" w:customStyle="1" w:styleId="Bodytext211ptItalic">
    <w:name w:val="Body text|2 + 11 pt;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en-US" w:bidi="en-US"/>
    </w:rPr>
  </w:style>
  <w:style w:type="character" w:customStyle="1" w:styleId="Bodytext211ptBold">
    <w:name w:val="Body text|2 + 11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en-US" w:bidi="en-US"/>
    </w:rPr>
  </w:style>
  <w:style w:type="character" w:customStyle="1" w:styleId="Bodytext211pt">
    <w:name w:val="Body text|2 + 11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en-US" w:bidi="en-US"/>
    </w:rPr>
  </w:style>
  <w:style w:type="character" w:customStyle="1" w:styleId="Bodytext211ptBoldSmallCaps">
    <w:name w:val="Body text|2 + 11 pt;Bold;Small Caps"/>
    <w:basedOn w:val="Bodytext2"/>
    <w:semiHidden/>
    <w:unhideWhenUsed/>
    <w:rPr>
      <w:rFonts w:ascii="Times New Roman" w:eastAsia="Times New Roman" w:hAnsi="Times New Roman" w:cs="Times New Roman"/>
      <w:b/>
      <w:bCs/>
      <w:i w:val="0"/>
      <w:iCs w:val="0"/>
      <w:smallCaps/>
      <w:strike w:val="0"/>
      <w:color w:val="000000"/>
      <w:spacing w:val="0"/>
      <w:w w:val="100"/>
      <w:position w:val="0"/>
      <w:sz w:val="22"/>
      <w:szCs w:val="22"/>
      <w:u w:val="none"/>
      <w:lang w:val="bg-BG" w:eastAsia="en-US" w:bidi="en-US"/>
    </w:rPr>
  </w:style>
  <w:style w:type="character" w:customStyle="1" w:styleId="Bodytext211ptBold0">
    <w:name w:val="Body text|2 + 11 pt;Bold"/>
    <w:basedOn w:val="Bodytext2"/>
    <w:semiHidden/>
    <w:unhideWhenUsed/>
    <w:rPr>
      <w:rFonts w:ascii="Times New Roman" w:eastAsia="Times New Roman" w:hAnsi="Times New Roman" w:cs="Times New Roman"/>
      <w:b/>
      <w:bCs/>
      <w:i w:val="0"/>
      <w:iCs w:val="0"/>
      <w:smallCaps w:val="0"/>
      <w:strike w:val="0"/>
      <w:color w:val="FFFFFF"/>
      <w:spacing w:val="0"/>
      <w:w w:val="100"/>
      <w:position w:val="0"/>
      <w:sz w:val="22"/>
      <w:szCs w:val="22"/>
      <w:u w:val="none"/>
      <w:lang w:val="bg-BG" w:eastAsia="en-US" w:bidi="en-US"/>
    </w:rPr>
  </w:style>
  <w:style w:type="character" w:customStyle="1" w:styleId="Bodytext210pt">
    <w:name w:val="Body text|2 + 10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bg-BG" w:eastAsia="en-US" w:bidi="en-US"/>
    </w:rPr>
  </w:style>
  <w:style w:type="paragraph" w:customStyle="1" w:styleId="Footnote10">
    <w:name w:val="Footnote|1"/>
    <w:basedOn w:val="Normal"/>
    <w:link w:val="Footnote1"/>
    <w:qFormat/>
    <w:pPr>
      <w:shd w:val="clear" w:color="auto" w:fill="FFFFFF"/>
      <w:spacing w:line="222" w:lineRule="exact"/>
      <w:jc w:val="both"/>
    </w:pPr>
    <w:rPr>
      <w:sz w:val="20"/>
      <w:szCs w:val="20"/>
    </w:rPr>
  </w:style>
  <w:style w:type="paragraph" w:customStyle="1" w:styleId="Picturecaption1">
    <w:name w:val="Picture caption|1"/>
    <w:basedOn w:val="Normal"/>
    <w:link w:val="Picturecaption1Exact"/>
    <w:qFormat/>
    <w:pPr>
      <w:shd w:val="clear" w:color="auto" w:fill="FFFFFF"/>
      <w:spacing w:line="246" w:lineRule="exact"/>
    </w:pPr>
    <w:rPr>
      <w:rFonts w:ascii="Arial" w:eastAsia="Arial" w:hAnsi="Arial" w:cs="Arial"/>
      <w:sz w:val="22"/>
      <w:szCs w:val="22"/>
      <w:lang w:eastAsia="fi-FI" w:bidi="fi-FI"/>
    </w:rPr>
  </w:style>
  <w:style w:type="paragraph" w:customStyle="1" w:styleId="Heading11">
    <w:name w:val="Heading #1|1"/>
    <w:basedOn w:val="Normal"/>
    <w:link w:val="Heading11Exact"/>
    <w:qFormat/>
    <w:pPr>
      <w:shd w:val="clear" w:color="auto" w:fill="FFFFFF"/>
      <w:spacing w:line="514" w:lineRule="exact"/>
      <w:outlineLvl w:val="0"/>
    </w:pPr>
    <w:rPr>
      <w:rFonts w:ascii="Arial" w:eastAsia="Arial" w:hAnsi="Arial" w:cs="Arial"/>
      <w:b/>
      <w:bCs/>
      <w:sz w:val="46"/>
      <w:szCs w:val="46"/>
      <w:lang w:eastAsia="fr-FR" w:bidi="fr-FR"/>
    </w:rPr>
  </w:style>
  <w:style w:type="paragraph" w:customStyle="1" w:styleId="Bodytext20">
    <w:name w:val="Body text|2"/>
    <w:basedOn w:val="Normal"/>
    <w:link w:val="Bodytext2"/>
    <w:qFormat/>
    <w:pPr>
      <w:shd w:val="clear" w:color="auto" w:fill="FFFFFF"/>
      <w:spacing w:after="1440" w:line="269" w:lineRule="exact"/>
      <w:ind w:hanging="360"/>
    </w:pPr>
  </w:style>
  <w:style w:type="paragraph" w:customStyle="1" w:styleId="Bodytext30">
    <w:name w:val="Body text|3"/>
    <w:basedOn w:val="Normal"/>
    <w:link w:val="Bodytext3"/>
    <w:pPr>
      <w:shd w:val="clear" w:color="auto" w:fill="FFFFFF"/>
      <w:spacing w:before="1440" w:line="244" w:lineRule="exact"/>
    </w:pPr>
    <w:rPr>
      <w:b/>
      <w:bCs/>
      <w:sz w:val="22"/>
      <w:szCs w:val="22"/>
    </w:rPr>
  </w:style>
  <w:style w:type="paragraph" w:customStyle="1" w:styleId="Heading310">
    <w:name w:val="Heading #3|1"/>
    <w:basedOn w:val="Normal"/>
    <w:link w:val="Heading31"/>
    <w:qFormat/>
    <w:pPr>
      <w:shd w:val="clear" w:color="auto" w:fill="FFFFFF"/>
      <w:spacing w:after="440" w:line="244" w:lineRule="exact"/>
      <w:ind w:hanging="260"/>
      <w:jc w:val="center"/>
      <w:outlineLvl w:val="2"/>
    </w:pPr>
    <w:rPr>
      <w:b/>
      <w:bCs/>
      <w:sz w:val="22"/>
      <w:szCs w:val="22"/>
    </w:rPr>
  </w:style>
  <w:style w:type="paragraph" w:customStyle="1" w:styleId="Headerorfooter10">
    <w:name w:val="Header or footer|1"/>
    <w:basedOn w:val="Normal"/>
    <w:link w:val="Headerorfooter1"/>
    <w:qFormat/>
    <w:pPr>
      <w:shd w:val="clear" w:color="auto" w:fill="FFFFFF"/>
      <w:spacing w:line="170" w:lineRule="exact"/>
    </w:pPr>
    <w:rPr>
      <w:rFonts w:ascii="Verdana" w:eastAsia="Verdana" w:hAnsi="Verdana" w:cs="Verdana"/>
      <w:sz w:val="14"/>
      <w:szCs w:val="14"/>
    </w:rPr>
  </w:style>
  <w:style w:type="paragraph" w:styleId="TOC2">
    <w:name w:val="toc 2"/>
    <w:basedOn w:val="Normal"/>
    <w:link w:val="TOC2Char"/>
    <w:autoRedefine/>
    <w:uiPriority w:val="39"/>
    <w:qFormat/>
    <w:pPr>
      <w:shd w:val="clear" w:color="auto" w:fill="FFFFFF"/>
      <w:spacing w:before="440" w:after="120" w:line="266" w:lineRule="exact"/>
      <w:jc w:val="both"/>
    </w:pPr>
  </w:style>
  <w:style w:type="paragraph" w:customStyle="1" w:styleId="Heading210">
    <w:name w:val="Heading #2|1"/>
    <w:basedOn w:val="Normal"/>
    <w:link w:val="Heading21"/>
    <w:qFormat/>
    <w:pPr>
      <w:shd w:val="clear" w:color="auto" w:fill="FFFFFF"/>
      <w:spacing w:after="300" w:line="354" w:lineRule="exact"/>
      <w:jc w:val="center"/>
      <w:outlineLvl w:val="1"/>
    </w:pPr>
    <w:rPr>
      <w:b/>
      <w:bCs/>
      <w:sz w:val="32"/>
      <w:szCs w:val="32"/>
    </w:rPr>
  </w:style>
  <w:style w:type="paragraph" w:customStyle="1" w:styleId="Bodytext40">
    <w:name w:val="Body text|4"/>
    <w:basedOn w:val="Normal"/>
    <w:link w:val="Bodytext4"/>
    <w:pPr>
      <w:shd w:val="clear" w:color="auto" w:fill="FFFFFF"/>
      <w:spacing w:after="300" w:line="354" w:lineRule="exact"/>
    </w:pPr>
    <w:rPr>
      <w:b/>
      <w:bCs/>
      <w:sz w:val="32"/>
      <w:szCs w:val="32"/>
    </w:rPr>
  </w:style>
  <w:style w:type="paragraph" w:customStyle="1" w:styleId="Bodytext50">
    <w:name w:val="Body text|5"/>
    <w:basedOn w:val="Normal"/>
    <w:link w:val="Bodytext5"/>
    <w:pPr>
      <w:shd w:val="clear" w:color="auto" w:fill="FFFFFF"/>
      <w:spacing w:before="260" w:line="222" w:lineRule="exact"/>
      <w:jc w:val="both"/>
    </w:pPr>
    <w:rPr>
      <w:sz w:val="20"/>
      <w:szCs w:val="20"/>
    </w:rPr>
  </w:style>
  <w:style w:type="paragraph" w:customStyle="1" w:styleId="Tablecaption10">
    <w:name w:val="Table caption|1"/>
    <w:basedOn w:val="Normal"/>
    <w:link w:val="Tablecaption1"/>
    <w:qFormat/>
    <w:pPr>
      <w:shd w:val="clear" w:color="auto" w:fill="FFFFFF"/>
      <w:spacing w:line="244" w:lineRule="exact"/>
    </w:pPr>
    <w:rPr>
      <w:i/>
      <w:iCs/>
      <w:sz w:val="22"/>
      <w:szCs w:val="22"/>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qFormat/>
    <w:pPr>
      <w:autoSpaceDE w:val="0"/>
      <w:autoSpaceDN w:val="0"/>
      <w:adjustRightInd w:val="0"/>
      <w:spacing w:after="120"/>
      <w:ind w:left="284" w:hanging="284"/>
      <w:jc w:val="both"/>
    </w:pPr>
    <w:rPr>
      <w:rFonts w:ascii="Verdana" w:hAnsi="Verdana"/>
      <w:color w:val="auto"/>
      <w:sz w:val="20"/>
      <w:szCs w:val="20"/>
      <w:lang w:eastAsia="en-GB" w:bidi="ar-SA"/>
    </w:rPr>
  </w:style>
  <w:style w:type="character" w:customStyle="1" w:styleId="FootnoteTextChar">
    <w:name w:val="Footnote Text Char"/>
    <w:basedOn w:val="DefaultParagraphFont"/>
    <w:uiPriority w:val="99"/>
    <w:semiHidden/>
    <w:rPr>
      <w:color w:val="000000"/>
      <w:sz w:val="20"/>
      <w:szCs w:val="20"/>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1 Char Char1,Footnote Text Char Char Char1 Char Char1"/>
    <w:link w:val="FootnoteText"/>
    <w:locked/>
    <w:rPr>
      <w:rFonts w:ascii="Verdana" w:hAnsi="Verdana"/>
      <w:sz w:val="20"/>
      <w:szCs w:val="20"/>
      <w:lang w:val="bg-BG" w:eastAsia="en-GB" w:bidi="ar-SA"/>
    </w:rPr>
  </w:style>
  <w:style w:type="character" w:styleId="Hyperlink">
    <w:name w:val="Hyperlink"/>
    <w:uiPriority w:val="99"/>
    <w:rPr>
      <w:color w:val="0000FF"/>
      <w:u w:val="single"/>
    </w:rPr>
  </w:style>
  <w:style w:type="character" w:customStyle="1" w:styleId="FootnoteTextCharChar">
    <w:name w:val="Footnote Text Char Char"/>
    <w:aliases w:val="Footnote Text Char1 Char Char,Footnote Text Char Char Char Char,Footnote Text Char1 Char Char Char Char,Footnote Text Char Char Char Char Char Char,Footnote Text Char1 Char1 Char Char,Footnote Text Char Char Char1 Char Char"/>
    <w:rPr>
      <w:lang w:val="bg-BG" w:eastAsia="ko-KR" w:bidi="ar-SA"/>
    </w:rPr>
  </w:style>
  <w:style w:type="character" w:styleId="FootnoteReference">
    <w:name w:val="footnote reference"/>
    <w:aliases w:val="Footnote symbol,Footnote reference number,Footnote,Times 10 Point,Exposant 3 Point,Ref,de nota al pie,note TESI,SUPERS,EN Footnote Reference,EN Footnote text,-E Fußnotenzeichen, BVI fnr,Footnote number,Footnote Reference Number,BVI f"/>
    <w:link w:val="Nota"/>
    <w:qFormat/>
    <w:rPr>
      <w:vertAlign w:val="superscript"/>
    </w:rPr>
  </w:style>
  <w:style w:type="paragraph" w:customStyle="1" w:styleId="AARText">
    <w:name w:val="AAR Text"/>
    <w:basedOn w:val="Normal"/>
    <w:link w:val="AARTextChar"/>
    <w:qFormat/>
    <w:pPr>
      <w:autoSpaceDE w:val="0"/>
      <w:autoSpaceDN w:val="0"/>
      <w:adjustRightInd w:val="0"/>
      <w:spacing w:after="240"/>
      <w:jc w:val="both"/>
    </w:pPr>
    <w:rPr>
      <w:rFonts w:ascii="Verdana" w:hAnsi="Verdana"/>
      <w:color w:val="auto"/>
      <w:sz w:val="20"/>
      <w:lang w:eastAsia="en-GB" w:bidi="ar-SA"/>
    </w:rPr>
  </w:style>
  <w:style w:type="character" w:customStyle="1" w:styleId="AARTextChar">
    <w:name w:val="AAR Text Char"/>
    <w:link w:val="AARText"/>
    <w:rPr>
      <w:rFonts w:ascii="Verdana" w:hAnsi="Verdana"/>
      <w:sz w:val="20"/>
      <w:lang w:val="bg-BG" w:eastAsia="en-GB" w:bidi="ar-SA"/>
    </w:rPr>
  </w:style>
  <w:style w:type="paragraph" w:customStyle="1" w:styleId="Nota">
    <w:name w:val="Nota"/>
    <w:aliases w:val=" Char1,Char1,(NECG) Footnote Reference,fr,Appel note de bas de p,o,Style 6,Signature Ch"/>
    <w:basedOn w:val="Normal"/>
    <w:link w:val="FootnoteReference"/>
    <w:pPr>
      <w:widowControl/>
      <w:spacing w:after="160" w:line="240" w:lineRule="exact"/>
    </w:pPr>
    <w:rPr>
      <w:color w:val="auto"/>
      <w:vertAlign w:val="superscript"/>
    </w:rPr>
  </w:style>
  <w:style w:type="paragraph" w:styleId="ListParagraph">
    <w:name w:val="List Paragraph"/>
    <w:basedOn w:val="Normal"/>
    <w:uiPriority w:val="34"/>
    <w:qFormat/>
    <w:pPr>
      <w:widowControl/>
      <w:ind w:left="1440" w:hanging="360"/>
    </w:pPr>
    <w:rPr>
      <w:rFonts w:ascii="Verdana" w:eastAsia="Calibri" w:hAnsi="Verdana" w:cs="Calibri"/>
      <w:b/>
      <w:i/>
      <w:color w:val="auto"/>
      <w:sz w:val="20"/>
      <w:szCs w:val="22"/>
      <w:lang w:bidi="ar-SA"/>
    </w:rPr>
  </w:style>
  <w:style w:type="table" w:styleId="TableGrid">
    <w:name w:val="Table Grid"/>
    <w:basedOn w:val="TableNormal"/>
    <w:uiPriority w:val="59"/>
    <w:pPr>
      <w:autoSpaceDE w:val="0"/>
      <w:autoSpaceDN w:val="0"/>
      <w:adjustRightInd w:val="0"/>
    </w:pPr>
    <w:rPr>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pPr>
      <w:spacing w:after="100"/>
      <w:ind w:left="720"/>
    </w:pPr>
  </w:style>
  <w:style w:type="character" w:customStyle="1" w:styleId="m-7373738379908728024bumpedfont15">
    <w:name w:val="m_-7373738379908728024bumpedfont15"/>
    <w:rPr>
      <w:lang w:val="bg-BG"/>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sz w:val="20"/>
      <w:szCs w:val="20"/>
    </w:rPr>
  </w:style>
  <w:style w:type="paragraph" w:customStyle="1" w:styleId="Text1">
    <w:name w:val="Text 1"/>
    <w:basedOn w:val="Normal"/>
    <w:link w:val="Text1Char"/>
    <w:pPr>
      <w:widowControl/>
      <w:spacing w:after="240"/>
      <w:ind w:left="482"/>
      <w:jc w:val="both"/>
    </w:pPr>
    <w:rPr>
      <w:color w:val="auto"/>
      <w:szCs w:val="20"/>
      <w:lang w:bidi="ar-SA"/>
    </w:rPr>
  </w:style>
  <w:style w:type="character" w:customStyle="1" w:styleId="Text1Char">
    <w:name w:val="Text 1 Char"/>
    <w:basedOn w:val="DefaultParagraphFont"/>
    <w:link w:val="Text1"/>
    <w:rPr>
      <w:szCs w:val="20"/>
      <w:lang w:val="bg-B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TOC2Char"/>
    <w:link w:val="FooterCoverPage"/>
    <w:rPr>
      <w:b w:val="0"/>
      <w:bCs w:val="0"/>
      <w:i w:val="0"/>
      <w:iCs w:val="0"/>
      <w:smallCaps w:val="0"/>
      <w:strike w:val="0"/>
      <w:color w:val="000000"/>
      <w:u w:val="no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2Char"/>
    <w:link w:val="FooterSensitivity"/>
    <w:rPr>
      <w:b/>
      <w:bCs w:val="0"/>
      <w:i w:val="0"/>
      <w:iCs w:val="0"/>
      <w:smallCaps w:val="0"/>
      <w:strike w:val="0"/>
      <w:color w:val="000000"/>
      <w:sz w:val="32"/>
      <w:u w:val="no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2Char"/>
    <w:link w:val="HeaderCoverPage"/>
    <w:rPr>
      <w:b w:val="0"/>
      <w:bCs w:val="0"/>
      <w:i w:val="0"/>
      <w:iCs w:val="0"/>
      <w:smallCaps w:val="0"/>
      <w:strike w:val="0"/>
      <w:color w:val="000000"/>
      <w:u w:val="no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2Char"/>
    <w:link w:val="HeaderSensitivity"/>
    <w:rPr>
      <w:b/>
      <w:bCs w:val="0"/>
      <w:i w:val="0"/>
      <w:iCs w:val="0"/>
      <w:smallCaps w:val="0"/>
      <w:strike w:val="0"/>
      <w:color w:val="000000"/>
      <w:sz w:val="32"/>
      <w:u w:val="no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OC2Char"/>
    <w:link w:val="HeaderSensitivityRight"/>
    <w:rPr>
      <w:b w:val="0"/>
      <w:bCs w:val="0"/>
      <w:i w:val="0"/>
      <w:iCs w:val="0"/>
      <w:smallCaps w:val="0"/>
      <w:strike w:val="0"/>
      <w:color w:val="000000"/>
      <w:sz w:val="28"/>
      <w:u w:val="none"/>
    </w:rPr>
  </w:style>
  <w:style w:type="paragraph" w:styleId="NormalWeb">
    <w:name w:val="Normal (Web)"/>
    <w:basedOn w:val="Normal"/>
    <w:uiPriority w:val="99"/>
    <w:unhideWhenUsed/>
    <w:pPr>
      <w:widowControl/>
      <w:spacing w:before="100" w:beforeAutospacing="1" w:after="100" w:afterAutospacing="1"/>
    </w:pPr>
    <w:rPr>
      <w:color w:val="auto"/>
      <w:lang w:eastAsia="fr-BE" w:bidi="ar-SA"/>
    </w:rPr>
  </w:style>
  <w:style w:type="paragraph" w:styleId="Revision">
    <w:name w:val="Revision"/>
    <w:hidden/>
    <w:uiPriority w:val="99"/>
    <w:semiHidden/>
    <w:pPr>
      <w:widowControl/>
    </w:pPr>
    <w:rPr>
      <w:color w:val="000000"/>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12456">
      <w:bodyDiv w:val="1"/>
      <w:marLeft w:val="0"/>
      <w:marRight w:val="0"/>
      <w:marTop w:val="0"/>
      <w:marBottom w:val="0"/>
      <w:divBdr>
        <w:top w:val="none" w:sz="0" w:space="0" w:color="auto"/>
        <w:left w:val="none" w:sz="0" w:space="0" w:color="auto"/>
        <w:bottom w:val="none" w:sz="0" w:space="0" w:color="auto"/>
        <w:right w:val="none" w:sz="0" w:space="0" w:color="auto"/>
      </w:divBdr>
    </w:div>
    <w:div w:id="602685239">
      <w:bodyDiv w:val="1"/>
      <w:marLeft w:val="0"/>
      <w:marRight w:val="0"/>
      <w:marTop w:val="0"/>
      <w:marBottom w:val="0"/>
      <w:divBdr>
        <w:top w:val="none" w:sz="0" w:space="0" w:color="auto"/>
        <w:left w:val="none" w:sz="0" w:space="0" w:color="auto"/>
        <w:bottom w:val="none" w:sz="0" w:space="0" w:color="auto"/>
        <w:right w:val="none" w:sz="0" w:space="0" w:color="auto"/>
      </w:divBdr>
    </w:div>
    <w:div w:id="646014656">
      <w:bodyDiv w:val="1"/>
      <w:marLeft w:val="0"/>
      <w:marRight w:val="0"/>
      <w:marTop w:val="0"/>
      <w:marBottom w:val="0"/>
      <w:divBdr>
        <w:top w:val="none" w:sz="0" w:space="0" w:color="auto"/>
        <w:left w:val="none" w:sz="0" w:space="0" w:color="auto"/>
        <w:bottom w:val="none" w:sz="0" w:space="0" w:color="auto"/>
        <w:right w:val="none" w:sz="0" w:space="0" w:color="auto"/>
      </w:divBdr>
    </w:div>
    <w:div w:id="936913162">
      <w:bodyDiv w:val="1"/>
      <w:marLeft w:val="0"/>
      <w:marRight w:val="0"/>
      <w:marTop w:val="0"/>
      <w:marBottom w:val="0"/>
      <w:divBdr>
        <w:top w:val="none" w:sz="0" w:space="0" w:color="auto"/>
        <w:left w:val="none" w:sz="0" w:space="0" w:color="auto"/>
        <w:bottom w:val="none" w:sz="0" w:space="0" w:color="auto"/>
        <w:right w:val="none" w:sz="0" w:space="0" w:color="auto"/>
      </w:divBdr>
    </w:div>
    <w:div w:id="1404377741">
      <w:bodyDiv w:val="1"/>
      <w:marLeft w:val="0"/>
      <w:marRight w:val="0"/>
      <w:marTop w:val="0"/>
      <w:marBottom w:val="0"/>
      <w:divBdr>
        <w:top w:val="none" w:sz="0" w:space="0" w:color="auto"/>
        <w:left w:val="none" w:sz="0" w:space="0" w:color="auto"/>
        <w:bottom w:val="none" w:sz="0" w:space="0" w:color="auto"/>
        <w:right w:val="none" w:sz="0" w:space="0" w:color="auto"/>
      </w:divBdr>
    </w:div>
    <w:div w:id="1589071978">
      <w:bodyDiv w:val="1"/>
      <w:marLeft w:val="0"/>
      <w:marRight w:val="0"/>
      <w:marTop w:val="0"/>
      <w:marBottom w:val="0"/>
      <w:divBdr>
        <w:top w:val="none" w:sz="0" w:space="0" w:color="auto"/>
        <w:left w:val="none" w:sz="0" w:space="0" w:color="auto"/>
        <w:bottom w:val="none" w:sz="0" w:space="0" w:color="auto"/>
        <w:right w:val="none" w:sz="0" w:space="0" w:color="auto"/>
      </w:divBdr>
    </w:div>
    <w:div w:id="1636638847">
      <w:bodyDiv w:val="1"/>
      <w:marLeft w:val="0"/>
      <w:marRight w:val="0"/>
      <w:marTop w:val="0"/>
      <w:marBottom w:val="0"/>
      <w:divBdr>
        <w:top w:val="none" w:sz="0" w:space="0" w:color="auto"/>
        <w:left w:val="none" w:sz="0" w:space="0" w:color="auto"/>
        <w:bottom w:val="none" w:sz="0" w:space="0" w:color="auto"/>
        <w:right w:val="none" w:sz="0" w:space="0" w:color="auto"/>
      </w:divBdr>
    </w:div>
    <w:div w:id="165166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c.europa.eu/echo/sites/echo-site/files/eu_cash_compendium_2019.pdf"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ec.europa.eu/info/publications/annual-management-and-performance-report-2019_en" TargetMode="Externa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ec.europa.eu/echo/sites/echo-site/files/eu_cash_compendium_2019.pdf" TargetMode="External"/><Relationship Id="rId33" Type="http://schemas.openxmlformats.org/officeDocument/2006/relationships/hyperlink" Target="https://ec.europa.eu/info/publications/annual-activity-report-2019-european-civil-protection-and-humanitarian-aid-operations-echo_en" TargetMode="External"/><Relationship Id="rId38" Type="http://schemas.openxmlformats.org/officeDocument/2006/relationships/hyperlink" Target="http://ec.europa.eu/echo/sites/echo-site/files/weblistpartners.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ec.europa.eu/budget/fts/index_en.htm"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echo/sites/echo-site/files/2019-01_disability_inclusion_guidance_note.pdf" TargetMode="External"/><Relationship Id="rId32" Type="http://schemas.openxmlformats.org/officeDocument/2006/relationships/hyperlink" Target="https://ec.europa.eu/echo/who/accountability/annual-reports_en" TargetMode="External"/><Relationship Id="rId37" Type="http://schemas.openxmlformats.org/officeDocument/2006/relationships/hyperlink" Target="https://drmkc.jrc.ec.europa.eu/inform-index" TargetMode="Externa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nteragencystandingcommittee.org/improve-joint-and-impartial-needs-assessments" TargetMode="External"/><Relationship Id="rId28" Type="http://schemas.openxmlformats.org/officeDocument/2006/relationships/hyperlink" Target="https://ec.europa.eu/echo/sites/echo-site/files/combined_evaluation_of_the_eu_humanitarian_intervention_in_afghanistan_2014_2018_and_dg_echos_partnership_wiht_nrc.pdf" TargetMode="External"/><Relationship Id="rId36" Type="http://schemas.openxmlformats.org/officeDocument/2006/relationships/hyperlink" Target="https://webgate.ec.europa.eu/hac/"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ec.europa.eu/echo/funding-evaluations/financing-decisions-hips-2019_en" TargetMode="External"/><Relationship Id="rId44"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interagencystandingcommittee.org/grand-bargain" TargetMode="External"/><Relationship Id="rId27" Type="http://schemas.openxmlformats.org/officeDocument/2006/relationships/hyperlink" Target="https://ec.europa.eu/echo/sites/echo-site/files/1._lmi_-_ca_coordination_-_full_report_-_eu_bookshop_-_en_fr_annexes_-_final.pdf" TargetMode="External"/><Relationship Id="rId30" Type="http://schemas.openxmlformats.org/officeDocument/2006/relationships/hyperlink" Target="http://ec.europa.eu/echo/en" TargetMode="External"/><Relationship Id="rId35" Type="http://schemas.openxmlformats.org/officeDocument/2006/relationships/hyperlink" Target="http://ec.europa.eu/echo/funding-evaluations/evaluations_en" TargetMode="External"/><Relationship Id="rId43"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51D434C-06E7-4468-9052-F7091BD6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4951</Words>
  <Characters>29164</Characters>
  <Application>Microsoft Office Word</Application>
  <DocSecurity>0</DocSecurity>
  <Lines>788</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23</cp:revision>
  <dcterms:created xsi:type="dcterms:W3CDTF">2020-07-29T15:02:00Z</dcterms:created>
  <dcterms:modified xsi:type="dcterms:W3CDTF">2020-08-03T09:06:00Z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