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F292A94-1D42-469E-88EB-F409B8E6EE41" style="width:450.35pt;height:41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jc w:val="center"/>
        <w:rPr>
          <w:b/>
          <w:noProof/>
        </w:rPr>
      </w:pPr>
      <w:r>
        <w:rPr>
          <w:b/>
          <w:noProof/>
        </w:rPr>
        <w:t xml:space="preserve">Списък на продуктите, посочени в член 1, параграф 1, съгласно продуктовите категории на позициите по Хармонизираната система </w:t>
      </w:r>
    </w:p>
    <w:p>
      <w:pPr>
        <w:rPr>
          <w:noProof/>
        </w:rPr>
      </w:pPr>
    </w:p>
    <w:p>
      <w:pPr>
        <w:rPr>
          <w:noProof/>
        </w:rPr>
      </w:pPr>
      <w:r>
        <w:rPr>
          <w:noProof/>
        </w:rPr>
        <w:t>Селско стопанство, горско стопанство и рибарство</w:t>
      </w:r>
    </w:p>
    <w:p>
      <w:pPr>
        <w:rPr>
          <w:noProof/>
        </w:rPr>
      </w:pPr>
      <w:r>
        <w:rPr>
          <w:noProof/>
        </w:rPr>
        <w:t xml:space="preserve">0203 </w:t>
      </w:r>
      <w:r>
        <w:rPr>
          <w:noProof/>
        </w:rPr>
        <w:tab/>
        <w:t xml:space="preserve"> 0204</w:t>
      </w:r>
      <w:r>
        <w:rPr>
          <w:noProof/>
        </w:rPr>
        <w:tab/>
        <w:t>0207</w:t>
      </w:r>
      <w:r>
        <w:rPr>
          <w:noProof/>
        </w:rPr>
        <w:tab/>
        <w:t>0407</w:t>
      </w:r>
      <w:r>
        <w:rPr>
          <w:noProof/>
        </w:rPr>
        <w:tab/>
        <w:t>0603</w:t>
      </w:r>
      <w:r>
        <w:rPr>
          <w:noProof/>
        </w:rPr>
        <w:tab/>
        <w:t>0701</w:t>
      </w:r>
      <w:r>
        <w:rPr>
          <w:noProof/>
        </w:rPr>
        <w:tab/>
        <w:t>0703</w:t>
      </w:r>
      <w:r>
        <w:rPr>
          <w:noProof/>
        </w:rPr>
        <w:tab/>
        <w:t>0706</w:t>
      </w:r>
      <w:r>
        <w:rPr>
          <w:noProof/>
        </w:rPr>
        <w:tab/>
        <w:t>0708</w:t>
      </w:r>
      <w:r>
        <w:rPr>
          <w:noProof/>
        </w:rPr>
        <w:tab/>
        <w:t>0810</w:t>
      </w:r>
    </w:p>
    <w:p>
      <w:pPr>
        <w:rPr>
          <w:noProof/>
        </w:rPr>
      </w:pPr>
    </w:p>
    <w:p>
      <w:pPr>
        <w:rPr>
          <w:noProof/>
        </w:rPr>
      </w:pPr>
      <w:r>
        <w:rPr>
          <w:noProof/>
        </w:rPr>
        <w:t>Добивна промишленост</w:t>
      </w:r>
    </w:p>
    <w:p>
      <w:pPr>
        <w:rPr>
          <w:noProof/>
        </w:rPr>
      </w:pPr>
      <w:r>
        <w:rPr>
          <w:noProof/>
        </w:rPr>
        <w:t>2516</w:t>
      </w:r>
      <w:r>
        <w:rPr>
          <w:noProof/>
        </w:rPr>
        <w:tab/>
        <w:t xml:space="preserve"> 6801</w:t>
      </w:r>
      <w:r>
        <w:rPr>
          <w:noProof/>
        </w:rPr>
        <w:tab/>
        <w:t>6802</w:t>
      </w:r>
      <w:r>
        <w:rPr>
          <w:noProof/>
        </w:rPr>
        <w:tab/>
        <w:t>6810</w:t>
      </w:r>
    </w:p>
    <w:p>
      <w:pPr>
        <w:rPr>
          <w:noProof/>
        </w:rPr>
      </w:pPr>
    </w:p>
    <w:p>
      <w:pPr>
        <w:rPr>
          <w:noProof/>
        </w:rPr>
      </w:pPr>
      <w:r>
        <w:rPr>
          <w:noProof/>
        </w:rPr>
        <w:t>Строителни материали</w:t>
      </w:r>
    </w:p>
    <w:p>
      <w:pPr>
        <w:rPr>
          <w:noProof/>
        </w:rPr>
      </w:pPr>
      <w:r>
        <w:rPr>
          <w:noProof/>
        </w:rPr>
        <w:t>2523</w:t>
      </w:r>
      <w:r>
        <w:rPr>
          <w:noProof/>
        </w:rPr>
        <w:tab/>
        <w:t xml:space="preserve"> 3816</w:t>
      </w:r>
      <w:r>
        <w:rPr>
          <w:noProof/>
        </w:rPr>
        <w:tab/>
        <w:t>3824</w:t>
      </w:r>
      <w:r>
        <w:rPr>
          <w:noProof/>
        </w:rPr>
        <w:tab/>
        <w:t>6809</w:t>
      </w:r>
      <w:r>
        <w:rPr>
          <w:noProof/>
        </w:rPr>
        <w:tab/>
        <w:t>7006</w:t>
      </w:r>
      <w:r>
        <w:rPr>
          <w:noProof/>
        </w:rPr>
        <w:tab/>
        <w:t>7007</w:t>
      </w:r>
      <w:r>
        <w:rPr>
          <w:noProof/>
        </w:rPr>
        <w:tab/>
        <w:t>7008</w:t>
      </w:r>
      <w:r>
        <w:rPr>
          <w:noProof/>
        </w:rPr>
        <w:tab/>
        <w:t>7009</w:t>
      </w:r>
      <w:r>
        <w:rPr>
          <w:noProof/>
        </w:rPr>
        <w:tab/>
        <w:t>7010</w:t>
      </w:r>
      <w:r>
        <w:rPr>
          <w:noProof/>
        </w:rPr>
        <w:tab/>
      </w:r>
    </w:p>
    <w:p>
      <w:pPr>
        <w:rPr>
          <w:noProof/>
        </w:rPr>
      </w:pPr>
    </w:p>
    <w:p>
      <w:pPr>
        <w:rPr>
          <w:noProof/>
        </w:rPr>
      </w:pPr>
      <w:r>
        <w:rPr>
          <w:noProof/>
        </w:rPr>
        <w:t>Химикали</w:t>
      </w:r>
    </w:p>
    <w:p>
      <w:pPr>
        <w:rPr>
          <w:noProof/>
        </w:rPr>
      </w:pPr>
      <w:r>
        <w:rPr>
          <w:noProof/>
        </w:rPr>
        <w:t xml:space="preserve">2804 </w:t>
      </w:r>
      <w:r>
        <w:rPr>
          <w:noProof/>
        </w:rPr>
        <w:tab/>
        <w:t xml:space="preserve">2807 </w:t>
      </w:r>
      <w:r>
        <w:rPr>
          <w:noProof/>
        </w:rPr>
        <w:tab/>
        <w:t xml:space="preserve"> 2811</w:t>
      </w:r>
      <w:r>
        <w:rPr>
          <w:noProof/>
        </w:rPr>
        <w:tab/>
        <w:t>2828</w:t>
      </w:r>
      <w:r>
        <w:rPr>
          <w:noProof/>
        </w:rPr>
        <w:tab/>
        <w:t>2853</w:t>
      </w:r>
      <w:r>
        <w:rPr>
          <w:noProof/>
        </w:rPr>
        <w:tab/>
        <w:t>3102</w:t>
      </w:r>
      <w:r>
        <w:rPr>
          <w:noProof/>
        </w:rPr>
        <w:tab/>
        <w:t>3105</w:t>
      </w:r>
      <w:r>
        <w:rPr>
          <w:noProof/>
        </w:rPr>
        <w:tab/>
        <w:t>3208</w:t>
      </w:r>
      <w:r>
        <w:rPr>
          <w:noProof/>
        </w:rPr>
        <w:tab/>
        <w:t>3209</w:t>
      </w:r>
      <w:r>
        <w:rPr>
          <w:noProof/>
        </w:rPr>
        <w:tab/>
        <w:t>3212</w:t>
      </w:r>
      <w:r>
        <w:rPr>
          <w:noProof/>
        </w:rPr>
        <w:tab/>
        <w:t>3213</w:t>
      </w:r>
      <w:r>
        <w:rPr>
          <w:noProof/>
        </w:rPr>
        <w:tab/>
        <w:t>3214</w:t>
      </w:r>
      <w:r>
        <w:rPr>
          <w:noProof/>
        </w:rPr>
        <w:tab/>
        <w:t>3304</w:t>
      </w:r>
      <w:r>
        <w:rPr>
          <w:noProof/>
        </w:rPr>
        <w:tab/>
      </w:r>
    </w:p>
    <w:p>
      <w:pPr>
        <w:rPr>
          <w:noProof/>
        </w:rPr>
      </w:pPr>
      <w:r>
        <w:rPr>
          <w:noProof/>
        </w:rPr>
        <w:t>3401</w:t>
      </w:r>
      <w:r>
        <w:rPr>
          <w:noProof/>
        </w:rPr>
        <w:tab/>
        <w:t>3402</w:t>
      </w:r>
      <w:r>
        <w:rPr>
          <w:noProof/>
        </w:rPr>
        <w:tab/>
        <w:t>3406</w:t>
      </w:r>
      <w:r>
        <w:rPr>
          <w:noProof/>
        </w:rPr>
        <w:tab/>
        <w:t>3814</w:t>
      </w:r>
      <w:r>
        <w:rPr>
          <w:noProof/>
        </w:rPr>
        <w:tab/>
        <w:t xml:space="preserve"> 3917</w:t>
      </w:r>
      <w:r>
        <w:rPr>
          <w:noProof/>
        </w:rPr>
        <w:tab/>
        <w:t>3920</w:t>
      </w:r>
      <w:r>
        <w:rPr>
          <w:noProof/>
        </w:rPr>
        <w:tab/>
        <w:t>3923</w:t>
      </w:r>
      <w:r>
        <w:rPr>
          <w:noProof/>
        </w:rPr>
        <w:tab/>
        <w:t>3925</w:t>
      </w:r>
      <w:r>
        <w:rPr>
          <w:noProof/>
        </w:rPr>
        <w:tab/>
        <w:t>4012</w:t>
      </w:r>
    </w:p>
    <w:p>
      <w:pPr>
        <w:rPr>
          <w:noProof/>
        </w:rPr>
      </w:pPr>
    </w:p>
    <w:p>
      <w:pPr>
        <w:rPr>
          <w:noProof/>
        </w:rPr>
      </w:pPr>
      <w:r>
        <w:rPr>
          <w:noProof/>
        </w:rPr>
        <w:t>Металообработващи отрасли</w:t>
      </w:r>
    </w:p>
    <w:p>
      <w:pPr>
        <w:rPr>
          <w:noProof/>
        </w:rPr>
      </w:pPr>
      <w:r>
        <w:rPr>
          <w:noProof/>
        </w:rPr>
        <w:t>7308</w:t>
      </w:r>
      <w:r>
        <w:rPr>
          <w:noProof/>
        </w:rPr>
        <w:tab/>
        <w:t xml:space="preserve"> 7309</w:t>
      </w:r>
      <w:r>
        <w:rPr>
          <w:noProof/>
        </w:rPr>
        <w:tab/>
        <w:t xml:space="preserve"> 7604</w:t>
      </w:r>
      <w:r>
        <w:rPr>
          <w:noProof/>
        </w:rPr>
        <w:tab/>
        <w:t>7608</w:t>
      </w:r>
      <w:r>
        <w:rPr>
          <w:noProof/>
        </w:rPr>
        <w:tab/>
        <w:t>7610</w:t>
      </w:r>
      <w:r>
        <w:rPr>
          <w:noProof/>
        </w:rPr>
        <w:tab/>
        <w:t>8415</w:t>
      </w:r>
      <w:r>
        <w:rPr>
          <w:noProof/>
        </w:rPr>
        <w:tab/>
        <w:t>8424</w:t>
      </w:r>
      <w:r>
        <w:rPr>
          <w:noProof/>
        </w:rPr>
        <w:tab/>
        <w:t>8907</w:t>
      </w:r>
      <w:r>
        <w:rPr>
          <w:noProof/>
        </w:rPr>
        <w:tab/>
        <w:t>9403</w:t>
      </w:r>
      <w:r>
        <w:rPr>
          <w:noProof/>
        </w:rPr>
        <w:tab/>
        <w:t>9404</w:t>
      </w:r>
      <w:r>
        <w:rPr>
          <w:noProof/>
        </w:rPr>
        <w:tab/>
        <w:t>9406</w:t>
      </w:r>
    </w:p>
    <w:p>
      <w:pPr>
        <w:rPr>
          <w:noProof/>
        </w:rPr>
      </w:pPr>
    </w:p>
    <w:p>
      <w:pPr>
        <w:rPr>
          <w:noProof/>
        </w:rPr>
      </w:pPr>
      <w:r>
        <w:rPr>
          <w:noProof/>
        </w:rPr>
        <w:t>Хранително-вкусова промишленост</w:t>
      </w:r>
    </w:p>
    <w:p>
      <w:pPr>
        <w:rPr>
          <w:noProof/>
        </w:rPr>
      </w:pPr>
      <w:r>
        <w:rPr>
          <w:noProof/>
        </w:rPr>
        <w:t>0210</w:t>
      </w:r>
      <w:r>
        <w:rPr>
          <w:noProof/>
        </w:rPr>
        <w:tab/>
        <w:t xml:space="preserve"> 0305</w:t>
      </w:r>
      <w:r>
        <w:rPr>
          <w:noProof/>
        </w:rPr>
        <w:tab/>
        <w:t>0403</w:t>
      </w:r>
      <w:r>
        <w:rPr>
          <w:noProof/>
        </w:rPr>
        <w:tab/>
        <w:t>0406</w:t>
      </w:r>
      <w:r>
        <w:rPr>
          <w:noProof/>
        </w:rPr>
        <w:tab/>
        <w:t>0901</w:t>
      </w:r>
      <w:r>
        <w:rPr>
          <w:noProof/>
        </w:rPr>
        <w:tab/>
        <w:t>1101</w:t>
      </w:r>
      <w:r>
        <w:rPr>
          <w:noProof/>
        </w:rPr>
        <w:tab/>
        <w:t>1102</w:t>
      </w:r>
      <w:r>
        <w:rPr>
          <w:noProof/>
        </w:rPr>
        <w:tab/>
        <w:t>1601</w:t>
      </w:r>
      <w:r>
        <w:rPr>
          <w:noProof/>
        </w:rPr>
        <w:tab/>
        <w:t>1602</w:t>
      </w:r>
      <w:r>
        <w:rPr>
          <w:noProof/>
        </w:rPr>
        <w:tab/>
        <w:t>1702</w:t>
      </w:r>
      <w:r>
        <w:rPr>
          <w:noProof/>
        </w:rPr>
        <w:tab/>
        <w:t>1704</w:t>
      </w:r>
      <w:r>
        <w:rPr>
          <w:noProof/>
        </w:rPr>
        <w:tab/>
        <w:t>1806</w:t>
      </w:r>
      <w:r>
        <w:rPr>
          <w:noProof/>
        </w:rPr>
        <w:tab/>
        <w:t>1901 1902</w:t>
      </w:r>
      <w:r>
        <w:rPr>
          <w:noProof/>
        </w:rPr>
        <w:tab/>
        <w:t>1904</w:t>
      </w:r>
      <w:r>
        <w:rPr>
          <w:noProof/>
        </w:rPr>
        <w:tab/>
        <w:t>1905</w:t>
      </w:r>
      <w:r>
        <w:rPr>
          <w:noProof/>
        </w:rPr>
        <w:tab/>
        <w:t>2002</w:t>
      </w:r>
      <w:r>
        <w:rPr>
          <w:noProof/>
        </w:rPr>
        <w:tab/>
        <w:t>2005</w:t>
      </w:r>
      <w:r>
        <w:rPr>
          <w:noProof/>
        </w:rPr>
        <w:tab/>
        <w:t>2006</w:t>
      </w:r>
      <w:r>
        <w:rPr>
          <w:noProof/>
        </w:rPr>
        <w:tab/>
        <w:t>2007</w:t>
      </w:r>
      <w:r>
        <w:rPr>
          <w:noProof/>
        </w:rPr>
        <w:tab/>
        <w:t>2008</w:t>
      </w:r>
      <w:r>
        <w:rPr>
          <w:noProof/>
        </w:rPr>
        <w:tab/>
        <w:t>2009</w:t>
      </w:r>
      <w:r>
        <w:rPr>
          <w:noProof/>
        </w:rPr>
        <w:tab/>
        <w:t>2103</w:t>
      </w:r>
      <w:r>
        <w:rPr>
          <w:noProof/>
        </w:rPr>
        <w:tab/>
        <w:t>2105</w:t>
      </w:r>
      <w:r>
        <w:rPr>
          <w:noProof/>
        </w:rPr>
        <w:tab/>
        <w:t>2106</w:t>
      </w:r>
      <w:r>
        <w:rPr>
          <w:noProof/>
        </w:rPr>
        <w:tab/>
        <w:t>2201</w:t>
      </w:r>
    </w:p>
    <w:p>
      <w:pPr>
        <w:rPr>
          <w:noProof/>
        </w:rPr>
      </w:pPr>
      <w:r>
        <w:rPr>
          <w:noProof/>
        </w:rPr>
        <w:t>2202</w:t>
      </w:r>
      <w:r>
        <w:rPr>
          <w:noProof/>
        </w:rPr>
        <w:tab/>
        <w:t>2203</w:t>
      </w:r>
      <w:r>
        <w:rPr>
          <w:noProof/>
        </w:rPr>
        <w:tab/>
        <w:t>2204</w:t>
      </w:r>
      <w:r>
        <w:rPr>
          <w:noProof/>
        </w:rPr>
        <w:tab/>
        <w:t>2208</w:t>
      </w:r>
      <w:r>
        <w:rPr>
          <w:noProof/>
        </w:rPr>
        <w:tab/>
        <w:t>2309</w:t>
      </w:r>
    </w:p>
    <w:p>
      <w:pPr>
        <w:rPr>
          <w:noProof/>
        </w:rPr>
      </w:pPr>
    </w:p>
    <w:p>
      <w:pPr>
        <w:rPr>
          <w:noProof/>
        </w:rPr>
      </w:pPr>
      <w:r>
        <w:rPr>
          <w:noProof/>
        </w:rPr>
        <w:t>Тютюн</w:t>
      </w:r>
    </w:p>
    <w:p>
      <w:pPr>
        <w:rPr>
          <w:noProof/>
        </w:rPr>
      </w:pPr>
      <w:r>
        <w:rPr>
          <w:noProof/>
        </w:rPr>
        <w:t>2402</w:t>
      </w:r>
    </w:p>
    <w:p>
      <w:pPr>
        <w:rPr>
          <w:noProof/>
        </w:rPr>
      </w:pPr>
    </w:p>
    <w:p>
      <w:pPr>
        <w:rPr>
          <w:noProof/>
        </w:rPr>
      </w:pPr>
      <w:r>
        <w:rPr>
          <w:noProof/>
        </w:rPr>
        <w:t>Текстилна, кожарска и обувна промишленост</w:t>
      </w:r>
    </w:p>
    <w:p>
      <w:pPr>
        <w:rPr>
          <w:noProof/>
        </w:rPr>
      </w:pPr>
      <w:r>
        <w:rPr>
          <w:noProof/>
        </w:rPr>
        <w:t>6109</w:t>
      </w:r>
      <w:r>
        <w:rPr>
          <w:noProof/>
        </w:rPr>
        <w:tab/>
        <w:t>6112</w:t>
      </w:r>
      <w:r>
        <w:rPr>
          <w:noProof/>
        </w:rPr>
        <w:tab/>
      </w:r>
    </w:p>
    <w:p>
      <w:pPr>
        <w:rPr>
          <w:noProof/>
        </w:rPr>
      </w:pPr>
    </w:p>
    <w:p>
      <w:pPr>
        <w:rPr>
          <w:noProof/>
        </w:rPr>
      </w:pPr>
      <w:r>
        <w:rPr>
          <w:noProof/>
        </w:rPr>
        <w:t>Хартия</w:t>
      </w:r>
    </w:p>
    <w:p>
      <w:pPr>
        <w:rPr>
          <w:noProof/>
        </w:rPr>
      </w:pPr>
      <w:r>
        <w:rPr>
          <w:noProof/>
        </w:rPr>
        <w:t>4808</w:t>
      </w:r>
      <w:r>
        <w:rPr>
          <w:noProof/>
        </w:rPr>
        <w:tab/>
        <w:t>4811</w:t>
      </w:r>
      <w:r>
        <w:rPr>
          <w:noProof/>
        </w:rPr>
        <w:tab/>
        <w:t>4818</w:t>
      </w:r>
      <w:r>
        <w:rPr>
          <w:noProof/>
        </w:rPr>
        <w:tab/>
        <w:t>4819</w:t>
      </w:r>
      <w:r>
        <w:rPr>
          <w:noProof/>
        </w:rPr>
        <w:tab/>
        <w:t>4821</w:t>
      </w:r>
      <w:r>
        <w:rPr>
          <w:noProof/>
        </w:rPr>
        <w:tab/>
        <w:t>4823</w:t>
      </w:r>
    </w:p>
    <w:p>
      <w:pPr>
        <w:rPr>
          <w:noProof/>
        </w:rPr>
      </w:pPr>
    </w:p>
    <w:p>
      <w:pPr>
        <w:rPr>
          <w:noProof/>
        </w:rPr>
      </w:pPr>
      <w:r>
        <w:rPr>
          <w:noProof/>
        </w:rPr>
        <w:t>Графично изкуство</w:t>
      </w:r>
    </w:p>
    <w:p>
      <w:pPr>
        <w:rPr>
          <w:noProof/>
        </w:rPr>
      </w:pPr>
      <w:r>
        <w:rPr>
          <w:noProof/>
        </w:rPr>
        <w:lastRenderedPageBreak/>
        <w:t>4909</w:t>
      </w:r>
      <w:r>
        <w:rPr>
          <w:noProof/>
        </w:rPr>
        <w:tab/>
        <w:t>4910</w:t>
      </w:r>
      <w:r>
        <w:rPr>
          <w:noProof/>
        </w:rPr>
        <w:tab/>
        <w:t xml:space="preserve">4911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II</w:t>
      </w:r>
    </w:p>
    <w:p>
      <w:pPr>
        <w:jc w:val="center"/>
        <w:rPr>
          <w:noProof/>
        </w:rPr>
      </w:pPr>
      <w:r>
        <w:rPr>
          <w:b/>
          <w:noProof/>
          <w:szCs w:val="24"/>
        </w:rPr>
        <w:t xml:space="preserve">Информация, която трябва да бъде включена в посочения в член 4 доклад за мониторинг </w:t>
      </w:r>
    </w:p>
    <w:p>
      <w:pPr>
        <w:rPr>
          <w:noProof/>
        </w:rPr>
      </w:pPr>
    </w:p>
    <w:p>
      <w:pPr>
        <w:rPr>
          <w:noProof/>
        </w:rPr>
      </w:pPr>
      <w:r>
        <w:rPr>
          <w:noProof/>
          <w:u w:val="single"/>
        </w:rPr>
        <w:t>1. Прогнозни допълнителни разходи</w:t>
      </w:r>
      <w:r>
        <w:rPr>
          <w:noProof/>
        </w:rPr>
        <w:t>. Испанските органи изпращат обобщен доклад с достатъчно данни, за да се направи оценка за наличие на допълнителни разходи, които увеличават себестойността на продуктите местно производство в сравнение с продуктите, произведени другаде. Предоставената информация в обобщаващия доклад включва поне следната информация, когато такава информация е налична: разходи за суровини, разходи за свръхзапаси, разходи за оборудване, допълнителни разходи за труд и финансови разходи. Тези данни трябва да бъдат представени чрез посочване най-малко на продуктовите категории на позициите по Хармонизираната система съгласно четирите цифри на Комбинираната номенклатура.</w:t>
      </w:r>
    </w:p>
    <w:p>
      <w:pPr>
        <w:rPr>
          <w:i/>
          <w:iCs/>
          <w:noProof/>
          <w:sz w:val="18"/>
          <w:szCs w:val="18"/>
        </w:rPr>
      </w:pPr>
      <w:r>
        <w:rPr>
          <w:noProof/>
        </w:rPr>
        <w:t xml:space="preserve">Докладът съдържа обобщените резултати от подробните </w:t>
      </w:r>
      <w:r>
        <w:rPr>
          <w:i/>
          <w:noProof/>
        </w:rPr>
        <w:t>ad hoc</w:t>
      </w:r>
      <w:r>
        <w:rPr>
          <w:noProof/>
        </w:rPr>
        <w:t xml:space="preserve"> проучвания за допълнителните разходи, които Испания следва да продължи да провежда периодично.   </w:t>
      </w:r>
    </w:p>
    <w:p>
      <w:pPr>
        <w:rPr>
          <w:rFonts w:eastAsia="Times New Roman"/>
          <w:noProof/>
        </w:rPr>
      </w:pPr>
      <w:r>
        <w:rPr>
          <w:i/>
          <w:iCs/>
          <w:noProof/>
          <w:sz w:val="18"/>
          <w:szCs w:val="18"/>
        </w:rPr>
        <w:t xml:space="preserve"> </w:t>
      </w:r>
    </w:p>
    <w:p>
      <w:pPr>
        <w:rPr>
          <w:noProof/>
          <w:u w:val="single"/>
        </w:rPr>
      </w:pPr>
      <w:r>
        <w:rPr>
          <w:noProof/>
          <w:u w:val="single"/>
        </w:rPr>
        <w:t>2. Други субсидии</w:t>
      </w:r>
      <w:r>
        <w:rPr>
          <w:noProof/>
        </w:rPr>
        <w:t xml:space="preserve">. Испанските органи изпращат списък на всички други мерки за помощ и подкрепа за покриване на допълнителните оперативни разходи на икономическите оператори, свързани със статута на Канарските острови на най-отдалечен регион. </w:t>
      </w:r>
    </w:p>
    <w:p>
      <w:pPr>
        <w:rPr>
          <w:noProof/>
          <w:u w:val="single"/>
        </w:rPr>
      </w:pPr>
    </w:p>
    <w:p>
      <w:pPr>
        <w:rPr>
          <w:noProof/>
          <w:u w:val="single"/>
        </w:rPr>
      </w:pPr>
      <w:r>
        <w:rPr>
          <w:noProof/>
          <w:u w:val="single"/>
        </w:rPr>
        <w:t>3. Въздействие върху публичния бюджет</w:t>
      </w:r>
      <w:r>
        <w:rPr>
          <w:noProof/>
        </w:rPr>
        <w:t xml:space="preserve">. Испанските органи попълват таблица 1, като посочват прогнозния общ размер (в EUR) на данъка, който е събран или не е събран в рамките на режима на данъка AIEM. </w:t>
      </w:r>
    </w:p>
    <w:p>
      <w:pPr>
        <w:rPr>
          <w:noProof/>
        </w:rPr>
      </w:pPr>
      <w:r>
        <w:rPr>
          <w:noProof/>
        </w:rPr>
        <w:t>Таблица 1</w:t>
      </w:r>
    </w:p>
    <w:tbl>
      <w:tblPr>
        <w:tblStyle w:val="TableGrid"/>
        <w:tblW w:w="5000" w:type="pct"/>
        <w:tblLook w:val="04A0" w:firstRow="1" w:lastRow="0" w:firstColumn="1" w:lastColumn="0" w:noHBand="0" w:noVBand="1"/>
      </w:tblPr>
      <w:tblGrid>
        <w:gridCol w:w="3154"/>
        <w:gridCol w:w="714"/>
        <w:gridCol w:w="854"/>
        <w:gridCol w:w="855"/>
        <w:gridCol w:w="714"/>
        <w:gridCol w:w="714"/>
        <w:gridCol w:w="855"/>
        <w:gridCol w:w="1429"/>
      </w:tblGrid>
      <w:tr>
        <w:tc>
          <w:tcPr>
            <w:tcW w:w="1727" w:type="pct"/>
            <w:shd w:val="clear" w:color="auto" w:fill="EEECE1" w:themeFill="background2"/>
          </w:tcPr>
          <w:p>
            <w:pPr>
              <w:jc w:val="right"/>
              <w:rPr>
                <w:rFonts w:eastAsia="Times New Roman"/>
                <w:b/>
                <w:bCs/>
                <w:noProof/>
              </w:rPr>
            </w:pPr>
            <w:r>
              <w:rPr>
                <w:b/>
                <w:bCs/>
                <w:noProof/>
              </w:rPr>
              <w:t>Година*</w:t>
            </w:r>
          </w:p>
        </w:tc>
        <w:tc>
          <w:tcPr>
            <w:tcW w:w="413" w:type="pct"/>
            <w:shd w:val="clear" w:color="auto" w:fill="EEECE1" w:themeFill="background2"/>
          </w:tcPr>
          <w:p>
            <w:pPr>
              <w:jc w:val="center"/>
              <w:rPr>
                <w:rFonts w:eastAsia="Times New Roman"/>
                <w:b/>
                <w:bCs/>
                <w:noProof/>
              </w:rPr>
            </w:pPr>
            <w:r>
              <w:rPr>
                <w:b/>
                <w:bCs/>
                <w:noProof/>
              </w:rPr>
              <w:t>2019</w:t>
            </w:r>
          </w:p>
        </w:tc>
        <w:tc>
          <w:tcPr>
            <w:tcW w:w="488" w:type="pct"/>
            <w:shd w:val="clear" w:color="auto" w:fill="EEECE1" w:themeFill="background2"/>
          </w:tcPr>
          <w:p>
            <w:pPr>
              <w:jc w:val="center"/>
              <w:rPr>
                <w:rFonts w:eastAsia="Times New Roman"/>
                <w:b/>
                <w:bCs/>
                <w:noProof/>
              </w:rPr>
            </w:pPr>
            <w:r>
              <w:rPr>
                <w:b/>
                <w:bCs/>
                <w:noProof/>
              </w:rPr>
              <w:t>2020</w:t>
            </w:r>
          </w:p>
        </w:tc>
        <w:tc>
          <w:tcPr>
            <w:tcW w:w="489" w:type="pct"/>
            <w:shd w:val="clear" w:color="auto" w:fill="EEECE1" w:themeFill="background2"/>
          </w:tcPr>
          <w:p>
            <w:pPr>
              <w:jc w:val="center"/>
              <w:rPr>
                <w:rFonts w:eastAsia="Times New Roman"/>
                <w:b/>
                <w:bCs/>
                <w:noProof/>
              </w:rPr>
            </w:pPr>
            <w:r>
              <w:rPr>
                <w:b/>
                <w:bCs/>
                <w:noProof/>
              </w:rPr>
              <w:t>2021</w:t>
            </w:r>
          </w:p>
        </w:tc>
        <w:tc>
          <w:tcPr>
            <w:tcW w:w="413" w:type="pct"/>
            <w:shd w:val="clear" w:color="auto" w:fill="EEECE1" w:themeFill="background2"/>
          </w:tcPr>
          <w:p>
            <w:pPr>
              <w:jc w:val="center"/>
              <w:rPr>
                <w:rFonts w:eastAsia="Times New Roman"/>
                <w:b/>
                <w:bCs/>
                <w:noProof/>
              </w:rPr>
            </w:pPr>
            <w:r>
              <w:rPr>
                <w:b/>
                <w:bCs/>
                <w:noProof/>
              </w:rPr>
              <w:t>2022</w:t>
            </w:r>
          </w:p>
        </w:tc>
        <w:tc>
          <w:tcPr>
            <w:tcW w:w="413" w:type="pct"/>
            <w:shd w:val="clear" w:color="auto" w:fill="EEECE1" w:themeFill="background2"/>
          </w:tcPr>
          <w:p>
            <w:pPr>
              <w:jc w:val="center"/>
              <w:rPr>
                <w:rFonts w:eastAsia="Times New Roman"/>
                <w:b/>
                <w:bCs/>
                <w:noProof/>
              </w:rPr>
            </w:pPr>
            <w:r>
              <w:rPr>
                <w:b/>
                <w:bCs/>
                <w:noProof/>
              </w:rPr>
              <w:t>2023</w:t>
            </w:r>
          </w:p>
        </w:tc>
        <w:tc>
          <w:tcPr>
            <w:tcW w:w="489" w:type="pct"/>
            <w:shd w:val="clear" w:color="auto" w:fill="EEECE1" w:themeFill="background2"/>
          </w:tcPr>
          <w:p>
            <w:pPr>
              <w:jc w:val="center"/>
              <w:rPr>
                <w:rFonts w:eastAsia="Times New Roman"/>
                <w:b/>
                <w:bCs/>
                <w:noProof/>
              </w:rPr>
            </w:pPr>
            <w:r>
              <w:rPr>
                <w:b/>
                <w:bCs/>
                <w:noProof/>
              </w:rPr>
              <w:t>2024</w:t>
            </w:r>
          </w:p>
        </w:tc>
        <w:tc>
          <w:tcPr>
            <w:tcW w:w="567" w:type="pct"/>
            <w:shd w:val="clear" w:color="auto" w:fill="EEECE1" w:themeFill="background2"/>
          </w:tcPr>
          <w:p>
            <w:pPr>
              <w:jc w:val="center"/>
              <w:rPr>
                <w:rFonts w:eastAsia="Times New Roman"/>
                <w:b/>
                <w:bCs/>
                <w:noProof/>
              </w:rPr>
            </w:pPr>
            <w:r>
              <w:rPr>
                <w:b/>
                <w:bCs/>
                <w:i/>
                <w:iCs/>
                <w:noProof/>
              </w:rPr>
              <w:t>Бележки**</w:t>
            </w:r>
          </w:p>
        </w:tc>
      </w:tr>
      <w:tr>
        <w:tc>
          <w:tcPr>
            <w:tcW w:w="1727" w:type="pct"/>
          </w:tcPr>
          <w:p>
            <w:pPr>
              <w:rPr>
                <w:noProof/>
              </w:rPr>
            </w:pPr>
            <w:r>
              <w:rPr>
                <w:noProof/>
              </w:rPr>
              <w:t>Нереализирани данъчни приходи</w:t>
            </w:r>
          </w:p>
        </w:tc>
        <w:tc>
          <w:tcPr>
            <w:tcW w:w="413" w:type="pct"/>
          </w:tcPr>
          <w:p>
            <w:pPr>
              <w:rPr>
                <w:noProof/>
              </w:rPr>
            </w:pPr>
          </w:p>
        </w:tc>
        <w:tc>
          <w:tcPr>
            <w:tcW w:w="488" w:type="pct"/>
          </w:tcPr>
          <w:p>
            <w:pPr>
              <w:rPr>
                <w:noProof/>
              </w:rPr>
            </w:pPr>
          </w:p>
        </w:tc>
        <w:tc>
          <w:tcPr>
            <w:tcW w:w="489" w:type="pct"/>
          </w:tcPr>
          <w:p>
            <w:pPr>
              <w:rPr>
                <w:noProof/>
              </w:rPr>
            </w:pPr>
          </w:p>
        </w:tc>
        <w:tc>
          <w:tcPr>
            <w:tcW w:w="413" w:type="pct"/>
          </w:tcPr>
          <w:p>
            <w:pPr>
              <w:rPr>
                <w:noProof/>
              </w:rPr>
            </w:pPr>
          </w:p>
        </w:tc>
        <w:tc>
          <w:tcPr>
            <w:tcW w:w="413" w:type="pct"/>
          </w:tcPr>
          <w:p>
            <w:pPr>
              <w:rPr>
                <w:noProof/>
              </w:rPr>
            </w:pPr>
          </w:p>
        </w:tc>
        <w:tc>
          <w:tcPr>
            <w:tcW w:w="489" w:type="pct"/>
          </w:tcPr>
          <w:p>
            <w:pPr>
              <w:rPr>
                <w:noProof/>
              </w:rPr>
            </w:pPr>
          </w:p>
        </w:tc>
        <w:tc>
          <w:tcPr>
            <w:tcW w:w="567" w:type="pct"/>
          </w:tcPr>
          <w:p>
            <w:pPr>
              <w:rPr>
                <w:noProof/>
              </w:rPr>
            </w:pPr>
          </w:p>
        </w:tc>
      </w:tr>
      <w:tr>
        <w:tc>
          <w:tcPr>
            <w:tcW w:w="1727" w:type="pct"/>
          </w:tcPr>
          <w:p>
            <w:pPr>
              <w:rPr>
                <w:noProof/>
              </w:rPr>
            </w:pPr>
            <w:r>
              <w:rPr>
                <w:noProof/>
              </w:rPr>
              <w:t>Данъчни постъпления – внос</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r>
        <w:tc>
          <w:tcPr>
            <w:tcW w:w="1727" w:type="pct"/>
          </w:tcPr>
          <w:p>
            <w:pPr>
              <w:rPr>
                <w:noProof/>
              </w:rPr>
            </w:pPr>
            <w:r>
              <w:rPr>
                <w:noProof/>
              </w:rPr>
              <w:t>Данъчни постъпления – местно производство</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bl>
    <w:p>
      <w:pPr>
        <w:rPr>
          <w:iCs/>
          <w:noProof/>
          <w:sz w:val="20"/>
          <w:szCs w:val="20"/>
        </w:rPr>
      </w:pPr>
      <w:r>
        <w:rPr>
          <w:bCs/>
          <w:iCs/>
          <w:noProof/>
          <w:sz w:val="20"/>
          <w:szCs w:val="20"/>
        </w:rPr>
        <w:t>Бележки към таблицата</w:t>
      </w:r>
      <w:r>
        <w:rPr>
          <w:iCs/>
          <w:noProof/>
          <w:sz w:val="20"/>
          <w:szCs w:val="20"/>
        </w:rPr>
        <w:t xml:space="preserve">: </w:t>
      </w:r>
    </w:p>
    <w:p>
      <w:pPr>
        <w:pStyle w:val="Point0number"/>
        <w:numPr>
          <w:ilvl w:val="0"/>
          <w:numId w:val="8"/>
        </w:numPr>
        <w:rPr>
          <w:noProof/>
          <w:sz w:val="20"/>
          <w:szCs w:val="20"/>
        </w:rPr>
      </w:pPr>
      <w:r>
        <w:rPr>
          <w:noProof/>
          <w:sz w:val="20"/>
          <w:szCs w:val="20"/>
        </w:rPr>
        <w:t xml:space="preserve">„нереализирани данъчни приходи“: общият размер (в EUR) на несъбрания данък поради данъчните разлики, приложени за продукти местно производство (намаления/освобождавания). На ниво продукт те се изчисляват, като се умножи стойността на продадената продукция на местния пазар (т.е. износът се изважда) по приложената данъчна разлика. След това показателят се изчислява, като се сумират прогнозите на ниво продукти.       </w:t>
      </w:r>
    </w:p>
    <w:p>
      <w:pPr>
        <w:pStyle w:val="Point0number"/>
        <w:rPr>
          <w:noProof/>
          <w:sz w:val="20"/>
          <w:szCs w:val="20"/>
        </w:rPr>
      </w:pPr>
      <w:r>
        <w:rPr>
          <w:noProof/>
          <w:sz w:val="20"/>
          <w:szCs w:val="20"/>
        </w:rPr>
        <w:t xml:space="preserve">„данъчни постъпления – внос“: общият размер (в EUR) на данъка, наложен върху вноса на облагаеми продукти. </w:t>
      </w:r>
    </w:p>
    <w:p>
      <w:pPr>
        <w:pStyle w:val="Point0number"/>
        <w:rPr>
          <w:noProof/>
          <w:sz w:val="20"/>
          <w:szCs w:val="20"/>
        </w:rPr>
      </w:pPr>
      <w:r>
        <w:rPr>
          <w:noProof/>
          <w:sz w:val="20"/>
          <w:szCs w:val="20"/>
        </w:rPr>
        <w:t xml:space="preserve">„данъчни постъпления – продукти местно производство“: общият размер (в EUR) на данъка, наложен върху вноса на облагаемите продукти. </w:t>
      </w:r>
    </w:p>
    <w:p>
      <w:pPr>
        <w:pStyle w:val="Point0number"/>
        <w:rPr>
          <w:noProof/>
          <w:sz w:val="20"/>
          <w:szCs w:val="20"/>
        </w:rPr>
      </w:pPr>
      <w:r>
        <w:rPr>
          <w:noProof/>
          <w:sz w:val="20"/>
          <w:szCs w:val="20"/>
        </w:rPr>
        <w:t>(*) информацията може да не е налична за всички изброени години.</w:t>
      </w:r>
    </w:p>
    <w:p>
      <w:pPr>
        <w:pStyle w:val="Point0number"/>
        <w:rPr>
          <w:noProof/>
          <w:sz w:val="20"/>
          <w:szCs w:val="20"/>
        </w:rPr>
      </w:pPr>
      <w:r>
        <w:rPr>
          <w:noProof/>
          <w:sz w:val="20"/>
          <w:szCs w:val="20"/>
        </w:rPr>
        <w:t>(**) посочете коментари и разяснения, които считате за уместни.</w:t>
      </w:r>
    </w:p>
    <w:p>
      <w:pPr>
        <w:rPr>
          <w:noProof/>
          <w:u w:val="single"/>
        </w:rPr>
      </w:pPr>
    </w:p>
    <w:p>
      <w:pPr>
        <w:rPr>
          <w:noProof/>
        </w:rPr>
      </w:pPr>
      <w:r>
        <w:rPr>
          <w:noProof/>
          <w:u w:val="single"/>
        </w:rPr>
        <w:t>4. Въздействие върху общите икономически резултати</w:t>
      </w:r>
      <w:r>
        <w:rPr>
          <w:noProof/>
        </w:rPr>
        <w:t>. Испанските органи попълват таблица 2, като предоставят данни относно въздействието на намалените данъци върху социално-икономическото развитие на региона. Показателите, които се изискват в таблицата, се отнасят за резултатите на подпомаганите сектори в сравнение с общите резултати на регионалната икономика. Ако някои показатели не са налични, се включват алтернативни данни за отчитане на общите социално-икономически резултати на региона.</w:t>
      </w:r>
    </w:p>
    <w:p>
      <w:pPr>
        <w:rPr>
          <w:noProof/>
        </w:rPr>
      </w:pPr>
      <w:r>
        <w:rPr>
          <w:noProof/>
        </w:rPr>
        <w:t>Таблица 2</w:t>
      </w:r>
    </w:p>
    <w:tbl>
      <w:tblPr>
        <w:tblStyle w:val="TableGrid"/>
        <w:tblW w:w="5000" w:type="pct"/>
        <w:tblLook w:val="04A0" w:firstRow="1" w:lastRow="0" w:firstColumn="1" w:lastColumn="0" w:noHBand="0" w:noVBand="1"/>
      </w:tblPr>
      <w:tblGrid>
        <w:gridCol w:w="2952"/>
        <w:gridCol w:w="818"/>
        <w:gridCol w:w="818"/>
        <w:gridCol w:w="818"/>
        <w:gridCol w:w="818"/>
        <w:gridCol w:w="818"/>
        <w:gridCol w:w="818"/>
        <w:gridCol w:w="1429"/>
      </w:tblGrid>
      <w:tr>
        <w:tc>
          <w:tcPr>
            <w:tcW w:w="1619" w:type="pct"/>
            <w:shd w:val="clear" w:color="auto" w:fill="EEECE1" w:themeFill="background2"/>
          </w:tcPr>
          <w:p>
            <w:pPr>
              <w:jc w:val="right"/>
              <w:rPr>
                <w:b/>
                <w:bCs/>
                <w:noProof/>
              </w:rPr>
            </w:pPr>
            <w:r>
              <w:rPr>
                <w:b/>
                <w:bCs/>
                <w:noProof/>
              </w:rPr>
              <w:t>Година*</w:t>
            </w:r>
          </w:p>
        </w:tc>
        <w:tc>
          <w:tcPr>
            <w:tcW w:w="470" w:type="pct"/>
            <w:shd w:val="clear" w:color="auto" w:fill="EEECE1" w:themeFill="background2"/>
          </w:tcPr>
          <w:p>
            <w:pPr>
              <w:jc w:val="center"/>
              <w:rPr>
                <w:b/>
                <w:bCs/>
                <w:noProof/>
              </w:rPr>
            </w:pPr>
            <w:r>
              <w:rPr>
                <w:b/>
                <w:bCs/>
                <w:noProof/>
              </w:rPr>
              <w:t>2019</w:t>
            </w:r>
          </w:p>
        </w:tc>
        <w:tc>
          <w:tcPr>
            <w:tcW w:w="470" w:type="pct"/>
            <w:shd w:val="clear" w:color="auto" w:fill="EEECE1" w:themeFill="background2"/>
          </w:tcPr>
          <w:p>
            <w:pPr>
              <w:jc w:val="center"/>
              <w:rPr>
                <w:b/>
                <w:bCs/>
                <w:noProof/>
              </w:rPr>
            </w:pPr>
            <w:r>
              <w:rPr>
                <w:b/>
                <w:bCs/>
                <w:noProof/>
              </w:rPr>
              <w:t>2020</w:t>
            </w:r>
          </w:p>
        </w:tc>
        <w:tc>
          <w:tcPr>
            <w:tcW w:w="470" w:type="pct"/>
            <w:shd w:val="clear" w:color="auto" w:fill="EEECE1" w:themeFill="background2"/>
          </w:tcPr>
          <w:p>
            <w:pPr>
              <w:jc w:val="center"/>
              <w:rPr>
                <w:b/>
                <w:bCs/>
                <w:noProof/>
              </w:rPr>
            </w:pPr>
            <w:r>
              <w:rPr>
                <w:b/>
                <w:bCs/>
                <w:noProof/>
              </w:rPr>
              <w:t>2021</w:t>
            </w:r>
          </w:p>
        </w:tc>
        <w:tc>
          <w:tcPr>
            <w:tcW w:w="470" w:type="pct"/>
            <w:shd w:val="clear" w:color="auto" w:fill="EEECE1" w:themeFill="background2"/>
          </w:tcPr>
          <w:p>
            <w:pPr>
              <w:jc w:val="center"/>
              <w:rPr>
                <w:b/>
                <w:bCs/>
                <w:noProof/>
              </w:rPr>
            </w:pPr>
            <w:r>
              <w:rPr>
                <w:b/>
                <w:bCs/>
                <w:noProof/>
              </w:rPr>
              <w:t>2022</w:t>
            </w:r>
          </w:p>
        </w:tc>
        <w:tc>
          <w:tcPr>
            <w:tcW w:w="470" w:type="pct"/>
            <w:shd w:val="clear" w:color="auto" w:fill="EEECE1" w:themeFill="background2"/>
          </w:tcPr>
          <w:p>
            <w:pPr>
              <w:jc w:val="center"/>
              <w:rPr>
                <w:b/>
                <w:bCs/>
                <w:noProof/>
              </w:rPr>
            </w:pPr>
            <w:r>
              <w:rPr>
                <w:b/>
                <w:bCs/>
                <w:noProof/>
              </w:rPr>
              <w:t>2023</w:t>
            </w:r>
          </w:p>
        </w:tc>
        <w:tc>
          <w:tcPr>
            <w:tcW w:w="470" w:type="pct"/>
            <w:shd w:val="clear" w:color="auto" w:fill="EEECE1" w:themeFill="background2"/>
          </w:tcPr>
          <w:p>
            <w:pPr>
              <w:jc w:val="center"/>
              <w:rPr>
                <w:b/>
                <w:bCs/>
                <w:noProof/>
              </w:rPr>
            </w:pPr>
            <w:r>
              <w:rPr>
                <w:b/>
                <w:bCs/>
                <w:noProof/>
              </w:rPr>
              <w:t>2024</w:t>
            </w:r>
          </w:p>
        </w:tc>
        <w:tc>
          <w:tcPr>
            <w:tcW w:w="562" w:type="pct"/>
            <w:shd w:val="clear" w:color="auto" w:fill="EEECE1" w:themeFill="background2"/>
          </w:tcPr>
          <w:p>
            <w:pPr>
              <w:jc w:val="center"/>
              <w:rPr>
                <w:noProof/>
              </w:rPr>
            </w:pPr>
            <w:r>
              <w:rPr>
                <w:b/>
                <w:bCs/>
                <w:i/>
                <w:iCs/>
                <w:noProof/>
              </w:rPr>
              <w:t>Бележки**</w:t>
            </w:r>
          </w:p>
        </w:tc>
      </w:tr>
      <w:tr>
        <w:tc>
          <w:tcPr>
            <w:tcW w:w="1619" w:type="pct"/>
          </w:tcPr>
          <w:p>
            <w:pPr>
              <w:rPr>
                <w:noProof/>
              </w:rPr>
            </w:pPr>
            <w:r>
              <w:rPr>
                <w:noProof/>
              </w:rPr>
              <w:t xml:space="preserve">Регионална брутна добавена стойност </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pStyle w:val="ListParagraph"/>
              <w:numPr>
                <w:ilvl w:val="0"/>
                <w:numId w:val="1"/>
              </w:numPr>
              <w:spacing w:before="0" w:after="0"/>
              <w:contextualSpacing w:val="0"/>
              <w:jc w:val="left"/>
              <w:rPr>
                <w:i/>
                <w:iCs/>
                <w:noProof/>
              </w:rPr>
            </w:pPr>
            <w:r>
              <w:rPr>
                <w:i/>
                <w:iCs/>
                <w:noProof/>
              </w:rPr>
              <w:t>В подкрепяните сектори</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rPr>
                <w:noProof/>
              </w:rPr>
            </w:pPr>
            <w:r>
              <w:rPr>
                <w:noProof/>
              </w:rPr>
              <w:t xml:space="preserve">Обща регионална заетост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i/>
                <w:iCs/>
                <w:noProof/>
              </w:rPr>
            </w:pPr>
            <w:r>
              <w:rPr>
                <w:i/>
                <w:iCs/>
                <w:noProof/>
              </w:rPr>
              <w:t>В подкрепяните сектори</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 xml:space="preserve">Брой активни предприятия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noProof/>
              </w:rPr>
            </w:pPr>
            <w:r>
              <w:rPr>
                <w:i/>
                <w:iCs/>
                <w:noProof/>
              </w:rPr>
              <w:t>В подкрепяните сектори</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Индекс на равнищата на цените — континентална част</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Индекс на равнищата на цените — регион</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bl>
    <w:p>
      <w:pPr>
        <w:rPr>
          <w:iCs/>
          <w:noProof/>
          <w:sz w:val="20"/>
          <w:szCs w:val="20"/>
        </w:rPr>
      </w:pPr>
      <w:r>
        <w:rPr>
          <w:bCs/>
          <w:iCs/>
          <w:noProof/>
          <w:sz w:val="20"/>
          <w:szCs w:val="20"/>
        </w:rPr>
        <w:t>Бележки към таблицата</w:t>
      </w:r>
      <w:r>
        <w:rPr>
          <w:iCs/>
          <w:noProof/>
          <w:sz w:val="20"/>
          <w:szCs w:val="20"/>
        </w:rPr>
        <w:t xml:space="preserve">: </w:t>
      </w:r>
    </w:p>
    <w:p>
      <w:pPr>
        <w:pStyle w:val="Point0number"/>
        <w:numPr>
          <w:ilvl w:val="0"/>
          <w:numId w:val="14"/>
        </w:numPr>
        <w:rPr>
          <w:noProof/>
          <w:sz w:val="20"/>
          <w:szCs w:val="20"/>
        </w:rPr>
      </w:pPr>
      <w:r>
        <w:rPr>
          <w:noProof/>
          <w:sz w:val="20"/>
          <w:szCs w:val="20"/>
        </w:rPr>
        <w:t xml:space="preserve"> „подкрепяни сектори“: икономическите сектори (съгласно определението по NACE или подобна класификация), в които производството се възползва предимно (по производствен обем) от данъчни облекчения/освобождавания.       </w:t>
      </w:r>
    </w:p>
    <w:p>
      <w:pPr>
        <w:pStyle w:val="Point0number"/>
        <w:numPr>
          <w:ilvl w:val="0"/>
          <w:numId w:val="6"/>
        </w:numPr>
        <w:rPr>
          <w:noProof/>
          <w:sz w:val="20"/>
          <w:szCs w:val="20"/>
        </w:rPr>
      </w:pPr>
      <w:r>
        <w:rPr>
          <w:noProof/>
          <w:sz w:val="20"/>
          <w:szCs w:val="20"/>
        </w:rPr>
        <w:t>(*) информацията може да не е налична за всички изброени години.</w:t>
      </w:r>
    </w:p>
    <w:p>
      <w:pPr>
        <w:pStyle w:val="Point0number"/>
        <w:numPr>
          <w:ilvl w:val="0"/>
          <w:numId w:val="6"/>
        </w:numPr>
        <w:rPr>
          <w:noProof/>
          <w:sz w:val="20"/>
          <w:szCs w:val="20"/>
        </w:rPr>
      </w:pPr>
      <w:r>
        <w:rPr>
          <w:noProof/>
          <w:sz w:val="20"/>
          <w:szCs w:val="20"/>
        </w:rPr>
        <w:t>(**) посочете коментари и разяснения, които считате за уместни.</w:t>
      </w:r>
    </w:p>
    <w:p>
      <w:pPr>
        <w:ind w:left="360"/>
        <w:rPr>
          <w:noProof/>
        </w:rPr>
      </w:pPr>
    </w:p>
    <w:p>
      <w:pPr>
        <w:rPr>
          <w:noProof/>
        </w:rPr>
      </w:pPr>
      <w:r>
        <w:rPr>
          <w:noProof/>
          <w:u w:val="single"/>
        </w:rPr>
        <w:t>5. Спецификации на режима</w:t>
      </w:r>
      <w:r>
        <w:rPr>
          <w:noProof/>
        </w:rPr>
        <w:t xml:space="preserve">. Испанските органи попълват таблици 3 и 4 за всеки продукт (четирицифрен код по КН, шестцифрен код по КН, осемцифрен код по КН или десетцифрен код по ТАРИК, според случая) и по години (от 2019 до 2024 г.). Списъкът съдържа само продукти, за които се прилагат диференцирани данъчни ставки. </w:t>
      </w:r>
    </w:p>
    <w:p>
      <w:pPr>
        <w:rPr>
          <w:noProof/>
        </w:rPr>
      </w:pPr>
    </w:p>
    <w:p>
      <w:pPr>
        <w:rPr>
          <w:noProof/>
        </w:rPr>
      </w:pPr>
      <w:bookmarkStart w:id="1" w:name="_Hlk33784657"/>
      <w:r>
        <w:rPr>
          <w:noProof/>
        </w:rPr>
        <w:t xml:space="preserve">Таблица 3. Идентифициране на продукти и приложени ставки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50"/>
        <w:gridCol w:w="790"/>
        <w:gridCol w:w="1401"/>
        <w:gridCol w:w="1515"/>
        <w:gridCol w:w="891"/>
        <w:gridCol w:w="1060"/>
        <w:gridCol w:w="1169"/>
        <w:gridCol w:w="1137"/>
      </w:tblGrid>
      <w:tr>
        <w:trPr>
          <w:jc w:val="center"/>
        </w:trPr>
        <w:tc>
          <w:tcPr>
            <w:tcW w:w="663" w:type="pct"/>
            <w:shd w:val="clear" w:color="auto" w:fill="EEECE1" w:themeFill="background2"/>
            <w:vAlign w:val="center"/>
            <w:hideMark/>
          </w:tcPr>
          <w:bookmarkEnd w:id="1"/>
          <w:p>
            <w:pPr>
              <w:rPr>
                <w:rFonts w:eastAsia="Times New Roman"/>
                <w:b/>
                <w:bCs/>
                <w:noProof/>
              </w:rPr>
            </w:pPr>
            <w:r>
              <w:rPr>
                <w:b/>
                <w:bCs/>
                <w:noProof/>
              </w:rPr>
              <w:t xml:space="preserve">Подкрепяни продукти – код по КН (4, 6, 8 или 10 цифри) </w:t>
            </w:r>
          </w:p>
        </w:tc>
        <w:tc>
          <w:tcPr>
            <w:tcW w:w="396" w:type="pct"/>
            <w:shd w:val="clear" w:color="auto" w:fill="EEECE1" w:themeFill="background2"/>
            <w:vAlign w:val="center"/>
          </w:tcPr>
          <w:p>
            <w:pPr>
              <w:rPr>
                <w:rFonts w:eastAsia="Times New Roman"/>
                <w:b/>
                <w:bCs/>
                <w:noProof/>
              </w:rPr>
            </w:pPr>
            <w:r>
              <w:rPr>
                <w:b/>
                <w:bCs/>
                <w:noProof/>
              </w:rPr>
              <w:t>Година</w:t>
            </w:r>
          </w:p>
        </w:tc>
        <w:tc>
          <w:tcPr>
            <w:tcW w:w="605" w:type="pct"/>
            <w:shd w:val="clear" w:color="auto" w:fill="EEECE1" w:themeFill="background2"/>
            <w:vAlign w:val="center"/>
            <w:hideMark/>
          </w:tcPr>
          <w:p>
            <w:pPr>
              <w:rPr>
                <w:rFonts w:eastAsia="Times New Roman"/>
                <w:b/>
                <w:bCs/>
                <w:noProof/>
              </w:rPr>
            </w:pPr>
            <w:r>
              <w:rPr>
                <w:b/>
                <w:bCs/>
                <w:noProof/>
              </w:rPr>
              <w:t xml:space="preserve"> Одобрена категория КН</w:t>
            </w:r>
          </w:p>
        </w:tc>
        <w:tc>
          <w:tcPr>
            <w:tcW w:w="822" w:type="pct"/>
            <w:shd w:val="clear" w:color="auto" w:fill="EEECE1" w:themeFill="background2"/>
            <w:vAlign w:val="center"/>
            <w:hideMark/>
          </w:tcPr>
          <w:p>
            <w:pPr>
              <w:rPr>
                <w:rFonts w:eastAsia="Times New Roman"/>
                <w:b/>
                <w:bCs/>
                <w:noProof/>
              </w:rPr>
            </w:pPr>
            <w:r>
              <w:rPr>
                <w:b/>
                <w:bCs/>
                <w:noProof/>
              </w:rPr>
              <w:t xml:space="preserve">Спецификации на кода </w:t>
            </w:r>
          </w:p>
        </w:tc>
        <w:tc>
          <w:tcPr>
            <w:tcW w:w="774" w:type="pct"/>
            <w:shd w:val="clear" w:color="auto" w:fill="EEECE1" w:themeFill="background2"/>
            <w:vAlign w:val="center"/>
            <w:hideMark/>
          </w:tcPr>
          <w:p>
            <w:pPr>
              <w:rPr>
                <w:rFonts w:eastAsia="Times New Roman"/>
                <w:b/>
                <w:bCs/>
                <w:noProof/>
              </w:rPr>
            </w:pPr>
            <w:r>
              <w:rPr>
                <w:b/>
                <w:bCs/>
                <w:noProof/>
              </w:rPr>
              <w:t xml:space="preserve">Външна данъчна ставка </w:t>
            </w:r>
          </w:p>
        </w:tc>
        <w:tc>
          <w:tcPr>
            <w:tcW w:w="532" w:type="pct"/>
            <w:shd w:val="clear" w:color="auto" w:fill="EEECE1" w:themeFill="background2"/>
            <w:vAlign w:val="center"/>
            <w:hideMark/>
          </w:tcPr>
          <w:p>
            <w:pPr>
              <w:rPr>
                <w:rFonts w:eastAsia="Times New Roman"/>
                <w:b/>
                <w:bCs/>
                <w:noProof/>
              </w:rPr>
            </w:pPr>
            <w:r>
              <w:rPr>
                <w:b/>
                <w:bCs/>
                <w:noProof/>
              </w:rPr>
              <w:t xml:space="preserve">Вътрешна данъчна ставка </w:t>
            </w:r>
          </w:p>
        </w:tc>
        <w:tc>
          <w:tcPr>
            <w:tcW w:w="698" w:type="pct"/>
            <w:shd w:val="clear" w:color="auto" w:fill="EEECE1" w:themeFill="background2"/>
            <w:vAlign w:val="center"/>
            <w:hideMark/>
          </w:tcPr>
          <w:p>
            <w:pPr>
              <w:rPr>
                <w:rFonts w:eastAsia="Times New Roman"/>
                <w:b/>
                <w:bCs/>
                <w:noProof/>
              </w:rPr>
            </w:pPr>
            <w:r>
              <w:rPr>
                <w:b/>
                <w:bCs/>
                <w:noProof/>
              </w:rPr>
              <w:t>Приложена данъчна разлика</w:t>
            </w:r>
          </w:p>
        </w:tc>
        <w:tc>
          <w:tcPr>
            <w:tcW w:w="510" w:type="pct"/>
            <w:shd w:val="clear" w:color="auto" w:fill="EEECE1" w:themeFill="background2"/>
            <w:vAlign w:val="center"/>
          </w:tcPr>
          <w:p>
            <w:pPr>
              <w:rPr>
                <w:rFonts w:eastAsia="Times New Roman"/>
                <w:b/>
                <w:bCs/>
                <w:i/>
                <w:iCs/>
                <w:noProof/>
              </w:rPr>
            </w:pPr>
            <w:r>
              <w:rPr>
                <w:b/>
                <w:bCs/>
                <w:i/>
                <w:iCs/>
                <w:noProof/>
              </w:rPr>
              <w:t>Бележки**</w:t>
            </w:r>
          </w:p>
        </w:tc>
      </w:tr>
      <w:tr>
        <w:trPr>
          <w:jc w:val="center"/>
        </w:trPr>
        <w:tc>
          <w:tcPr>
            <w:tcW w:w="663" w:type="pct"/>
            <w:shd w:val="clear" w:color="auto" w:fill="auto"/>
            <w:vAlign w:val="center"/>
            <w:hideMark/>
          </w:tcPr>
          <w:p>
            <w:pPr>
              <w:rPr>
                <w:rFonts w:eastAsia="Times New Roman"/>
                <w:i/>
                <w:iCs/>
                <w:noProof/>
                <w:lang w:eastAsia="it-IT"/>
              </w:rPr>
            </w:pPr>
          </w:p>
        </w:tc>
        <w:tc>
          <w:tcPr>
            <w:tcW w:w="396" w:type="pct"/>
            <w:shd w:val="clear" w:color="auto" w:fill="auto"/>
          </w:tcPr>
          <w:p>
            <w:pPr>
              <w:rPr>
                <w:rFonts w:eastAsia="Times New Roman"/>
                <w:noProof/>
              </w:rPr>
            </w:pPr>
            <w:r>
              <w:rPr>
                <w:noProof/>
              </w:rPr>
              <w:t>2019</w:t>
            </w:r>
          </w:p>
        </w:tc>
        <w:tc>
          <w:tcPr>
            <w:tcW w:w="605" w:type="pct"/>
            <w:shd w:val="clear" w:color="auto" w:fill="auto"/>
            <w:vAlign w:val="center"/>
            <w:hideMark/>
          </w:tcPr>
          <w:p>
            <w:pPr>
              <w:rPr>
                <w:rFonts w:eastAsia="Times New Roman"/>
                <w:noProof/>
              </w:rPr>
            </w:pPr>
            <w:r>
              <w:rPr>
                <w:noProof/>
              </w:rPr>
              <w:t xml:space="preserve"> </w:t>
            </w:r>
          </w:p>
        </w:tc>
        <w:tc>
          <w:tcPr>
            <w:tcW w:w="822" w:type="pct"/>
            <w:shd w:val="clear" w:color="auto" w:fill="auto"/>
            <w:vAlign w:val="center"/>
            <w:hideMark/>
          </w:tcPr>
          <w:p>
            <w:pPr>
              <w:rPr>
                <w:rFonts w:eastAsia="Times New Roman"/>
                <w:noProof/>
              </w:rPr>
            </w:pPr>
            <w:r>
              <w:rPr>
                <w:noProof/>
              </w:rPr>
              <w:t xml:space="preserve"> </w:t>
            </w:r>
          </w:p>
        </w:tc>
        <w:tc>
          <w:tcPr>
            <w:tcW w:w="774" w:type="pct"/>
            <w:shd w:val="clear" w:color="auto" w:fill="auto"/>
            <w:vAlign w:val="center"/>
            <w:hideMark/>
          </w:tcPr>
          <w:p>
            <w:pPr>
              <w:rPr>
                <w:rFonts w:eastAsia="Times New Roman"/>
                <w:noProof/>
              </w:rPr>
            </w:pPr>
            <w:r>
              <w:rPr>
                <w:noProof/>
              </w:rPr>
              <w:t xml:space="preserve"> </w:t>
            </w:r>
          </w:p>
        </w:tc>
        <w:tc>
          <w:tcPr>
            <w:tcW w:w="532" w:type="pct"/>
            <w:shd w:val="clear" w:color="auto" w:fill="auto"/>
            <w:vAlign w:val="center"/>
            <w:hideMark/>
          </w:tcPr>
          <w:p>
            <w:pPr>
              <w:rPr>
                <w:rFonts w:eastAsia="Times New Roman"/>
                <w:noProof/>
              </w:rPr>
            </w:pPr>
            <w:r>
              <w:rPr>
                <w:noProof/>
              </w:rPr>
              <w:t xml:space="preserve"> </w:t>
            </w:r>
          </w:p>
        </w:tc>
        <w:tc>
          <w:tcPr>
            <w:tcW w:w="698" w:type="pct"/>
            <w:shd w:val="clear" w:color="auto" w:fill="auto"/>
            <w:vAlign w:val="center"/>
            <w:hideMark/>
          </w:tcPr>
          <w:p>
            <w:pPr>
              <w:rPr>
                <w:rFonts w:eastAsia="Times New Roman"/>
                <w:noProof/>
              </w:rPr>
            </w:pPr>
            <w:r>
              <w:rPr>
                <w:noProof/>
              </w:rPr>
              <w:t xml:space="preserve"> </w:t>
            </w: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hideMark/>
          </w:tcPr>
          <w:p>
            <w:pPr>
              <w:rPr>
                <w:rFonts w:eastAsia="Times New Roman"/>
                <w:i/>
                <w:iCs/>
                <w:noProof/>
                <w:lang w:eastAsia="it-IT"/>
              </w:rPr>
            </w:pPr>
          </w:p>
        </w:tc>
        <w:tc>
          <w:tcPr>
            <w:tcW w:w="396" w:type="pct"/>
            <w:shd w:val="clear" w:color="auto" w:fill="auto"/>
          </w:tcPr>
          <w:p>
            <w:pPr>
              <w:rPr>
                <w:rFonts w:eastAsia="Times New Roman"/>
                <w:noProof/>
              </w:rPr>
            </w:pPr>
            <w:r>
              <w:rPr>
                <w:noProof/>
              </w:rPr>
              <w:t>2020</w:t>
            </w:r>
          </w:p>
        </w:tc>
        <w:tc>
          <w:tcPr>
            <w:tcW w:w="605" w:type="pct"/>
            <w:shd w:val="clear" w:color="auto" w:fill="auto"/>
            <w:vAlign w:val="center"/>
            <w:hideMark/>
          </w:tcPr>
          <w:p>
            <w:pPr>
              <w:rPr>
                <w:rFonts w:eastAsia="Times New Roman"/>
                <w:noProof/>
              </w:rPr>
            </w:pPr>
            <w:r>
              <w:rPr>
                <w:noProof/>
              </w:rPr>
              <w:t xml:space="preserve"> </w:t>
            </w:r>
          </w:p>
        </w:tc>
        <w:tc>
          <w:tcPr>
            <w:tcW w:w="822" w:type="pct"/>
            <w:shd w:val="clear" w:color="auto" w:fill="auto"/>
            <w:vAlign w:val="center"/>
            <w:hideMark/>
          </w:tcPr>
          <w:p>
            <w:pPr>
              <w:rPr>
                <w:rFonts w:eastAsia="Times New Roman"/>
                <w:noProof/>
              </w:rPr>
            </w:pPr>
            <w:r>
              <w:rPr>
                <w:noProof/>
              </w:rPr>
              <w:t xml:space="preserve"> </w:t>
            </w:r>
          </w:p>
        </w:tc>
        <w:tc>
          <w:tcPr>
            <w:tcW w:w="774" w:type="pct"/>
            <w:shd w:val="clear" w:color="auto" w:fill="auto"/>
            <w:vAlign w:val="center"/>
            <w:hideMark/>
          </w:tcPr>
          <w:p>
            <w:pPr>
              <w:rPr>
                <w:rFonts w:eastAsia="Times New Roman"/>
                <w:noProof/>
              </w:rPr>
            </w:pPr>
            <w:r>
              <w:rPr>
                <w:noProof/>
              </w:rPr>
              <w:t xml:space="preserve"> </w:t>
            </w:r>
          </w:p>
        </w:tc>
        <w:tc>
          <w:tcPr>
            <w:tcW w:w="532" w:type="pct"/>
            <w:shd w:val="clear" w:color="auto" w:fill="auto"/>
            <w:vAlign w:val="center"/>
            <w:hideMark/>
          </w:tcPr>
          <w:p>
            <w:pPr>
              <w:rPr>
                <w:rFonts w:eastAsia="Times New Roman"/>
                <w:noProof/>
              </w:rPr>
            </w:pPr>
            <w:r>
              <w:rPr>
                <w:noProof/>
              </w:rPr>
              <w:t xml:space="preserve"> </w:t>
            </w:r>
          </w:p>
        </w:tc>
        <w:tc>
          <w:tcPr>
            <w:tcW w:w="698" w:type="pct"/>
            <w:shd w:val="clear" w:color="auto" w:fill="auto"/>
            <w:vAlign w:val="center"/>
            <w:hideMark/>
          </w:tcPr>
          <w:p>
            <w:pPr>
              <w:rPr>
                <w:rFonts w:eastAsia="Times New Roman"/>
                <w:noProof/>
              </w:rPr>
            </w:pPr>
            <w:r>
              <w:rPr>
                <w:noProof/>
              </w:rPr>
              <w:t xml:space="preserve"> </w:t>
            </w: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396" w:type="pct"/>
            <w:shd w:val="clear" w:color="auto" w:fill="auto"/>
          </w:tcPr>
          <w:p>
            <w:pPr>
              <w:rPr>
                <w:rFonts w:eastAsia="Times New Roman"/>
                <w:noProof/>
              </w:rPr>
            </w:pPr>
            <w:r>
              <w:rPr>
                <w:noProof/>
              </w:rPr>
              <w:t>2021</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396" w:type="pct"/>
            <w:shd w:val="clear" w:color="auto" w:fill="auto"/>
          </w:tcPr>
          <w:p>
            <w:pPr>
              <w:rPr>
                <w:rFonts w:eastAsia="Times New Roman"/>
                <w:noProof/>
              </w:rPr>
            </w:pPr>
            <w:r>
              <w:rPr>
                <w:noProof/>
              </w:rPr>
              <w:t>2022</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396" w:type="pct"/>
            <w:shd w:val="clear" w:color="auto" w:fill="auto"/>
          </w:tcPr>
          <w:p>
            <w:pPr>
              <w:rPr>
                <w:rFonts w:eastAsia="Times New Roman"/>
                <w:noProof/>
              </w:rPr>
            </w:pPr>
            <w:r>
              <w:rPr>
                <w:noProof/>
              </w:rPr>
              <w:t>2023</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bl>
    <w:p>
      <w:pPr>
        <w:rPr>
          <w:bCs/>
          <w:iCs/>
          <w:noProof/>
          <w:sz w:val="20"/>
          <w:szCs w:val="20"/>
        </w:rPr>
      </w:pPr>
      <w:r>
        <w:rPr>
          <w:bCs/>
          <w:iCs/>
          <w:noProof/>
          <w:sz w:val="20"/>
          <w:szCs w:val="20"/>
        </w:rPr>
        <w:t>Бележки към таблицата:</w:t>
      </w:r>
    </w:p>
    <w:p>
      <w:pPr>
        <w:pStyle w:val="Point0number"/>
        <w:numPr>
          <w:ilvl w:val="0"/>
          <w:numId w:val="13"/>
        </w:numPr>
        <w:rPr>
          <w:noProof/>
          <w:sz w:val="20"/>
        </w:rPr>
      </w:pPr>
      <w:r>
        <w:rPr>
          <w:noProof/>
          <w:sz w:val="20"/>
        </w:rPr>
        <w:t>„одобрена категория КН4“: категорията, обозначена с четирицифрен код по КН, одобрена с настоящото решение.</w:t>
      </w:r>
    </w:p>
    <w:p>
      <w:pPr>
        <w:pStyle w:val="Point0number"/>
        <w:rPr>
          <w:noProof/>
          <w:sz w:val="20"/>
        </w:rPr>
      </w:pPr>
      <w:r>
        <w:rPr>
          <w:noProof/>
          <w:sz w:val="20"/>
        </w:rPr>
        <w:t xml:space="preserve">„спецификация на кода“: в случай че се приложи различно третиране и по отношение на различни десетцифрени кодове или въз основа на други </w:t>
      </w:r>
      <w:r>
        <w:rPr>
          <w:i/>
          <w:noProof/>
          <w:sz w:val="20"/>
        </w:rPr>
        <w:t>ad hoc</w:t>
      </w:r>
      <w:r>
        <w:rPr>
          <w:noProof/>
          <w:sz w:val="20"/>
        </w:rPr>
        <w:t xml:space="preserve"> спецификации на определенията по КН/ТАРИК.</w:t>
      </w:r>
    </w:p>
    <w:p>
      <w:pPr>
        <w:pStyle w:val="Point0number"/>
        <w:rPr>
          <w:noProof/>
          <w:sz w:val="20"/>
        </w:rPr>
      </w:pPr>
      <w:r>
        <w:rPr>
          <w:noProof/>
          <w:sz w:val="20"/>
        </w:rPr>
        <w:t>„Външна данъчна ставка“: данъчната ставка, която се прилага за вноса.</w:t>
      </w:r>
    </w:p>
    <w:p>
      <w:pPr>
        <w:pStyle w:val="Point0number"/>
        <w:rPr>
          <w:noProof/>
          <w:sz w:val="20"/>
        </w:rPr>
      </w:pPr>
      <w:r>
        <w:rPr>
          <w:noProof/>
          <w:sz w:val="20"/>
        </w:rPr>
        <w:t>„Вътрешна данъчна ставка“: данъчната ставка, която се прилага за продукти местно производство.</w:t>
      </w:r>
    </w:p>
    <w:p>
      <w:pPr>
        <w:pStyle w:val="Point0number"/>
        <w:rPr>
          <w:noProof/>
          <w:sz w:val="20"/>
        </w:rPr>
      </w:pPr>
      <w:r>
        <w:rPr>
          <w:noProof/>
          <w:sz w:val="20"/>
        </w:rPr>
        <w:t xml:space="preserve">„Приложена данъчна разлика“: разликата между външната и вътрешната ставка. </w:t>
      </w:r>
    </w:p>
    <w:p>
      <w:pPr>
        <w:pStyle w:val="Point0number"/>
        <w:rPr>
          <w:noProof/>
          <w:sz w:val="20"/>
        </w:rPr>
      </w:pPr>
      <w:r>
        <w:rPr>
          <w:noProof/>
          <w:sz w:val="20"/>
        </w:rPr>
        <w:t xml:space="preserve"> (**) посочете коментари и разяснения, които считате за уместни.</w:t>
      </w:r>
    </w:p>
    <w:p>
      <w:pPr>
        <w:rPr>
          <w:noProof/>
        </w:rPr>
      </w:pPr>
    </w:p>
    <w:p>
      <w:pPr>
        <w:rPr>
          <w:noProof/>
        </w:rPr>
      </w:pPr>
      <w:r>
        <w:rPr>
          <w:noProof/>
        </w:rPr>
        <w:t xml:space="preserve">Таблица 4. Пазарен дял на подкрепяните продукти.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06"/>
        <w:gridCol w:w="880"/>
        <w:gridCol w:w="1175"/>
        <w:gridCol w:w="774"/>
        <w:gridCol w:w="488"/>
        <w:gridCol w:w="775"/>
        <w:gridCol w:w="1175"/>
        <w:gridCol w:w="488"/>
        <w:gridCol w:w="775"/>
        <w:gridCol w:w="1277"/>
      </w:tblGrid>
      <w:tr>
        <w:trPr>
          <w:jc w:val="center"/>
        </w:trPr>
        <w:tc>
          <w:tcPr>
            <w:tcW w:w="663" w:type="pct"/>
            <w:shd w:val="clear" w:color="auto" w:fill="EEECE1" w:themeFill="background2"/>
            <w:vAlign w:val="center"/>
          </w:tcPr>
          <w:p>
            <w:pPr>
              <w:rPr>
                <w:rFonts w:eastAsia="Times New Roman"/>
                <w:b/>
                <w:bCs/>
                <w:noProof/>
              </w:rPr>
            </w:pPr>
            <w:r>
              <w:rPr>
                <w:b/>
                <w:bCs/>
                <w:noProof/>
              </w:rPr>
              <w:t>Подкрепяни продукти – код по КН (4, 6, 8 или 10 цифри)*</w:t>
            </w:r>
          </w:p>
        </w:tc>
        <w:tc>
          <w:tcPr>
            <w:tcW w:w="506" w:type="pct"/>
            <w:shd w:val="clear" w:color="auto" w:fill="EEECE1" w:themeFill="background2"/>
            <w:vAlign w:val="center"/>
          </w:tcPr>
          <w:p>
            <w:pPr>
              <w:rPr>
                <w:rFonts w:eastAsia="Times New Roman"/>
                <w:b/>
                <w:bCs/>
                <w:noProof/>
              </w:rPr>
            </w:pPr>
            <w:r>
              <w:rPr>
                <w:b/>
                <w:bCs/>
                <w:noProof/>
              </w:rPr>
              <w:t>Година</w:t>
            </w:r>
          </w:p>
        </w:tc>
        <w:tc>
          <w:tcPr>
            <w:tcW w:w="1877" w:type="pct"/>
            <w:gridSpan w:val="4"/>
            <w:shd w:val="clear" w:color="auto" w:fill="EEECE1" w:themeFill="background2"/>
            <w:vAlign w:val="center"/>
          </w:tcPr>
          <w:p>
            <w:pPr>
              <w:rPr>
                <w:rFonts w:eastAsia="Times New Roman"/>
                <w:b/>
                <w:bCs/>
                <w:noProof/>
              </w:rPr>
            </w:pPr>
            <w:r>
              <w:rPr>
                <w:b/>
                <w:bCs/>
                <w:noProof/>
              </w:rPr>
              <w:t xml:space="preserve">Обем </w:t>
            </w:r>
          </w:p>
        </w:tc>
        <w:tc>
          <w:tcPr>
            <w:tcW w:w="1444" w:type="pct"/>
            <w:gridSpan w:val="3"/>
            <w:shd w:val="clear" w:color="auto" w:fill="EEECE1" w:themeFill="background2"/>
            <w:vAlign w:val="center"/>
          </w:tcPr>
          <w:p>
            <w:pPr>
              <w:rPr>
                <w:rFonts w:eastAsia="Times New Roman"/>
                <w:b/>
                <w:bCs/>
                <w:noProof/>
              </w:rPr>
            </w:pPr>
            <w:r>
              <w:rPr>
                <w:b/>
                <w:bCs/>
                <w:noProof/>
              </w:rPr>
              <w:t>Стойност (в EUR)</w:t>
            </w:r>
          </w:p>
        </w:tc>
        <w:tc>
          <w:tcPr>
            <w:tcW w:w="510" w:type="pct"/>
            <w:shd w:val="clear" w:color="auto" w:fill="EEECE1" w:themeFill="background2"/>
            <w:vAlign w:val="center"/>
          </w:tcPr>
          <w:p>
            <w:pPr>
              <w:rPr>
                <w:rFonts w:eastAsia="Times New Roman"/>
                <w:b/>
                <w:bCs/>
                <w:i/>
                <w:iCs/>
                <w:noProof/>
              </w:rPr>
            </w:pPr>
            <w:r>
              <w:rPr>
                <w:b/>
                <w:bCs/>
                <w:i/>
                <w:iCs/>
                <w:noProof/>
              </w:rPr>
              <w:t>Бележки**</w:t>
            </w:r>
          </w:p>
        </w:tc>
      </w:tr>
      <w:tr>
        <w:trPr>
          <w:jc w:val="center"/>
        </w:trPr>
        <w:tc>
          <w:tcPr>
            <w:tcW w:w="663" w:type="pct"/>
            <w:shd w:val="clear" w:color="auto" w:fill="EEECE1" w:themeFill="background2"/>
            <w:vAlign w:val="center"/>
            <w:hideMark/>
          </w:tcPr>
          <w:p>
            <w:pPr>
              <w:rPr>
                <w:rFonts w:eastAsia="Times New Roman"/>
                <w:b/>
                <w:bCs/>
                <w:noProof/>
                <w:sz w:val="20"/>
                <w:szCs w:val="20"/>
                <w:lang w:eastAsia="it-IT"/>
              </w:rPr>
            </w:pPr>
          </w:p>
        </w:tc>
        <w:tc>
          <w:tcPr>
            <w:tcW w:w="506" w:type="pct"/>
            <w:shd w:val="clear" w:color="auto" w:fill="EEECE1" w:themeFill="background2"/>
            <w:vAlign w:val="center"/>
          </w:tcPr>
          <w:p>
            <w:pPr>
              <w:rPr>
                <w:rFonts w:eastAsia="Times New Roman"/>
                <w:b/>
                <w:bCs/>
                <w:noProof/>
                <w:sz w:val="20"/>
                <w:szCs w:val="20"/>
                <w:lang w:eastAsia="it-IT"/>
              </w:rPr>
            </w:pPr>
          </w:p>
        </w:tc>
        <w:tc>
          <w:tcPr>
            <w:tcW w:w="546" w:type="pct"/>
            <w:shd w:val="clear" w:color="auto" w:fill="EEECE1" w:themeFill="background2"/>
            <w:vAlign w:val="center"/>
            <w:hideMark/>
          </w:tcPr>
          <w:p>
            <w:pPr>
              <w:rPr>
                <w:rFonts w:eastAsia="Times New Roman"/>
                <w:b/>
                <w:bCs/>
                <w:noProof/>
                <w:sz w:val="18"/>
                <w:szCs w:val="18"/>
              </w:rPr>
            </w:pPr>
            <w:r>
              <w:rPr>
                <w:b/>
                <w:bCs/>
                <w:noProof/>
                <w:sz w:val="18"/>
                <w:szCs w:val="18"/>
              </w:rPr>
              <w:t>местно производство</w:t>
            </w:r>
          </w:p>
        </w:tc>
        <w:tc>
          <w:tcPr>
            <w:tcW w:w="406" w:type="pct"/>
            <w:shd w:val="clear" w:color="auto" w:fill="EEECE1" w:themeFill="background2"/>
            <w:vAlign w:val="center"/>
          </w:tcPr>
          <w:p>
            <w:pPr>
              <w:rPr>
                <w:rFonts w:eastAsia="Times New Roman"/>
                <w:b/>
                <w:bCs/>
                <w:noProof/>
                <w:sz w:val="18"/>
                <w:szCs w:val="18"/>
              </w:rPr>
            </w:pPr>
            <w:r>
              <w:rPr>
                <w:b/>
                <w:bCs/>
                <w:noProof/>
                <w:sz w:val="18"/>
                <w:szCs w:val="18"/>
              </w:rPr>
              <w:t>мерна единица</w:t>
            </w:r>
          </w:p>
        </w:tc>
        <w:tc>
          <w:tcPr>
            <w:tcW w:w="406" w:type="pct"/>
            <w:shd w:val="clear" w:color="auto" w:fill="EEECE1" w:themeFill="background2"/>
            <w:vAlign w:val="center"/>
            <w:hideMark/>
          </w:tcPr>
          <w:p>
            <w:pPr>
              <w:rPr>
                <w:rFonts w:eastAsia="Times New Roman"/>
                <w:b/>
                <w:bCs/>
                <w:noProof/>
                <w:sz w:val="18"/>
                <w:szCs w:val="18"/>
              </w:rPr>
            </w:pPr>
            <w:r>
              <w:rPr>
                <w:b/>
                <w:bCs/>
                <w:noProof/>
                <w:sz w:val="18"/>
                <w:szCs w:val="18"/>
              </w:rPr>
              <w:t xml:space="preserve">внос </w:t>
            </w:r>
          </w:p>
        </w:tc>
        <w:tc>
          <w:tcPr>
            <w:tcW w:w="519" w:type="pct"/>
            <w:shd w:val="clear" w:color="auto" w:fill="EEECE1" w:themeFill="background2"/>
            <w:vAlign w:val="center"/>
            <w:hideMark/>
          </w:tcPr>
          <w:p>
            <w:pPr>
              <w:rPr>
                <w:rFonts w:eastAsia="Times New Roman"/>
                <w:b/>
                <w:bCs/>
                <w:noProof/>
                <w:sz w:val="18"/>
                <w:szCs w:val="18"/>
              </w:rPr>
            </w:pPr>
            <w:r>
              <w:rPr>
                <w:b/>
                <w:bCs/>
                <w:noProof/>
                <w:sz w:val="18"/>
                <w:szCs w:val="18"/>
              </w:rPr>
              <w:t xml:space="preserve">Пазарен дял** </w:t>
            </w:r>
          </w:p>
        </w:tc>
        <w:tc>
          <w:tcPr>
            <w:tcW w:w="595" w:type="pct"/>
            <w:shd w:val="clear" w:color="auto" w:fill="EEECE1" w:themeFill="background2"/>
            <w:vAlign w:val="center"/>
            <w:hideMark/>
          </w:tcPr>
          <w:p>
            <w:pPr>
              <w:rPr>
                <w:rFonts w:eastAsia="Times New Roman"/>
                <w:b/>
                <w:bCs/>
                <w:noProof/>
                <w:sz w:val="18"/>
                <w:szCs w:val="18"/>
              </w:rPr>
            </w:pPr>
            <w:r>
              <w:rPr>
                <w:b/>
                <w:bCs/>
                <w:noProof/>
                <w:sz w:val="18"/>
                <w:szCs w:val="18"/>
              </w:rPr>
              <w:t xml:space="preserve">местно производство </w:t>
            </w:r>
          </w:p>
        </w:tc>
        <w:tc>
          <w:tcPr>
            <w:tcW w:w="402" w:type="pct"/>
            <w:shd w:val="clear" w:color="auto" w:fill="EEECE1" w:themeFill="background2"/>
            <w:vAlign w:val="center"/>
            <w:hideMark/>
          </w:tcPr>
          <w:p>
            <w:pPr>
              <w:rPr>
                <w:rFonts w:eastAsia="Times New Roman"/>
                <w:b/>
                <w:bCs/>
                <w:noProof/>
                <w:sz w:val="18"/>
                <w:szCs w:val="18"/>
              </w:rPr>
            </w:pPr>
            <w:r>
              <w:rPr>
                <w:b/>
                <w:bCs/>
                <w:noProof/>
                <w:sz w:val="18"/>
                <w:szCs w:val="18"/>
              </w:rPr>
              <w:t xml:space="preserve">внос </w:t>
            </w:r>
          </w:p>
        </w:tc>
        <w:tc>
          <w:tcPr>
            <w:tcW w:w="447" w:type="pct"/>
            <w:shd w:val="clear" w:color="auto" w:fill="EEECE1" w:themeFill="background2"/>
            <w:vAlign w:val="center"/>
          </w:tcPr>
          <w:p>
            <w:pPr>
              <w:rPr>
                <w:rFonts w:eastAsia="Times New Roman"/>
                <w:b/>
                <w:bCs/>
                <w:i/>
                <w:iCs/>
                <w:noProof/>
                <w:sz w:val="18"/>
                <w:szCs w:val="18"/>
              </w:rPr>
            </w:pPr>
            <w:r>
              <w:rPr>
                <w:b/>
                <w:bCs/>
                <w:noProof/>
                <w:sz w:val="18"/>
                <w:szCs w:val="18"/>
              </w:rPr>
              <w:t xml:space="preserve">Пазарен дял** </w:t>
            </w:r>
          </w:p>
        </w:tc>
        <w:tc>
          <w:tcPr>
            <w:tcW w:w="510" w:type="pct"/>
            <w:shd w:val="clear" w:color="auto" w:fill="EEECE1" w:themeFill="background2"/>
            <w:vAlign w:val="center"/>
          </w:tcPr>
          <w:p>
            <w:pPr>
              <w:rPr>
                <w:rFonts w:eastAsia="Times New Roman"/>
                <w:b/>
                <w:bCs/>
                <w:i/>
                <w:iCs/>
                <w:noProof/>
                <w:sz w:val="20"/>
                <w:szCs w:val="20"/>
                <w:lang w:eastAsia="it-IT"/>
              </w:rPr>
            </w:pPr>
          </w:p>
        </w:tc>
      </w:tr>
      <w:tr>
        <w:trPr>
          <w:jc w:val="center"/>
        </w:trPr>
        <w:tc>
          <w:tcPr>
            <w:tcW w:w="663" w:type="pct"/>
            <w:shd w:val="clear" w:color="auto" w:fill="auto"/>
            <w:vAlign w:val="center"/>
            <w:hideMark/>
          </w:tcPr>
          <w:p>
            <w:pPr>
              <w:rPr>
                <w:rFonts w:eastAsia="Times New Roman"/>
                <w:i/>
                <w:iCs/>
                <w:noProof/>
                <w:lang w:eastAsia="it-IT"/>
              </w:rPr>
            </w:pPr>
          </w:p>
        </w:tc>
        <w:tc>
          <w:tcPr>
            <w:tcW w:w="506" w:type="pct"/>
            <w:shd w:val="clear" w:color="auto" w:fill="auto"/>
          </w:tcPr>
          <w:p>
            <w:pPr>
              <w:rPr>
                <w:rFonts w:eastAsia="Times New Roman"/>
                <w:noProof/>
              </w:rPr>
            </w:pPr>
            <w:r>
              <w:rPr>
                <w:noProof/>
              </w:rPr>
              <w:t>2019</w:t>
            </w:r>
          </w:p>
        </w:tc>
        <w:tc>
          <w:tcPr>
            <w:tcW w:w="546" w:type="pct"/>
            <w:shd w:val="clear" w:color="auto" w:fill="auto"/>
            <w:vAlign w:val="center"/>
            <w:hideMark/>
          </w:tcPr>
          <w:p>
            <w:pPr>
              <w:rPr>
                <w:rFonts w:eastAsia="Times New Roman"/>
                <w:noProof/>
              </w:rPr>
            </w:pPr>
            <w:r>
              <w:rPr>
                <w:noProof/>
              </w:rPr>
              <w:t xml:space="preserve"> </w:t>
            </w:r>
          </w:p>
        </w:tc>
        <w:tc>
          <w:tcPr>
            <w:tcW w:w="406" w:type="pct"/>
            <w:shd w:val="clear" w:color="auto" w:fill="auto"/>
          </w:tcPr>
          <w:p>
            <w:pPr>
              <w:rPr>
                <w:rFonts w:eastAsia="Times New Roman"/>
                <w:noProof/>
                <w:lang w:eastAsia="it-IT"/>
              </w:rPr>
            </w:pPr>
          </w:p>
        </w:tc>
        <w:tc>
          <w:tcPr>
            <w:tcW w:w="406" w:type="pct"/>
            <w:shd w:val="clear" w:color="auto" w:fill="auto"/>
            <w:vAlign w:val="center"/>
            <w:hideMark/>
          </w:tcPr>
          <w:p>
            <w:pPr>
              <w:rPr>
                <w:rFonts w:eastAsia="Times New Roman"/>
                <w:noProof/>
              </w:rPr>
            </w:pPr>
            <w:r>
              <w:rPr>
                <w:noProof/>
              </w:rPr>
              <w:t xml:space="preserve"> </w:t>
            </w:r>
          </w:p>
        </w:tc>
        <w:tc>
          <w:tcPr>
            <w:tcW w:w="519" w:type="pct"/>
            <w:shd w:val="clear" w:color="auto" w:fill="auto"/>
            <w:vAlign w:val="center"/>
            <w:hideMark/>
          </w:tcPr>
          <w:p>
            <w:pPr>
              <w:rPr>
                <w:rFonts w:eastAsia="Times New Roman"/>
                <w:noProof/>
              </w:rPr>
            </w:pPr>
            <w:r>
              <w:rPr>
                <w:noProof/>
              </w:rPr>
              <w:t xml:space="preserve"> </w:t>
            </w:r>
          </w:p>
        </w:tc>
        <w:tc>
          <w:tcPr>
            <w:tcW w:w="595" w:type="pct"/>
            <w:shd w:val="clear" w:color="auto" w:fill="auto"/>
            <w:vAlign w:val="center"/>
            <w:hideMark/>
          </w:tcPr>
          <w:p>
            <w:pPr>
              <w:rPr>
                <w:rFonts w:eastAsia="Times New Roman"/>
                <w:noProof/>
              </w:rPr>
            </w:pPr>
            <w:r>
              <w:rPr>
                <w:noProof/>
              </w:rPr>
              <w:t xml:space="preserve"> </w:t>
            </w:r>
          </w:p>
        </w:tc>
        <w:tc>
          <w:tcPr>
            <w:tcW w:w="402" w:type="pct"/>
            <w:shd w:val="clear" w:color="auto" w:fill="auto"/>
            <w:vAlign w:val="center"/>
            <w:hideMark/>
          </w:tcPr>
          <w:p>
            <w:pPr>
              <w:rPr>
                <w:rFonts w:eastAsia="Times New Roman"/>
                <w:noProof/>
              </w:rPr>
            </w:pPr>
            <w:r>
              <w:rPr>
                <w:noProof/>
              </w:rPr>
              <w:t xml:space="preserve"> </w:t>
            </w: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hideMark/>
          </w:tcPr>
          <w:p>
            <w:pPr>
              <w:rPr>
                <w:rFonts w:eastAsia="Times New Roman"/>
                <w:i/>
                <w:iCs/>
                <w:noProof/>
                <w:lang w:eastAsia="it-IT"/>
              </w:rPr>
            </w:pPr>
          </w:p>
        </w:tc>
        <w:tc>
          <w:tcPr>
            <w:tcW w:w="506" w:type="pct"/>
            <w:shd w:val="clear" w:color="auto" w:fill="auto"/>
          </w:tcPr>
          <w:p>
            <w:pPr>
              <w:rPr>
                <w:rFonts w:eastAsia="Times New Roman"/>
                <w:noProof/>
              </w:rPr>
            </w:pPr>
            <w:r>
              <w:rPr>
                <w:noProof/>
              </w:rPr>
              <w:t>2020</w:t>
            </w:r>
          </w:p>
        </w:tc>
        <w:tc>
          <w:tcPr>
            <w:tcW w:w="546" w:type="pct"/>
            <w:shd w:val="clear" w:color="auto" w:fill="auto"/>
            <w:vAlign w:val="center"/>
            <w:hideMark/>
          </w:tcPr>
          <w:p>
            <w:pPr>
              <w:rPr>
                <w:rFonts w:eastAsia="Times New Roman"/>
                <w:noProof/>
              </w:rPr>
            </w:pPr>
            <w:r>
              <w:rPr>
                <w:noProof/>
              </w:rPr>
              <w:t xml:space="preserve"> </w:t>
            </w:r>
          </w:p>
        </w:tc>
        <w:tc>
          <w:tcPr>
            <w:tcW w:w="406" w:type="pct"/>
            <w:shd w:val="clear" w:color="auto" w:fill="auto"/>
          </w:tcPr>
          <w:p>
            <w:pPr>
              <w:rPr>
                <w:rFonts w:eastAsia="Times New Roman"/>
                <w:noProof/>
                <w:lang w:eastAsia="it-IT"/>
              </w:rPr>
            </w:pPr>
          </w:p>
        </w:tc>
        <w:tc>
          <w:tcPr>
            <w:tcW w:w="406" w:type="pct"/>
            <w:shd w:val="clear" w:color="auto" w:fill="auto"/>
            <w:vAlign w:val="center"/>
            <w:hideMark/>
          </w:tcPr>
          <w:p>
            <w:pPr>
              <w:rPr>
                <w:rFonts w:eastAsia="Times New Roman"/>
                <w:noProof/>
              </w:rPr>
            </w:pPr>
            <w:r>
              <w:rPr>
                <w:noProof/>
              </w:rPr>
              <w:t xml:space="preserve"> </w:t>
            </w:r>
          </w:p>
        </w:tc>
        <w:tc>
          <w:tcPr>
            <w:tcW w:w="519" w:type="pct"/>
            <w:shd w:val="clear" w:color="auto" w:fill="auto"/>
            <w:vAlign w:val="center"/>
            <w:hideMark/>
          </w:tcPr>
          <w:p>
            <w:pPr>
              <w:rPr>
                <w:rFonts w:eastAsia="Times New Roman"/>
                <w:noProof/>
              </w:rPr>
            </w:pPr>
            <w:r>
              <w:rPr>
                <w:noProof/>
              </w:rPr>
              <w:t xml:space="preserve"> </w:t>
            </w:r>
          </w:p>
        </w:tc>
        <w:tc>
          <w:tcPr>
            <w:tcW w:w="595" w:type="pct"/>
            <w:shd w:val="clear" w:color="auto" w:fill="auto"/>
            <w:vAlign w:val="center"/>
            <w:hideMark/>
          </w:tcPr>
          <w:p>
            <w:pPr>
              <w:rPr>
                <w:rFonts w:eastAsia="Times New Roman"/>
                <w:noProof/>
              </w:rPr>
            </w:pPr>
            <w:r>
              <w:rPr>
                <w:noProof/>
              </w:rPr>
              <w:t xml:space="preserve"> </w:t>
            </w:r>
          </w:p>
        </w:tc>
        <w:tc>
          <w:tcPr>
            <w:tcW w:w="402" w:type="pct"/>
            <w:shd w:val="clear" w:color="auto" w:fill="auto"/>
            <w:vAlign w:val="center"/>
            <w:hideMark/>
          </w:tcPr>
          <w:p>
            <w:pPr>
              <w:rPr>
                <w:rFonts w:eastAsia="Times New Roman"/>
                <w:noProof/>
              </w:rPr>
            </w:pPr>
            <w:r>
              <w:rPr>
                <w:noProof/>
              </w:rPr>
              <w:t xml:space="preserve"> </w:t>
            </w: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506" w:type="pct"/>
            <w:shd w:val="clear" w:color="auto" w:fill="auto"/>
          </w:tcPr>
          <w:p>
            <w:pPr>
              <w:rPr>
                <w:rFonts w:eastAsia="Times New Roman"/>
                <w:noProof/>
              </w:rPr>
            </w:pPr>
            <w:r>
              <w:rPr>
                <w:noProof/>
              </w:rPr>
              <w:t>2021</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506" w:type="pct"/>
            <w:shd w:val="clear" w:color="auto" w:fill="auto"/>
          </w:tcPr>
          <w:p>
            <w:pPr>
              <w:rPr>
                <w:rFonts w:eastAsia="Times New Roman"/>
                <w:noProof/>
              </w:rPr>
            </w:pPr>
            <w:r>
              <w:rPr>
                <w:noProof/>
              </w:rPr>
              <w:t>2022</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eastAsia="it-IT"/>
              </w:rPr>
            </w:pPr>
          </w:p>
        </w:tc>
        <w:tc>
          <w:tcPr>
            <w:tcW w:w="506" w:type="pct"/>
            <w:shd w:val="clear" w:color="auto" w:fill="auto"/>
          </w:tcPr>
          <w:p>
            <w:pPr>
              <w:rPr>
                <w:rFonts w:eastAsia="Times New Roman"/>
                <w:noProof/>
              </w:rPr>
            </w:pPr>
            <w:r>
              <w:rPr>
                <w:noProof/>
              </w:rPr>
              <w:t>2023</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bl>
    <w:p>
      <w:pPr>
        <w:rPr>
          <w:bCs/>
          <w:iCs/>
          <w:noProof/>
          <w:sz w:val="20"/>
          <w:szCs w:val="20"/>
        </w:rPr>
      </w:pPr>
      <w:r>
        <w:rPr>
          <w:bCs/>
          <w:iCs/>
          <w:noProof/>
          <w:sz w:val="20"/>
          <w:szCs w:val="20"/>
        </w:rPr>
        <w:t>Бележки към таблицата:</w:t>
      </w:r>
    </w:p>
    <w:p>
      <w:pPr>
        <w:pStyle w:val="Point0number"/>
        <w:numPr>
          <w:ilvl w:val="0"/>
          <w:numId w:val="7"/>
        </w:numPr>
        <w:rPr>
          <w:noProof/>
          <w:sz w:val="20"/>
          <w:szCs w:val="20"/>
        </w:rPr>
      </w:pPr>
      <w:r>
        <w:rPr>
          <w:noProof/>
          <w:sz w:val="20"/>
          <w:szCs w:val="20"/>
        </w:rPr>
        <w:t xml:space="preserve">(*) първата колона следва да бъде идентична с тази от предходната таблица, за да позволява синхронизиране на данните. </w:t>
      </w:r>
    </w:p>
    <w:p>
      <w:pPr>
        <w:pStyle w:val="Point0number"/>
        <w:rPr>
          <w:noProof/>
          <w:sz w:val="20"/>
          <w:szCs w:val="20"/>
        </w:rPr>
      </w:pPr>
      <w:r>
        <w:rPr>
          <w:noProof/>
          <w:sz w:val="20"/>
          <w:szCs w:val="20"/>
        </w:rPr>
        <w:t>„обем“: в колоната „мерна единица“ посочете мерната единица (тонове, хектолитри, бройки и т.н.).</w:t>
      </w:r>
    </w:p>
    <w:p>
      <w:pPr>
        <w:pStyle w:val="Point0number"/>
        <w:rPr>
          <w:noProof/>
          <w:sz w:val="20"/>
          <w:szCs w:val="20"/>
        </w:rPr>
      </w:pPr>
      <w:r>
        <w:rPr>
          <w:noProof/>
          <w:sz w:val="20"/>
          <w:szCs w:val="20"/>
        </w:rPr>
        <w:t>„стойност“: по отношение на вноса тя съвпада с данъчната основа.</w:t>
      </w:r>
    </w:p>
    <w:p>
      <w:pPr>
        <w:pStyle w:val="Point0number"/>
        <w:rPr>
          <w:noProof/>
          <w:sz w:val="20"/>
          <w:szCs w:val="20"/>
        </w:rPr>
      </w:pPr>
      <w:r>
        <w:rPr>
          <w:noProof/>
          <w:sz w:val="20"/>
          <w:szCs w:val="20"/>
        </w:rPr>
        <w:t xml:space="preserve">(**) „пазарен дял“: пазарният дял се изчислява, като се приспадне износът на продуктите местно производство. </w:t>
      </w:r>
    </w:p>
    <w:p>
      <w:pPr>
        <w:pStyle w:val="Point0number"/>
        <w:rPr>
          <w:noProof/>
          <w:sz w:val="20"/>
          <w:szCs w:val="20"/>
        </w:rPr>
      </w:pPr>
      <w:r>
        <w:rPr>
          <w:noProof/>
          <w:sz w:val="20"/>
          <w:szCs w:val="20"/>
        </w:rPr>
        <w:t>(***) посочете коментари и разяснения, които считате за уместни.</w:t>
      </w:r>
    </w:p>
    <w:p>
      <w:pPr>
        <w:rPr>
          <w:noProof/>
        </w:rPr>
      </w:pPr>
    </w:p>
    <w:p>
      <w:pPr>
        <w:rPr>
          <w:noProof/>
        </w:rPr>
      </w:pPr>
      <w:r>
        <w:rPr>
          <w:noProof/>
          <w:u w:val="single"/>
        </w:rPr>
        <w:t>6. Нередности</w:t>
      </w:r>
      <w:r>
        <w:rPr>
          <w:noProof/>
        </w:rPr>
        <w:t>. Испанските органи предоставят информация за всички разследвания на административни нередности, по-специално във връзка с данъчни измами или контрабанда, в контекста на прилагането на разрешението. Те предоставят подробна информация, която включва като минимум информация за естеството на случая, стойността и времетраенето.</w:t>
      </w:r>
    </w:p>
    <w:p>
      <w:pPr>
        <w:rPr>
          <w:noProof/>
        </w:rPr>
      </w:pPr>
    </w:p>
    <w:p>
      <w:pPr>
        <w:rPr>
          <w:noProof/>
        </w:rPr>
      </w:pPr>
      <w:r>
        <w:rPr>
          <w:noProof/>
          <w:u w:val="single"/>
        </w:rPr>
        <w:t>7 Жалби</w:t>
      </w:r>
      <w:r>
        <w:rPr>
          <w:noProof/>
        </w:rPr>
        <w:t>. Испанските органи предоставят информация за това дали местните, регионалните или националните органи са получили жалби във връзка с прилагането на разрешението от бенефициери или от небенефициери.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1A24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764E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6E5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3479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3A82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A25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4286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248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22:37: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FF292A94-1D42-469E-88EB-F409B8E6EE41"/>
    <w:docVar w:name="LW_COVERPAGE_TYPE" w:val="1"/>
    <w:docVar w:name="LW_CROSSREFERENCE" w:val="{SWD(2020) 154 final}"/>
    <w:docVar w:name="LW_DocType" w:val="ANNEX"/>
    <w:docVar w:name="LW_EMISSION" w:val="4.8.2020"/>
    <w:docVar w:name="LW_EMISSION_ISODATE" w:val="2020-08-0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Bold&gt;\u1086?\u1090?\u1085?\u1086?\u1089?\u1085?\u1086? \u1088?\u1077?\u1078?\u1080?\u1084?\u1072? \u1085?\u1072? \u1076?\u1072?\u1085?\u1098?\u1082?\u1072? &lt;/FMT&gt;&lt;FMT:Font=Calibri,Bold&gt;AIEM&lt;/FMT&gt;&lt;FMT:Font=Calibri Cyr,Bold&gt;, \u1087?\u1088?\u1080?\u1083?\u1072?\u1075?\u1072?\u1085? \u1085?\u1072? \u1050?\u1072?\u1085?\u1072?\u1088?\u1089?\u1082?\u1080?\u1090?\u1077? \u1086?\u1089?\u1090?\u1088?\u1086?\u1074?\u1080?&lt;/FMT&gt;_x000b_"/>
    <w:docVar w:name="LW_OBJETACTEPRINCIPAL.CP" w:val="&lt;FMT:Font=Calibri Cyr,Bold&gt;\u1086?\u1090?\u1085?\u1086?\u1089?\u1085?\u1086? \u1088?\u1077?\u1078?\u1080?\u1084?\u1072? \u1085?\u1072? \u1076?\u1072?\u1085?\u1098?\u1082?\u1072? &lt;/FMT&gt;&lt;FMT:Font=Calibri,Bold&gt;AIEM&lt;/FMT&gt;&lt;FMT:Font=Calibri Cyr,Bold&gt;, \u1087?\u1088?\u1080?\u1083?\u1072?\u1075?\u1072?\u1085? \u1085?\u1072? \u1050?\u1072?\u1085?\u1072?\u1088?\u1089?\u1082?\u1080?\u1090?\u1077? \u1086?\u1089?\u1090?\u1088?\u1086?\u1074?\u1080?&lt;/FMT&gt;_x000b_"/>
    <w:docVar w:name="LW_PART_NBR" w:val="&lt;UNUSED&gt;"/>
    <w:docVar w:name="LW_PART_NBR_TOTAL" w:val="&lt;UNUSED&gt;"/>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 \u1079?\u1072? \u1056?\u1077?\u1096?\u1077?\u1085?\u1080?\u1077? \u1085?\u1072? \u1057?\u1098?\u1074?\u1077?\u1090?\u1072?_x000b_"/>
    <w:docVar w:name="LW_TYPEACTEPRINCIPAL.CP" w:val="\u1087?\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564FB7-FFC0-499D-A9E1-6D6D0AD5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1025</Words>
  <Characters>6122</Characters>
  <Application>Microsoft Office Word</Application>
  <DocSecurity>0</DocSecurity>
  <Lines>437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ZUAZUA Sara (TAXUD)</dc:creator>
  <cp:keywords/>
  <dc:description/>
  <cp:lastModifiedBy>WES PDFC Administrator</cp:lastModifiedBy>
  <cp:revision>10</cp:revision>
  <dcterms:created xsi:type="dcterms:W3CDTF">2020-07-24T16:47:00Z</dcterms:created>
  <dcterms:modified xsi:type="dcterms:W3CDTF">2020-08-07T20:37:00Z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