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alt="B7A6EFCB-2867-4BC0-9620-BF498EC21D9E" style="width:450.95pt;height:411.1pt">
            <v:imagedata r:id="rId12" o:title=""/>
          </v:shape>
        </w:pict>
      </w:r>
    </w:p>
    <w:p>
      <w:pPr>
        <w:rPr>
          <w:noProof/>
        </w:rPr>
        <w:sectPr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ПРИЛОЖЕНИЕ</w:t>
      </w:r>
    </w:p>
    <w:p>
      <w:pPr>
        <w:pStyle w:val="NormalCentered"/>
        <w:rPr>
          <w:noProof/>
        </w:rPr>
      </w:pPr>
      <w:r>
        <w:rPr>
          <w:noProof/>
        </w:rPr>
        <w:t>„ПРИЛОЖЕНИЕ Va</w:t>
      </w:r>
    </w:p>
    <w:p>
      <w:pPr>
        <w:pStyle w:val="NormalCentered"/>
        <w:rPr>
          <w:b/>
          <w:noProof/>
        </w:rPr>
      </w:pPr>
      <w:r>
        <w:rPr>
          <w:b/>
          <w:noProof/>
        </w:rPr>
        <w:t>МИНИМАЛНА ИНФОРМАЦИЯ, КОЯТО ТРЯБВА ДА БЪДЕ ВКЛЮЧЕНА В ПРОСПЕКТА НА ЕС ЗА ВЪЗСТАНОВЯВАНЕ</w:t>
      </w:r>
    </w:p>
    <w:p>
      <w:pPr>
        <w:pStyle w:val="QuotedNumPar"/>
        <w:rPr>
          <w:b/>
          <w:noProof/>
        </w:rPr>
      </w:pPr>
      <w:r>
        <w:rPr>
          <w:b/>
          <w:noProof/>
        </w:rPr>
        <w:t>I.</w:t>
      </w:r>
      <w:r>
        <w:rPr>
          <w:noProof/>
        </w:rPr>
        <w:tab/>
      </w:r>
      <w:r>
        <w:rPr>
          <w:b/>
          <w:noProof/>
        </w:rPr>
        <w:t>Наименование на емитента, държава членка на учредяване, препратка към уебсайта на емитента</w:t>
      </w:r>
    </w:p>
    <w:p>
      <w:pPr>
        <w:pStyle w:val="Text2"/>
        <w:rPr>
          <w:noProof/>
        </w:rPr>
      </w:pPr>
      <w:r>
        <w:rPr>
          <w:noProof/>
        </w:rPr>
        <w:t>Целта е да се идентифицира дружеството, което емитира акции, включително неговият идентификационен код на правен субект („ИКПС“), държавата членка на учредяване и уебсайта, на който инвеститорите могат да намерят информация за стопанската дейност на дружеството, продуктите, които произвежда, или услугите, които предоставя, основните пазари, на които се конкурира, неговата организационна структура и ако е приложимо, информацията, включена чрез препратка.</w:t>
      </w:r>
    </w:p>
    <w:p>
      <w:pPr>
        <w:pStyle w:val="QuotedNumPar"/>
        <w:rPr>
          <w:b/>
          <w:noProof/>
        </w:rPr>
      </w:pPr>
      <w:r>
        <w:rPr>
          <w:b/>
          <w:noProof/>
        </w:rPr>
        <w:t>II.</w:t>
      </w:r>
      <w:r>
        <w:rPr>
          <w:noProof/>
        </w:rPr>
        <w:tab/>
      </w:r>
      <w:r>
        <w:rPr>
          <w:b/>
          <w:noProof/>
        </w:rPr>
        <w:t>Декларация за отговорност</w:t>
      </w:r>
    </w:p>
    <w:p>
      <w:pPr>
        <w:pStyle w:val="Text2"/>
        <w:rPr>
          <w:noProof/>
        </w:rPr>
      </w:pPr>
      <w:r>
        <w:rPr>
          <w:noProof/>
        </w:rPr>
        <w:t xml:space="preserve">Целта е да се определят лицата, отговарящи за изготвянето на проспекта на ЕС за възстановяване, и да се включи декларация от тях, че доколкото им е известно, информацията, съдържаща се в проспекта на ЕС за възстановяване, отговаря на фактите, както и че евентуалните пропуски в проспекта на ЕС за възстановяване не могат да засегнат неговото значение. </w:t>
      </w:r>
    </w:p>
    <w:p>
      <w:pPr>
        <w:pStyle w:val="Text2"/>
        <w:rPr>
          <w:noProof/>
        </w:rPr>
      </w:pPr>
      <w:r>
        <w:rPr>
          <w:noProof/>
        </w:rPr>
        <w:t xml:space="preserve">Когато е приложимо, декларацията трябва да съдържа информация, получена от трети страни, включително източника(ците) на тази информация, както и декларации или доклади, предоставени на дадено лице като експерт, както и следните данни за това лице: </w:t>
      </w:r>
    </w:p>
    <w:p>
      <w:pPr>
        <w:pStyle w:val="Text2"/>
        <w:rPr>
          <w:noProof/>
        </w:rPr>
      </w:pPr>
      <w:r>
        <w:rPr>
          <w:noProof/>
        </w:rPr>
        <w:t>а) име;</w:t>
      </w:r>
    </w:p>
    <w:p>
      <w:pPr>
        <w:pStyle w:val="Text2"/>
        <w:rPr>
          <w:noProof/>
        </w:rPr>
      </w:pPr>
      <w:r>
        <w:rPr>
          <w:noProof/>
        </w:rPr>
        <w:t xml:space="preserve">б) служебен адрес; </w:t>
      </w:r>
    </w:p>
    <w:p>
      <w:pPr>
        <w:pStyle w:val="Text2"/>
        <w:rPr>
          <w:noProof/>
        </w:rPr>
      </w:pPr>
      <w:r>
        <w:rPr>
          <w:noProof/>
        </w:rPr>
        <w:t xml:space="preserve">в) квалификации; както и </w:t>
      </w:r>
    </w:p>
    <w:p>
      <w:pPr>
        <w:pStyle w:val="Text2"/>
        <w:rPr>
          <w:noProof/>
        </w:rPr>
      </w:pPr>
      <w:r>
        <w:rPr>
          <w:noProof/>
        </w:rPr>
        <w:t>г) евентуален значителен икономически интерес, свързан с емитента.</w:t>
      </w:r>
    </w:p>
    <w:p>
      <w:pPr>
        <w:pStyle w:val="Text2"/>
        <w:rPr>
          <w:noProof/>
        </w:rPr>
      </w:pPr>
      <w:r>
        <w:rPr>
          <w:noProof/>
        </w:rPr>
        <w:t>В декларацията се посочва компетентният орган, който е одобрил проспекта на ЕС за възстановяване, както и че това одобрение не е утвърждаване на емитента и че проспектът на ЕС за възстановяване е изготвен в съответствие с член 14а.</w:t>
      </w:r>
    </w:p>
    <w:p>
      <w:pPr>
        <w:pStyle w:val="QuotedNumPar"/>
        <w:rPr>
          <w:b/>
          <w:noProof/>
        </w:rPr>
      </w:pPr>
      <w:r>
        <w:rPr>
          <w:b/>
          <w:noProof/>
        </w:rPr>
        <w:t>III.</w:t>
      </w:r>
      <w:r>
        <w:rPr>
          <w:noProof/>
        </w:rPr>
        <w:tab/>
      </w:r>
      <w:r>
        <w:rPr>
          <w:b/>
          <w:noProof/>
        </w:rPr>
        <w:t>Рискови фактори</w:t>
      </w:r>
    </w:p>
    <w:p>
      <w:pPr>
        <w:pStyle w:val="Text2"/>
        <w:rPr>
          <w:noProof/>
        </w:rPr>
      </w:pPr>
      <w:r>
        <w:rPr>
          <w:noProof/>
        </w:rPr>
        <w:t>Целта е да се опишат най-съществените рискове, които са специфични за емитента и акциите.</w:t>
      </w:r>
    </w:p>
    <w:p>
      <w:pPr>
        <w:pStyle w:val="QuotedNumPar"/>
        <w:rPr>
          <w:b/>
          <w:noProof/>
        </w:rPr>
      </w:pPr>
      <w:r>
        <w:rPr>
          <w:b/>
          <w:noProof/>
        </w:rPr>
        <w:t>IV.</w:t>
      </w:r>
      <w:r>
        <w:rPr>
          <w:noProof/>
        </w:rPr>
        <w:tab/>
      </w:r>
      <w:r>
        <w:rPr>
          <w:b/>
          <w:noProof/>
        </w:rPr>
        <w:t>Финансови отчети</w:t>
      </w:r>
    </w:p>
    <w:p>
      <w:pPr>
        <w:pStyle w:val="Text2"/>
        <w:rPr>
          <w:noProof/>
        </w:rPr>
      </w:pPr>
      <w:r>
        <w:rPr>
          <w:noProof/>
        </w:rPr>
        <w:t xml:space="preserve">Изисква се публикуването на (годишни и шестмесечни) финансови отчети, обхващащи периода от 12 месеца преди одобряването на проспекта на ЕС за възстановяване. Когато са публикувани както годишни, така и шестмесечни финансови отчети, се изискват само годишните отчети, когато са изготвени след шестмесечните финансови отчети. </w:t>
      </w:r>
    </w:p>
    <w:p>
      <w:pPr>
        <w:pStyle w:val="Text2"/>
        <w:rPr>
          <w:noProof/>
        </w:rPr>
      </w:pPr>
      <w:r>
        <w:rPr>
          <w:noProof/>
        </w:rPr>
        <w:lastRenderedPageBreak/>
        <w:t>Годишните финансови отчети се подлагат на независим одит. Одиторският доклад се изготвя в съответствие с Директива 2006/43/ЕО на Европейския парламент и на Съвета</w:t>
      </w:r>
      <w:r>
        <w:rPr>
          <w:rStyle w:val="FootnoteReference"/>
          <w:noProof/>
          <w:lang w:eastAsia="en-GB"/>
        </w:rPr>
        <w:footnoteReference w:id="2"/>
      </w:r>
      <w:r>
        <w:rPr>
          <w:noProof/>
        </w:rPr>
        <w:t xml:space="preserve"> и Регламент (ЕС) № 537/2014 на Европейския парламент и на Съвета</w:t>
      </w:r>
      <w:r>
        <w:rPr>
          <w:rStyle w:val="FootnoteReference"/>
          <w:noProof/>
          <w:lang w:eastAsia="en-GB"/>
        </w:rPr>
        <w:footnoteReference w:id="3"/>
      </w:r>
      <w:r>
        <w:rPr>
          <w:noProof/>
        </w:rPr>
        <w:t>.</w:t>
      </w:r>
    </w:p>
    <w:p>
      <w:pPr>
        <w:pStyle w:val="Text2"/>
        <w:rPr>
          <w:noProof/>
        </w:rPr>
      </w:pPr>
      <w:r>
        <w:rPr>
          <w:noProof/>
        </w:rPr>
        <w:t>Когато Директива 2006/43/ЕО и Регламент (ЕС) № 537/2014 не са приложими, годишните финансови отчети трябва да бъдат одитирани или да бъде докладвано дали за целите на проспекта на ЕС за възстановяване те дават вярна и обективна представа в съответствие с приложимите в държава членка одиторски стандарти или друг еквивалентен стандарт. В противен случай в проспекта на ЕС за възстановяване трябва да се съдържа следната информация:</w:t>
      </w:r>
    </w:p>
    <w:p>
      <w:pPr>
        <w:pStyle w:val="Point2"/>
        <w:rPr>
          <w:noProof/>
        </w:rPr>
      </w:pPr>
      <w:r>
        <w:rPr>
          <w:noProof/>
        </w:rPr>
        <w:t>а)</w:t>
      </w:r>
      <w:r>
        <w:rPr>
          <w:noProof/>
        </w:rPr>
        <w:tab/>
        <w:t>декларация на видно място за това кои одиторски стандарти са били приложени;</w:t>
      </w:r>
    </w:p>
    <w:p>
      <w:pPr>
        <w:pStyle w:val="Point2"/>
        <w:rPr>
          <w:noProof/>
        </w:rPr>
      </w:pPr>
      <w:r>
        <w:rPr>
          <w:noProof/>
        </w:rPr>
        <w:t>б)</w:t>
      </w:r>
      <w:r>
        <w:rPr>
          <w:noProof/>
        </w:rPr>
        <w:tab/>
        <w:t>обяснение за евентуалните значителни отклонения от Международните одиторски стандарти.</w:t>
      </w:r>
    </w:p>
    <w:p>
      <w:pPr>
        <w:pStyle w:val="Text2"/>
        <w:rPr>
          <w:noProof/>
        </w:rPr>
      </w:pPr>
      <w:r>
        <w:rPr>
          <w:noProof/>
        </w:rPr>
        <w:t>Когато одиторските доклади за годишните финансови отчети са били отказани от регистрирани одитори или съдържат резерви, изменения на становища, ограничения на отговорността или обръщане на внимание</w:t>
      </w:r>
      <w:r>
        <w:rPr>
          <w:i/>
          <w:noProof/>
        </w:rPr>
        <w:t xml:space="preserve">, </w:t>
      </w:r>
      <w:r>
        <w:rPr>
          <w:noProof/>
        </w:rPr>
        <w:t>всички тези елементи трябва да бъдат възпроизведени напълно, както и да бъдат посочени съответните причини.</w:t>
      </w:r>
    </w:p>
    <w:p>
      <w:pPr>
        <w:pStyle w:val="Text2"/>
        <w:rPr>
          <w:noProof/>
        </w:rPr>
      </w:pPr>
      <w:r>
        <w:rPr>
          <w:noProof/>
        </w:rPr>
        <w:t xml:space="preserve">Трябва да бъде включено и описание на всяка значителна промяна във финансовото състояние на групата, която е настъпила след края на последния финансов период, за който са били публикувани одитирани финансови отчети или междинна финансова информация, или да се представи подходящо изявление в обратен смисъл. </w:t>
      </w:r>
    </w:p>
    <w:p>
      <w:pPr>
        <w:pStyle w:val="Text2"/>
        <w:rPr>
          <w:noProof/>
        </w:rPr>
      </w:pPr>
      <w:r>
        <w:rPr>
          <w:noProof/>
        </w:rPr>
        <w:t>Когато е приложимо, се включва и проформа информация.</w:t>
      </w:r>
    </w:p>
    <w:p>
      <w:pPr>
        <w:pStyle w:val="QuotedNumPar"/>
        <w:rPr>
          <w:b/>
          <w:noProof/>
        </w:rPr>
      </w:pPr>
      <w:r>
        <w:rPr>
          <w:b/>
          <w:noProof/>
        </w:rPr>
        <w:t>V.</w:t>
      </w:r>
      <w:r>
        <w:rPr>
          <w:noProof/>
        </w:rPr>
        <w:tab/>
      </w:r>
      <w:r>
        <w:rPr>
          <w:b/>
          <w:noProof/>
        </w:rPr>
        <w:t>Информация за тенденциите</w:t>
      </w:r>
    </w:p>
    <w:p>
      <w:pPr>
        <w:pStyle w:val="Text2"/>
        <w:rPr>
          <w:noProof/>
        </w:rPr>
      </w:pPr>
      <w:r>
        <w:rPr>
          <w:noProof/>
        </w:rPr>
        <w:t xml:space="preserve">Целта е да се включи описание на: </w:t>
      </w:r>
    </w:p>
    <w:p>
      <w:pPr>
        <w:pStyle w:val="Point2"/>
        <w:rPr>
          <w:noProof/>
        </w:rPr>
      </w:pPr>
      <w:r>
        <w:rPr>
          <w:noProof/>
        </w:rPr>
        <w:t>а)</w:t>
      </w:r>
      <w:r>
        <w:rPr>
          <w:noProof/>
        </w:rPr>
        <w:tab/>
        <w:t xml:space="preserve">най-значимите неотдавнашни тенденции в производството, продажбите и материалните запаси, както и разходите и продажните цени от края на последната финансова година до датата на проспекта на ЕС за възстановяване; </w:t>
      </w:r>
    </w:p>
    <w:p>
      <w:pPr>
        <w:pStyle w:val="Point2"/>
        <w:rPr>
          <w:noProof/>
        </w:rPr>
      </w:pPr>
      <w:r>
        <w:rPr>
          <w:noProof/>
        </w:rPr>
        <w:t>б)</w:t>
      </w:r>
      <w:r>
        <w:rPr>
          <w:noProof/>
        </w:rPr>
        <w:tab/>
        <w:t>информация за всякакви известни тенденции, колебания, изисквания, ангажименти или събития, за които е разумно да се очаква да имат значителен ефект върху перспективите на емитента най-малко за текущата финансова година.</w:t>
      </w:r>
    </w:p>
    <w:p>
      <w:pPr>
        <w:pStyle w:val="QuotedNumPar"/>
        <w:rPr>
          <w:b/>
          <w:noProof/>
        </w:rPr>
      </w:pPr>
      <w:r>
        <w:rPr>
          <w:b/>
          <w:noProof/>
        </w:rPr>
        <w:t>VI.</w:t>
      </w:r>
      <w:r>
        <w:rPr>
          <w:noProof/>
        </w:rPr>
        <w:tab/>
      </w:r>
      <w:r>
        <w:rPr>
          <w:b/>
          <w:noProof/>
        </w:rPr>
        <w:t>Окончателна цена на предлагането и сума на акциите, включително твърд ангажимент от страна на акционерите за над 5 % и имена на поемателите</w:t>
      </w:r>
    </w:p>
    <w:p>
      <w:pPr>
        <w:pStyle w:val="Text2"/>
        <w:rPr>
          <w:noProof/>
        </w:rPr>
      </w:pPr>
      <w:r>
        <w:rPr>
          <w:noProof/>
        </w:rPr>
        <w:t>Целта е да се представи конкретната информация относно стойността на предлагането на акции, както и информация за поети от основни акционери твърди ангажименти за записване на повече от 5 % от предлагането и споразумения за поемане.</w:t>
      </w:r>
    </w:p>
    <w:p>
      <w:pPr>
        <w:pStyle w:val="QuotedNumPar"/>
        <w:rPr>
          <w:b/>
          <w:noProof/>
        </w:rPr>
      </w:pPr>
      <w:r>
        <w:rPr>
          <w:b/>
          <w:noProof/>
        </w:rPr>
        <w:t>VII.</w:t>
      </w:r>
      <w:r>
        <w:rPr>
          <w:noProof/>
        </w:rPr>
        <w:tab/>
      </w:r>
      <w:r>
        <w:rPr>
          <w:b/>
          <w:noProof/>
        </w:rPr>
        <w:t>Къде и кога да бъдат записани акциите</w:t>
      </w:r>
    </w:p>
    <w:p>
      <w:pPr>
        <w:pStyle w:val="Text2"/>
        <w:rPr>
          <w:noProof/>
        </w:rPr>
      </w:pPr>
      <w:r>
        <w:rPr>
          <w:noProof/>
        </w:rPr>
        <w:tab/>
        <w:t>Целта е да се предостави международният идентификационен номер на ценните книжа („ISIN“) и друга съществена информация за публично предлаганите акции, както и информация за това къде могат да бъдат записани акциите и за срока, включително евентуалните му изменения, по време на който предлагането ще бъде в сила, и описание на процеса на подаване на заявление заедно с датата на емитиране на нови акции.</w:t>
      </w:r>
    </w:p>
    <w:p>
      <w:pPr>
        <w:pStyle w:val="QuotedNumPar"/>
        <w:rPr>
          <w:b/>
          <w:noProof/>
        </w:rPr>
      </w:pPr>
      <w:r>
        <w:rPr>
          <w:b/>
          <w:noProof/>
        </w:rPr>
        <w:t>VIII. Обосновка на предлагането и използване на постъпленията</w:t>
      </w:r>
    </w:p>
    <w:p>
      <w:pPr>
        <w:pStyle w:val="Text2"/>
        <w:rPr>
          <w:noProof/>
        </w:rPr>
      </w:pPr>
      <w:r>
        <w:rPr>
          <w:noProof/>
        </w:rPr>
        <w:t>Целта е да се предостави информация за причините за предлагането и когато е приложимо, прогнозната нетна стойност на постъпленията, разпределени по всяко основно предназначение и представени по реда на приоритетност на тези предназначения.</w:t>
      </w:r>
    </w:p>
    <w:p>
      <w:pPr>
        <w:pStyle w:val="Text2"/>
        <w:rPr>
          <w:noProof/>
        </w:rPr>
      </w:pPr>
      <w:r>
        <w:rPr>
          <w:noProof/>
        </w:rPr>
        <w:t>Когато на емитента е известно, че очакваните постъпления няма да бъдат достатъчни да покрият всички предлагани предназначения, той посочва сумата и източниците на останалите необходими средства. Подробна информация се предоставя също така, когато постъпленията се използват за придобиване на активи, различни от придобиваните в хода на обичайната стопанска дейност, за финансиране на обявени придобивания на друга стопанска дейност или за погасяване, намаляване или обратно изкупуване на дълг.</w:t>
      </w:r>
    </w:p>
    <w:p>
      <w:pPr>
        <w:pStyle w:val="QuotedNumPar"/>
        <w:rPr>
          <w:b/>
          <w:noProof/>
        </w:rPr>
      </w:pPr>
      <w:r>
        <w:rPr>
          <w:b/>
          <w:noProof/>
        </w:rPr>
        <w:t>X.</w:t>
      </w:r>
      <w:r>
        <w:rPr>
          <w:noProof/>
        </w:rPr>
        <w:tab/>
      </w:r>
      <w:r>
        <w:rPr>
          <w:b/>
          <w:noProof/>
        </w:rPr>
        <w:t>Декларация за оборотния капитал</w:t>
      </w:r>
    </w:p>
    <w:p>
      <w:pPr>
        <w:pStyle w:val="Text2"/>
        <w:rPr>
          <w:noProof/>
        </w:rPr>
      </w:pPr>
      <w:r>
        <w:rPr>
          <w:noProof/>
        </w:rPr>
        <w:t>Целта е да се предостави информация дали оборотният капитал е достатъчен за покриване на настоящите нужди на емитента и ако не е, по какъв начин емитентът предлага да осигури необходимия допълнителен оборотен капитал.</w:t>
      </w:r>
    </w:p>
    <w:p>
      <w:pPr>
        <w:pStyle w:val="QuotedNumPar"/>
        <w:rPr>
          <w:b/>
          <w:noProof/>
        </w:rPr>
      </w:pPr>
      <w:r>
        <w:rPr>
          <w:b/>
          <w:noProof/>
        </w:rPr>
        <w:t>XI.</w:t>
      </w:r>
      <w:r>
        <w:rPr>
          <w:noProof/>
        </w:rPr>
        <w:tab/>
      </w:r>
      <w:r>
        <w:rPr>
          <w:b/>
          <w:noProof/>
        </w:rPr>
        <w:t>Конфликт на интереси</w:t>
      </w:r>
    </w:p>
    <w:p>
      <w:pPr>
        <w:pStyle w:val="Text2"/>
        <w:rPr>
          <w:noProof/>
        </w:rPr>
      </w:pPr>
      <w:r>
        <w:rPr>
          <w:noProof/>
        </w:rPr>
        <w:t>Целта е</w:t>
      </w:r>
      <w:r>
        <w:rPr>
          <w:noProof/>
          <w:sz w:val="19"/>
          <w:szCs w:val="19"/>
        </w:rPr>
        <w:t xml:space="preserve"> </w:t>
      </w:r>
      <w:r>
        <w:rPr>
          <w:noProof/>
        </w:rPr>
        <w:t>да се предостави информация за всякакви конфликти на интереси, свързани с емитирането.</w:t>
      </w:r>
    </w:p>
    <w:p>
      <w:pPr>
        <w:pStyle w:val="QuotedNumPar"/>
        <w:rPr>
          <w:b/>
          <w:noProof/>
        </w:rPr>
      </w:pPr>
      <w:r>
        <w:rPr>
          <w:b/>
          <w:noProof/>
        </w:rPr>
        <w:t>XII.</w:t>
      </w:r>
      <w:r>
        <w:rPr>
          <w:noProof/>
        </w:rPr>
        <w:tab/>
      </w:r>
      <w:r>
        <w:rPr>
          <w:b/>
          <w:noProof/>
        </w:rPr>
        <w:t>Дялово участие след емитирането</w:t>
      </w:r>
    </w:p>
    <w:p>
      <w:pPr>
        <w:pStyle w:val="Text2"/>
        <w:rPr>
          <w:noProof/>
        </w:rPr>
      </w:pPr>
      <w:r>
        <w:rPr>
          <w:noProof/>
        </w:rPr>
        <w:t xml:space="preserve">Целта е да се предостави информация за участието в дяловия капитал и правата на глас след увеличението на капитала, произтичащо от публичното предлагане.“. </w:t>
      </w:r>
    </w:p>
    <w:sectPr>
      <w:footerReference w:type="default" r:id="rId19"/>
      <w:footerReference w:type="first" r:id="rId20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  <w:endnote w:type="continuationNotice" w:id="1">
    <w:p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type="continuationNotice" w:id="1">
    <w:p>
      <w:pPr>
        <w:spacing w:before="0" w:after="0"/>
      </w:pP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>Директива 2006/43/ЕО на Европейския парламент и на Съвета от 17 май 2006 г. относно задължителния одит на годишните счетоводни отчети и консолидираните счетоводни отчети, за изменение на Директиви 78/660/ЕИО и 83/349/ЕИО на Съвета и за отмяна на Директива 84/253/ЕИО на Съвета (ОВ L 157, 9.6.2006 г., стр. 87).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ab/>
        <w:t>Регламент (ЕС) № 537/2014 на Европейския парламент и на Съвета от 16 април 2014 г. относно специфични изисквания по отношение на задължителния одит на предприятия от обществен интерес и за отмяна на Решение 2005/909/ЕО на Комисията (ОВ L 158, 27.5.2014 г., стр. 77).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250EEF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7F"/>
    <w:multiLevelType w:val="singleLevel"/>
    <w:tmpl w:val="EE60664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FFFFFF81"/>
    <w:multiLevelType w:val="singleLevel"/>
    <w:tmpl w:val="8326C3B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>
    <w:nsid w:val="FFFFFF82"/>
    <w:multiLevelType w:val="singleLevel"/>
    <w:tmpl w:val="F1640C3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AD0072B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>
    <w:nsid w:val="FFFFFF89"/>
    <w:multiLevelType w:val="singleLevel"/>
    <w:tmpl w:val="BAA61E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28364B0"/>
    <w:multiLevelType w:val="singleLevel"/>
    <w:tmpl w:val="D084FB54"/>
    <w:lvl w:ilvl="0">
      <w:start w:val="1"/>
      <w:numFmt w:val="bullet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7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8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2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3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4">
    <w:nsid w:val="542A1204"/>
    <w:multiLevelType w:val="multilevel"/>
    <w:tmpl w:val="BC1E8404"/>
    <w:lvl w:ilvl="0">
      <w:start w:val="1"/>
      <w:numFmt w:val="decimal"/>
      <w:pStyle w:val="ListNumber4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4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4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1F06166"/>
    <w:multiLevelType w:val="multilevel"/>
    <w:tmpl w:val="C08066D2"/>
    <w:name w:val="0.6719891"/>
    <w:lvl w:ilvl="0">
      <w:start w:val="1"/>
      <w:numFmt w:val="decimal"/>
      <w:lvlRestart w:val="0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21"/>
  </w:num>
  <w:num w:numId="6">
    <w:abstractNumId w:val="1"/>
  </w:num>
  <w:num w:numId="7">
    <w:abstractNumId w:val="0"/>
  </w:num>
  <w:num w:numId="8">
    <w:abstractNumId w:val="6"/>
  </w:num>
  <w:num w:numId="9">
    <w:abstractNumId w:val="14"/>
  </w:num>
  <w:num w:numId="10">
    <w:abstractNumId w:val="18"/>
  </w:num>
  <w:num w:numId="11">
    <w:abstractNumId w:val="11"/>
  </w:num>
  <w:num w:numId="12">
    <w:abstractNumId w:val="20"/>
  </w:num>
  <w:num w:numId="13">
    <w:abstractNumId w:val="10"/>
  </w:num>
  <w:num w:numId="14">
    <w:abstractNumId w:val="12"/>
  </w:num>
  <w:num w:numId="15">
    <w:abstractNumId w:val="8"/>
  </w:num>
  <w:num w:numId="16">
    <w:abstractNumId w:val="19"/>
  </w:num>
  <w:num w:numId="17">
    <w:abstractNumId w:val="7"/>
  </w:num>
  <w:num w:numId="18">
    <w:abstractNumId w:val="13"/>
  </w:num>
  <w:num w:numId="19">
    <w:abstractNumId w:val="16"/>
  </w:num>
  <w:num w:numId="20">
    <w:abstractNumId w:val="17"/>
  </w:num>
  <w:num w:numId="21">
    <w:abstractNumId w:val="9"/>
  </w:num>
  <w:num w:numId="22">
    <w:abstractNumId w:val="15"/>
  </w:num>
  <w:num w:numId="23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0-08-10 11:16:31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B7A6EFCB-2867-4BC0-9620-BF498EC21D9E"/>
    <w:docVar w:name="LW_COVERPAGE_TYPE" w:val="1"/>
    <w:docVar w:name="LW_CROSSREFERENCE" w:val="{SWD(2020) 120 final}"/>
    <w:docVar w:name="LW_DocType" w:val="ANNEX"/>
    <w:docVar w:name="LW_EMISSION" w:val="24.7.2020"/>
    <w:docVar w:name="LW_EMISSION_ISODATE" w:val="2020-07-24"/>
    <w:docVar w:name="LW_EMISSION_LOCATION" w:val="BRX"/>
    <w:docVar w:name="LW_EMISSION_PREFIX" w:val="Брюксел, 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&lt;FMT:Font=Calibri Cyr&gt;\u1079?\u1072? \u1080?\u1079?\u1084?\u1077?\u1085?\u1077?\u1085?\u1080?\u1077? \u1085?\u1072? \u1056?\u1077?\u1075?\u1083?\u1072?\u1084?\u1077?\u1085?\u1090? (\u1045?\u1057?) 2017/1129 \u1087?\u1086? \u1086?\u1090?\u1085?\u1086?\u1096?\u1077?\u1085?\u1080?\u1077? \u1085?\u1072? \u1087?\u1088?\u1086?\u1089?\u1087?\u1077?\u1082?\u1090?\u1072? \u1085?\u1072? \u1045?\u1057? \u1079?\u1072? \u1074?\u1098?\u1079?\u1089?\u1090?\u1072?\u1085?\u1086?\u1074?\u1103?\u1074?\u1072?\u1085?\u1077? \u1080? \u1094?\u1077?\u1083?\u1077?\u1085?\u1072?\u1089?\u1086?\u1095?\u1077?\u1085?\u1080? \u1082?\u1086?\u1088?\u1077?\u1082?\u1094?\u1080?\u1080? \u1079?\u1072? \u1092?\u1080?\u1085?\u1072?\u1085?\u1089?\u1086?\u1074?\u1080?\u1090?\u1077? \u1087?\u1086?\u1089?\u1088?\u1077?\u1076?\u1085?\u1080?\u1094?\u1080? \u1089? \u1094?\u1077?\u1083? \u1087?\u1086?\u1076?\u1087?\u1086?\u1084?\u1072?\u1075?\u1072?\u1085?\u1077? \u1085?\u1072? \u1074?\u1098?\u1079?\u1089?\u1090?\u1072?\u1085?\u1086?\u1074?\u1103?\u1074?\u1072?\u1085?\u1077?\u1090?\u1086? \u1086?\u1090? \u1087?\u1072?\u1085?\u1076?\u1077?\u1084?\u1080?\u1103?\u1090?\u1072? \u1086?\u1090? COVID-19&lt;/FMT&gt;"/>
    <w:docVar w:name="LW_OBJETACTEPRINCIPAL.CP" w:val="&lt;FMT:Font=Calibri Cyr&gt;\u1079?\u1072? \u1080?\u1079?\u1084?\u1077?\u1085?\u1077?\u1085?\u1080?\u1077? \u1085?\u1072? \u1056?\u1077?\u1075?\u1083?\u1072?\u1084?\u1077?\u1085?\u1090? (\u1045?\u1057?) 2017/1129 \u1087?\u1086? \u1086?\u1090?\u1085?\u1086?\u1096?\u1077?\u1085?\u1080?\u1077? \u1085?\u1072? \u1087?\u1088?\u1086?\u1089?\u1087?\u1077?\u1082?\u1090?\u1072? \u1085?\u1072? \u1045?\u1057? \u1079?\u1072? \u1074?\u1098?\u1079?\u1089?\u1090?\u1072?\u1085?\u1086?\u1074?\u1103?\u1074?\u1072?\u1085?\u1077? \u1080? \u1094?\u1077?\u1083?\u1077?\u1085?\u1072?\u1089?\u1086?\u1095?\u1077?\u1085?\u1080? \u1082?\u1086?\u1088?\u1077?\u1082?\u1094?\u1080?\u1080? \u1079?\u1072? \u1092?\u1080?\u1085?\u1072?\u1085?\u1089?\u1086?\u1074?\u1080?\u1090?\u1077? \u1087?\u1086?\u1089?\u1088?\u1077?\u1076?\u1085?\u1080?\u1094?\u1080? \u1089? \u1094?\u1077?\u1083? \u1087?\u1086?\u1076?\u1087?\u1086?\u1084?\u1072?\u1075?\u1072?\u1085?\u1077? \u1085?\u1072? \u1074?\u1098?\u1079?\u1089?\u1090?\u1072?\u1085?\u1086?\u1074?\u1103?\u1074?\u1072?\u1085?\u1077?\u1090?\u1086? \u1086?\u1090? \u1087?\u1072?\u1085?\u1076?\u1077?\u1084?\u1080?\u1103?\u1090?\u1072? \u1086?\u1090? COVID-19&lt;/FMT&gt;"/>
    <w:docVar w:name="LW_PART_NBR" w:val="1"/>
    <w:docVar w:name="LW_PART_NBR_TOTAL" w:val="1"/>
    <w:docVar w:name="LW_REF.INST.NEW" w:val="COM"/>
    <w:docVar w:name="LW_REF.INST.NEW_ADOPTED" w:val="final"/>
    <w:docVar w:name="LW_REF.INST.NEW_TEXT" w:val="(2020) 281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6?\u1045?\u1043?\u1051?\u1040?\u1052?\u1045?\u1053?\u1058? \u1053?\u1040? \u1045?\u1042?\u1056?\u1054?\u1055?\u1045?\u1049?\u1057?\u1050?\u1048?\u1071? \u1055?\u1040?\u1056?\u1051?\u1040?\u1052?\u1045?\u1053?\u1058? \u1048? \u1053?\u1040? \u1057?\u1066?\u1042?\u1045?\u1058?\u1040?"/>
    <w:docVar w:name="LW_TYPEACTEPRINCIPAL.CP" w:val="\u1056?\u1045?\u1043?\u1051?\u1040?\u1052?\u1045?\u1053?\u1058? \u1053?\u1040? \u1045?\u1042?\u1056?\u1054?\u1055?\u1045?\u1049?\u1057?\u1050?\u1048?\u1071? \u1055?\u1040?\u1056?\u1051?\u1040?\u1052?\u1045?\u1053?\u1058? \u1048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sz w:val="20"/>
      <w:szCs w:val="20"/>
      <w:lang w:val="bg-BG" w:eastAsia="en-GB"/>
    </w:rPr>
  </w:style>
  <w:style w:type="paragraph" w:customStyle="1" w:styleId="Sti-art">
    <w:name w:val="Sti-art"/>
    <w:basedOn w:val="Normal"/>
    <w:pPr>
      <w:ind w:left="3730" w:firstLine="590"/>
    </w:pPr>
  </w:style>
  <w:style w:type="paragraph" w:customStyle="1" w:styleId="Tri-art">
    <w:name w:val="Tri-art"/>
    <w:basedOn w:val="Point0number"/>
    <w:pPr>
      <w:numPr>
        <w:numId w:val="0"/>
      </w:numPr>
      <w:tabs>
        <w:tab w:val="left" w:pos="720"/>
      </w:tabs>
      <w:ind w:left="850" w:right="568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val="bg-BG" w:eastAsia="en-GB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pPr>
      <w:numPr>
        <w:numId w:val="5"/>
      </w:numPr>
    </w:pPr>
    <w:rPr>
      <w:rFonts w:eastAsia="Times New Roman"/>
      <w:lang w:eastAsia="de-DE"/>
    </w:rPr>
  </w:style>
  <w:style w:type="paragraph" w:customStyle="1" w:styleId="ListNumberLevel2">
    <w:name w:val="List Number (Level 2)"/>
    <w:basedOn w:val="Normal"/>
    <w:pPr>
      <w:numPr>
        <w:ilvl w:val="1"/>
        <w:numId w:val="5"/>
      </w:numPr>
    </w:pPr>
    <w:rPr>
      <w:rFonts w:eastAsia="Times New Roman"/>
      <w:lang w:eastAsia="de-DE"/>
    </w:rPr>
  </w:style>
  <w:style w:type="paragraph" w:customStyle="1" w:styleId="ListNumberLevel3">
    <w:name w:val="List Number (Level 3)"/>
    <w:basedOn w:val="Normal"/>
    <w:pPr>
      <w:numPr>
        <w:ilvl w:val="2"/>
        <w:numId w:val="5"/>
      </w:numPr>
    </w:pPr>
    <w:rPr>
      <w:rFonts w:eastAsia="Times New Roman"/>
      <w:lang w:eastAsia="de-DE"/>
    </w:rPr>
  </w:style>
  <w:style w:type="paragraph" w:customStyle="1" w:styleId="ListNumberLevel4">
    <w:name w:val="List Number (Level 4)"/>
    <w:basedOn w:val="Normal"/>
    <w:pPr>
      <w:numPr>
        <w:ilvl w:val="3"/>
        <w:numId w:val="5"/>
      </w:numPr>
    </w:pPr>
    <w:rPr>
      <w:rFonts w:eastAsia="Times New Roman"/>
      <w:lang w:eastAsia="de-DE"/>
    </w:rPr>
  </w:style>
  <w:style w:type="paragraph" w:styleId="ListNumber4">
    <w:name w:val="List Number 4"/>
    <w:basedOn w:val="Normal"/>
    <w:pPr>
      <w:numPr>
        <w:numId w:val="9"/>
      </w:numPr>
    </w:pPr>
    <w:rPr>
      <w:rFonts w:eastAsia="Times New Roman"/>
      <w:lang w:eastAsia="en-GB"/>
    </w:rPr>
  </w:style>
  <w:style w:type="paragraph" w:customStyle="1" w:styleId="ListDash3">
    <w:name w:val="List Dash 3"/>
    <w:basedOn w:val="Normal"/>
    <w:pPr>
      <w:numPr>
        <w:numId w:val="8"/>
      </w:numPr>
    </w:pPr>
    <w:rPr>
      <w:rFonts w:eastAsia="Times New Roman"/>
      <w:lang w:eastAsia="en-GB"/>
    </w:rPr>
  </w:style>
  <w:style w:type="paragraph" w:customStyle="1" w:styleId="ListNumber4Level2">
    <w:name w:val="List Number 4 (Level 2)"/>
    <w:basedOn w:val="Text4"/>
    <w:pPr>
      <w:numPr>
        <w:ilvl w:val="1"/>
        <w:numId w:val="9"/>
      </w:numPr>
    </w:pPr>
    <w:rPr>
      <w:rFonts w:eastAsia="Times New Roman"/>
      <w:lang w:eastAsia="en-GB"/>
    </w:rPr>
  </w:style>
  <w:style w:type="paragraph" w:customStyle="1" w:styleId="ListNumber4Level3">
    <w:name w:val="List Number 4 (Level 3)"/>
    <w:basedOn w:val="Text4"/>
    <w:pPr>
      <w:numPr>
        <w:ilvl w:val="2"/>
        <w:numId w:val="9"/>
      </w:numPr>
    </w:pPr>
    <w:rPr>
      <w:rFonts w:eastAsia="Times New Roman"/>
      <w:lang w:eastAsia="en-GB"/>
    </w:rPr>
  </w:style>
  <w:style w:type="paragraph" w:customStyle="1" w:styleId="ListNumber4Level4">
    <w:name w:val="List Number 4 (Level 4)"/>
    <w:basedOn w:val="Text4"/>
    <w:pPr>
      <w:numPr>
        <w:ilvl w:val="3"/>
        <w:numId w:val="9"/>
      </w:numPr>
    </w:pPr>
    <w:rPr>
      <w:rFonts w:eastAsia="Times New Roman"/>
      <w:lang w:eastAsia="en-GB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sz w:val="20"/>
      <w:szCs w:val="20"/>
      <w:lang w:val="bg-BG" w:eastAsia="en-GB"/>
    </w:rPr>
  </w:style>
  <w:style w:type="paragraph" w:customStyle="1" w:styleId="Sti-art">
    <w:name w:val="Sti-art"/>
    <w:basedOn w:val="Normal"/>
    <w:pPr>
      <w:ind w:left="3730" w:firstLine="590"/>
    </w:pPr>
  </w:style>
  <w:style w:type="paragraph" w:customStyle="1" w:styleId="Tri-art">
    <w:name w:val="Tri-art"/>
    <w:basedOn w:val="Point0number"/>
    <w:pPr>
      <w:numPr>
        <w:numId w:val="0"/>
      </w:numPr>
      <w:tabs>
        <w:tab w:val="left" w:pos="720"/>
      </w:tabs>
      <w:ind w:left="850" w:right="568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val="bg-BG" w:eastAsia="en-GB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pPr>
      <w:numPr>
        <w:numId w:val="5"/>
      </w:numPr>
    </w:pPr>
    <w:rPr>
      <w:rFonts w:eastAsia="Times New Roman"/>
      <w:lang w:eastAsia="de-DE"/>
    </w:rPr>
  </w:style>
  <w:style w:type="paragraph" w:customStyle="1" w:styleId="ListNumberLevel2">
    <w:name w:val="List Number (Level 2)"/>
    <w:basedOn w:val="Normal"/>
    <w:pPr>
      <w:numPr>
        <w:ilvl w:val="1"/>
        <w:numId w:val="5"/>
      </w:numPr>
    </w:pPr>
    <w:rPr>
      <w:rFonts w:eastAsia="Times New Roman"/>
      <w:lang w:eastAsia="de-DE"/>
    </w:rPr>
  </w:style>
  <w:style w:type="paragraph" w:customStyle="1" w:styleId="ListNumberLevel3">
    <w:name w:val="List Number (Level 3)"/>
    <w:basedOn w:val="Normal"/>
    <w:pPr>
      <w:numPr>
        <w:ilvl w:val="2"/>
        <w:numId w:val="5"/>
      </w:numPr>
    </w:pPr>
    <w:rPr>
      <w:rFonts w:eastAsia="Times New Roman"/>
      <w:lang w:eastAsia="de-DE"/>
    </w:rPr>
  </w:style>
  <w:style w:type="paragraph" w:customStyle="1" w:styleId="ListNumberLevel4">
    <w:name w:val="List Number (Level 4)"/>
    <w:basedOn w:val="Normal"/>
    <w:pPr>
      <w:numPr>
        <w:ilvl w:val="3"/>
        <w:numId w:val="5"/>
      </w:numPr>
    </w:pPr>
    <w:rPr>
      <w:rFonts w:eastAsia="Times New Roman"/>
      <w:lang w:eastAsia="de-DE"/>
    </w:rPr>
  </w:style>
  <w:style w:type="paragraph" w:styleId="ListNumber4">
    <w:name w:val="List Number 4"/>
    <w:basedOn w:val="Normal"/>
    <w:pPr>
      <w:numPr>
        <w:numId w:val="9"/>
      </w:numPr>
    </w:pPr>
    <w:rPr>
      <w:rFonts w:eastAsia="Times New Roman"/>
      <w:lang w:eastAsia="en-GB"/>
    </w:rPr>
  </w:style>
  <w:style w:type="paragraph" w:customStyle="1" w:styleId="ListDash3">
    <w:name w:val="List Dash 3"/>
    <w:basedOn w:val="Normal"/>
    <w:pPr>
      <w:numPr>
        <w:numId w:val="8"/>
      </w:numPr>
    </w:pPr>
    <w:rPr>
      <w:rFonts w:eastAsia="Times New Roman"/>
      <w:lang w:eastAsia="en-GB"/>
    </w:rPr>
  </w:style>
  <w:style w:type="paragraph" w:customStyle="1" w:styleId="ListNumber4Level2">
    <w:name w:val="List Number 4 (Level 2)"/>
    <w:basedOn w:val="Text4"/>
    <w:pPr>
      <w:numPr>
        <w:ilvl w:val="1"/>
        <w:numId w:val="9"/>
      </w:numPr>
    </w:pPr>
    <w:rPr>
      <w:rFonts w:eastAsia="Times New Roman"/>
      <w:lang w:eastAsia="en-GB"/>
    </w:rPr>
  </w:style>
  <w:style w:type="paragraph" w:customStyle="1" w:styleId="ListNumber4Level3">
    <w:name w:val="List Number 4 (Level 3)"/>
    <w:basedOn w:val="Text4"/>
    <w:pPr>
      <w:numPr>
        <w:ilvl w:val="2"/>
        <w:numId w:val="9"/>
      </w:numPr>
    </w:pPr>
    <w:rPr>
      <w:rFonts w:eastAsia="Times New Roman"/>
      <w:lang w:eastAsia="en-GB"/>
    </w:rPr>
  </w:style>
  <w:style w:type="paragraph" w:customStyle="1" w:styleId="ListNumber4Level4">
    <w:name w:val="List Number 4 (Level 4)"/>
    <w:basedOn w:val="Text4"/>
    <w:pPr>
      <w:numPr>
        <w:ilvl w:val="3"/>
        <w:numId w:val="9"/>
      </w:numPr>
    </w:pPr>
    <w:rPr>
      <w:rFonts w:eastAsia="Times New Roman"/>
      <w:lang w:eastAsia="en-GB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F370F79735E2304FB3EE3550DB93E366" ma:contentTypeVersion="8" ma:contentTypeDescription="Create a new document in this library." ma:contentTypeScope="" ma:versionID="8e9c6a5b7e191c6ee07e5ebd4e84d501">
  <xsd:schema xmlns:xsd="http://www.w3.org/2001/XMLSchema" xmlns:xs="http://www.w3.org/2001/XMLSchema" xmlns:p="http://schemas.microsoft.com/office/2006/metadata/properties" xmlns:ns3="c429c46a-7e15-44c9-a838-73f00aaab325" targetNamespace="http://schemas.microsoft.com/office/2006/metadata/properties" ma:root="true" ma:fieldsID="153b9c4ac5556338c6ed9e777d696c21" ns3:_="">
    <xsd:import namespace="c429c46a-7e15-44c9-a838-73f00aaab325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3:EC_Collab_DocumentLanguage"/>
                <xsd:element ref="ns3:EC_Collab_Status" minOccurs="0"/>
                <xsd:element ref="ns3:EC_ARES_NUMBER" minOccurs="0"/>
                <xsd:element ref="ns3:EC_ARES_DATE_TRANSFERRED" minOccurs="0"/>
                <xsd:element ref="ns3:EC_ARES_TRANSFERRED_BY" minOccurs="0"/>
                <xsd:element ref="ns3:ndsv" minOccurs="0"/>
                <xsd:element ref="ns3:mipz" minOccurs="0"/>
                <xsd:element ref="ns3:qbpv" minOccurs="0"/>
                <xsd:element ref="ns3:cv7q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9c46a-7e15-44c9-a838-73f00aaab325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3" ma:displayName="Language" ma:default="E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4" nillable="true" ma:displayName="EC Status" ma:default="Not Started" ma:internalName="EC_Collab_Status" ma:readOnly="false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  <xsd:element name="EC_ARES_NUMBER" ma:index="15" nillable="true" ma:displayName="Ares Number" ma:format="Hyperlink" ma:hidden="true" ma:internalName="EC_ARES_NUMBE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C_ARES_DATE_TRANSFERRED" ma:index="16" nillable="true" ma:displayName="Transferred to Ares" ma:format="DateTime" ma:hidden="true" ma:internalName="EC_ARES_DATE_TRANSFERRED">
      <xsd:simpleType>
        <xsd:restriction base="dms:DateTime"/>
      </xsd:simpleType>
    </xsd:element>
    <xsd:element name="EC_ARES_TRANSFERRED_BY" ma:index="17" nillable="true" ma:displayName="Transferred By" ma:hidden="true" ma:internalName="EC_ARES_TRANSFERRED_BY">
      <xsd:simpleType>
        <xsd:restriction base="dms:Text"/>
      </xsd:simpleType>
    </xsd:element>
    <xsd:element name="ndsv" ma:index="18" nillable="true" ma:displayName="Date" ma:internalName="ndsv">
      <xsd:simpleType>
        <xsd:restriction base="dms:DateTime"/>
      </xsd:simpleType>
    </xsd:element>
    <xsd:element name="mipz" ma:index="19" nillable="true" ma:displayName="Area" ma:internalName="mipz">
      <xsd:simpleType>
        <xsd:restriction base="dms:Text"/>
      </xsd:simpleType>
    </xsd:element>
    <xsd:element name="qbpv" ma:index="20" nillable="true" ma:displayName="Event" ma:internalName="qbpv">
      <xsd:simpleType>
        <xsd:restriction base="dms:Text"/>
      </xsd:simpleType>
    </xsd:element>
    <xsd:element name="cv7q" ma:index="21" nillable="true" ma:displayName="Number" ma:internalName="cv7q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_ARES_TRANSFERRED_BY xmlns="c429c46a-7e15-44c9-a838-73f00aaab325" xsi:nil="true"/>
    <cv7q xmlns="c429c46a-7e15-44c9-a838-73f00aaab325" xsi:nil="true"/>
    <EC_ARES_NUMBER xmlns="c429c46a-7e15-44c9-a838-73f00aaab325">
      <Url xsi:nil="true"/>
      <Description xsi:nil="true"/>
    </EC_ARES_NUMBER>
    <EC_ARES_DATE_TRANSFERRED xmlns="c429c46a-7e15-44c9-a838-73f00aaab325" xsi:nil="true"/>
    <qbpv xmlns="c429c46a-7e15-44c9-a838-73f00aaab325" xsi:nil="true"/>
    <EC_Collab_Reference xmlns="c429c46a-7e15-44c9-a838-73f00aaab325" xsi:nil="true"/>
    <EC_Collab_DocumentLanguage xmlns="c429c46a-7e15-44c9-a838-73f00aaab325">EN</EC_Collab_DocumentLanguage>
    <EC_Collab_Status xmlns="c429c46a-7e15-44c9-a838-73f00aaab325">Not Started</EC_Collab_Status>
    <ndsv xmlns="c429c46a-7e15-44c9-a838-73f00aaab325" xsi:nil="true"/>
    <mipz xmlns="c429c46a-7e15-44c9-a838-73f00aaab325" xsi:nil="true"/>
  </documentManagement>
</p:properties>
</file>

<file path=customXml/itemProps1.xml><?xml version="1.0" encoding="utf-8"?>
<ds:datastoreItem xmlns:ds="http://schemas.openxmlformats.org/officeDocument/2006/customXml" ds:itemID="{13C88EBE-EF53-42A3-B2C1-1852760C8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29c46a-7e15-44c9-a838-73f00aaab3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37332B-6A9B-4E46-8F54-D4D01C432126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324DCACF-B676-438A-BF17-7281649830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5BE296-1ADB-4983-BC7C-790ED89422FF}">
  <ds:schemaRefs>
    <ds:schemaRef ds:uri="http://schemas.microsoft.com/office/2006/metadata/properties"/>
    <ds:schemaRef ds:uri="http://schemas.microsoft.com/office/infopath/2007/PartnerControls"/>
    <ds:schemaRef ds:uri="c429c46a-7e15-44c9-a838-73f00aaab3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2</TotalTime>
  <Pages>4</Pages>
  <Words>916</Words>
  <Characters>5389</Characters>
  <Application>Microsoft Office Word</Application>
  <DocSecurity>0</DocSecurity>
  <Lines>122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POSTI Cesare (FISMA)</dc:creator>
  <cp:keywords/>
  <dc:description/>
  <cp:lastModifiedBy>WES PDFC Administrator</cp:lastModifiedBy>
  <cp:revision>12</cp:revision>
  <dcterms:created xsi:type="dcterms:W3CDTF">2020-08-07T15:26:00Z</dcterms:created>
  <dcterms:modified xsi:type="dcterms:W3CDTF">2020-08-10T09:16:00Z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7.0.8.0</vt:lpwstr>
  </property>
  <property fmtid="{D5CDD505-2E9C-101B-9397-08002B2CF9AE}" pid="4" name="Last edited using">
    <vt:lpwstr>LW 7.0.1, Build 20190916</vt:lpwstr>
  </property>
  <property fmtid="{D5CDD505-2E9C-101B-9397-08002B2CF9AE}" pid="5" name="Created using">
    <vt:lpwstr>LW 7.0, Build 20190717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ContentTypeId">
    <vt:lpwstr>0x010100258AA79CEB83498886A3A0868112325000F370F79735E2304FB3EE3550DB93E366</vt:lpwstr>
  </property>
  <property fmtid="{D5CDD505-2E9C-101B-9397-08002B2CF9AE}" pid="14" name="DQCStatus">
    <vt:lpwstr>Green (DQC version 03)</vt:lpwstr>
  </property>
</Properties>
</file>