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2" type="#_x0000_t75" alt="169E1964-27C3-464C-BEAF-F123343F7BDE" style="width:450.4pt;height:320.65pt">
            <v:imagedata r:id="rId9" o:title=""/>
          </v:shape>
        </w:pict>
      </w:r>
    </w:p>
    <w:bookmarkEnd w:id="0"/>
    <w:p>
      <w:pPr>
        <w:rPr>
          <w:noProof/>
          <w:lang w:eastAsia="de-D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/>
          <w:pgMar w:top="1134" w:right="1417" w:bottom="1134" w:left="1417" w:header="709" w:footer="709" w:gutter="0"/>
          <w:pgNumType w:start="1"/>
          <w:cols w:space="720"/>
          <w:docGrid w:linePitch="299"/>
        </w:sectPr>
      </w:pPr>
    </w:p>
    <w:p>
      <w:pPr>
        <w:spacing w:after="0"/>
        <w:rPr>
          <w:rFonts w:ascii="Times New Roman" w:hAnsi="Times New Roman"/>
          <w:noProof/>
          <w:sz w:val="24"/>
          <w:szCs w:val="24"/>
        </w:rPr>
      </w:pPr>
      <w:bookmarkStart w:id="1" w:name="_GoBack"/>
      <w:bookmarkEnd w:id="1"/>
    </w:p>
    <w:sdt>
      <w:sdtPr>
        <w:rPr>
          <w:rFonts w:ascii="Calibri" w:eastAsia="Calibri" w:hAnsi="Calibri"/>
          <w:b w:val="0"/>
          <w:noProof/>
          <w:sz w:val="22"/>
          <w:szCs w:val="22"/>
        </w:rPr>
        <w:id w:val="670845034"/>
        <w:docPartObj>
          <w:docPartGallery w:val="Table of Contents"/>
          <w:docPartUnique/>
        </w:docPartObj>
      </w:sdtPr>
      <w:sdtEndPr>
        <w:rPr>
          <w:bCs/>
        </w:rPr>
      </w:sdtEndPr>
      <w:sdtContent>
        <w:p>
          <w:pPr>
            <w:pStyle w:val="TOCHeading"/>
            <w:rPr>
              <w:noProof/>
            </w:rPr>
          </w:pPr>
          <w:r>
            <w:rPr>
              <w:noProof/>
            </w:rPr>
            <w:t>Съдържание</w:t>
          </w:r>
        </w:p>
        <w:p>
          <w:pPr>
            <w:rPr>
              <w:noProof/>
            </w:rPr>
          </w:pPr>
        </w:p>
        <w:p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TOC \o "1-3" \h \z \u </w:instrText>
          </w:r>
          <w:r>
            <w:rPr>
              <w:noProof/>
            </w:rPr>
            <w:fldChar w:fldCharType="separate"/>
          </w:r>
          <w:hyperlink w:anchor="_Toc45738532" w:history="1">
            <w:r>
              <w:rPr>
                <w:rStyle w:val="Hyperlink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>
              <w:rPr>
                <w:rStyle w:val="Hyperlink"/>
                <w:noProof/>
              </w:rPr>
              <w:t>Бюджетна процедура за ЕФГЗ за 2020 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_Toc45738532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45738533" w:history="1">
            <w:r>
              <w:rPr>
                <w:rStyle w:val="Hyperlink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>
              <w:rPr>
                <w:rStyle w:val="Hyperlink"/>
                <w:noProof/>
              </w:rPr>
              <w:t>Целеви приходи за ЕФГЗ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_Toc45738533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45738534" w:history="1">
            <w:r>
              <w:rPr>
                <w:rStyle w:val="Hyperlink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>
              <w:rPr>
                <w:rStyle w:val="Hyperlink"/>
                <w:noProof/>
              </w:rPr>
              <w:t>Бележки по предварителните данни за изпълнението на бюджета на ЕФГЗ за 2020 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_Toc45738534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TOC2"/>
            <w:tabs>
              <w:tab w:val="left" w:pos="850"/>
              <w:tab w:val="right" w:leader="dot" w:pos="9039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45738535" w:history="1">
            <w:r>
              <w:rPr>
                <w:rStyle w:val="Hyperlink"/>
                <w:noProof/>
              </w:rPr>
              <w:t>3.1.</w:t>
            </w:r>
            <w:r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>
              <w:rPr>
                <w:rStyle w:val="Hyperlink"/>
                <w:noProof/>
              </w:rPr>
              <w:t>Пазарни мерки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_Toc45738535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TOC3"/>
            <w:tabs>
              <w:tab w:val="left" w:pos="1320"/>
              <w:tab w:val="right" w:leader="dot" w:pos="9039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45738536" w:history="1">
            <w:r>
              <w:rPr>
                <w:rStyle w:val="Hyperlink"/>
                <w:noProof/>
              </w:rPr>
              <w:t>3.1.1.</w:t>
            </w:r>
            <w:r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>
              <w:rPr>
                <w:rStyle w:val="Hyperlink"/>
                <w:noProof/>
              </w:rPr>
              <w:t>Маслиново масло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_Toc45738536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TOC3"/>
            <w:tabs>
              <w:tab w:val="left" w:pos="1320"/>
              <w:tab w:val="right" w:leader="dot" w:pos="9039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45738537" w:history="1">
            <w:r>
              <w:rPr>
                <w:rStyle w:val="Hyperlink"/>
                <w:noProof/>
              </w:rPr>
              <w:t>3.1.2.</w:t>
            </w:r>
            <w:r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>
              <w:rPr>
                <w:rStyle w:val="Hyperlink"/>
                <w:noProof/>
              </w:rPr>
              <w:t>Насърчаване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_Toc45738537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TOC3"/>
            <w:tabs>
              <w:tab w:val="left" w:pos="1320"/>
              <w:tab w:val="right" w:leader="dot" w:pos="9039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45738538" w:history="1">
            <w:r>
              <w:rPr>
                <w:rStyle w:val="Hyperlink"/>
                <w:noProof/>
              </w:rPr>
              <w:t>3.1.3.</w:t>
            </w:r>
            <w:r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>
              <w:rPr>
                <w:rStyle w:val="Hyperlink"/>
                <w:noProof/>
              </w:rPr>
              <w:t>Плодове и зеленчуци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_Toc45738538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TOC3"/>
            <w:tabs>
              <w:tab w:val="left" w:pos="1320"/>
              <w:tab w:val="right" w:leader="dot" w:pos="9039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45738539" w:history="1">
            <w:r>
              <w:rPr>
                <w:rStyle w:val="Hyperlink"/>
                <w:noProof/>
              </w:rPr>
              <w:t>3.1.4.</w:t>
            </w:r>
            <w:r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>
              <w:rPr>
                <w:rStyle w:val="Hyperlink"/>
                <w:noProof/>
              </w:rPr>
              <w:t>Продукти от лозаро-винарския сектор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_Toc45738539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TOC2"/>
            <w:tabs>
              <w:tab w:val="left" w:pos="850"/>
              <w:tab w:val="right" w:leader="dot" w:pos="9039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45738540" w:history="1">
            <w:r>
              <w:rPr>
                <w:rStyle w:val="Hyperlink"/>
                <w:noProof/>
              </w:rPr>
              <w:t>3.2.</w:t>
            </w:r>
            <w:r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>
              <w:rPr>
                <w:rStyle w:val="Hyperlink"/>
                <w:noProof/>
              </w:rPr>
              <w:t>Директни плащания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_Toc45738540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TOC3"/>
            <w:tabs>
              <w:tab w:val="left" w:pos="1320"/>
              <w:tab w:val="right" w:leader="dot" w:pos="9039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45738541" w:history="1">
            <w:r>
              <w:rPr>
                <w:rStyle w:val="Hyperlink"/>
                <w:noProof/>
              </w:rPr>
              <w:t>3.2.1.</w:t>
            </w:r>
            <w:r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>
              <w:rPr>
                <w:rStyle w:val="Hyperlink"/>
                <w:noProof/>
              </w:rPr>
              <w:t>Отделени от производството директни плащания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_Toc45738541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TOC3"/>
            <w:tabs>
              <w:tab w:val="left" w:pos="1320"/>
              <w:tab w:val="right" w:leader="dot" w:pos="9039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45738542" w:history="1">
            <w:r>
              <w:rPr>
                <w:rStyle w:val="Hyperlink"/>
                <w:noProof/>
              </w:rPr>
              <w:t>3.2.2.</w:t>
            </w:r>
            <w:r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>
              <w:rPr>
                <w:rStyle w:val="Hyperlink"/>
                <w:noProof/>
              </w:rPr>
              <w:t>Други директни плащания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_Toc45738542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45738543" w:history="1">
            <w:r>
              <w:rPr>
                <w:rStyle w:val="Hyperlink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>
              <w:rPr>
                <w:rStyle w:val="Hyperlink"/>
                <w:noProof/>
              </w:rPr>
              <w:t>Изпълнение на целевите приходи по линия на ЕФГЗ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_Toc45738543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45738544" w:history="1">
            <w:r>
              <w:rPr>
                <w:rStyle w:val="Hyperlink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>
              <w:rPr>
                <w:rStyle w:val="Hyperlink"/>
                <w:noProof/>
              </w:rPr>
              <w:t>Заключения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_Toc45738544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rPr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>
      <w:pPr>
        <w:spacing w:after="0"/>
        <w:rPr>
          <w:rFonts w:ascii="Times New Roman" w:hAnsi="Times New Roman"/>
          <w:noProof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11"/>
        <w:gridCol w:w="7154"/>
      </w:tblGrid>
      <w:tr>
        <w:tc>
          <w:tcPr>
            <w:tcW w:w="1908" w:type="dxa"/>
            <w:hideMark/>
          </w:tcPr>
          <w:p>
            <w:pPr>
              <w:spacing w:before="120" w:after="120"/>
              <w:ind w:right="612"/>
              <w:rPr>
                <w:rFonts w:ascii="Times New Roman" w:hAnsi="Times New Roman"/>
                <w:smallCaps/>
                <w:noProof/>
              </w:rPr>
            </w:pPr>
            <w:r>
              <w:rPr>
                <w:rFonts w:ascii="Times New Roman" w:hAnsi="Times New Roman"/>
                <w:smallCaps/>
                <w:noProof/>
              </w:rPr>
              <w:t>Приложение 1:</w:t>
            </w:r>
          </w:p>
          <w:p>
            <w:pPr>
              <w:spacing w:before="120" w:after="120"/>
              <w:ind w:right="612"/>
              <w:rPr>
                <w:rFonts w:ascii="Times New Roman" w:hAnsi="Times New Roman"/>
                <w:smallCaps/>
                <w:noProof/>
                <w:sz w:val="24"/>
                <w:szCs w:val="24"/>
              </w:rPr>
            </w:pPr>
          </w:p>
        </w:tc>
        <w:tc>
          <w:tcPr>
            <w:tcW w:w="7320" w:type="dxa"/>
            <w:hideMark/>
          </w:tcPr>
          <w:p>
            <w:pPr>
              <w:spacing w:before="120" w:after="120"/>
              <w:rPr>
                <w:rFonts w:ascii="Times New Roman" w:hAnsi="Times New Roman"/>
                <w:smallCap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noProof/>
              </w:rPr>
              <w:t>предварителни данни за усвояването на бюджетните кредити по линия на ЕФГЗ към 30.4.2020 г.</w:t>
            </w:r>
          </w:p>
        </w:tc>
      </w:tr>
    </w:tbl>
    <w:p>
      <w:pPr>
        <w:spacing w:after="0"/>
        <w:rPr>
          <w:noProof/>
        </w:rPr>
      </w:pPr>
    </w:p>
    <w:p>
      <w:pPr>
        <w:spacing w:after="0"/>
        <w:rPr>
          <w:noProof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7" w:h="16840"/>
          <w:pgMar w:top="1134" w:right="1418" w:bottom="1134" w:left="1440" w:header="595" w:footer="567" w:gutter="0"/>
          <w:pgNumType w:start="1"/>
          <w:cols w:space="720"/>
        </w:sectPr>
      </w:pPr>
    </w:p>
    <w:p>
      <w:pPr>
        <w:pStyle w:val="Heading1"/>
        <w:numPr>
          <w:ilvl w:val="0"/>
          <w:numId w:val="4"/>
        </w:numPr>
        <w:rPr>
          <w:noProof/>
        </w:rPr>
      </w:pPr>
      <w:bookmarkStart w:id="2" w:name="_Toc229306111"/>
      <w:bookmarkStart w:id="3" w:name="_Toc413145207"/>
      <w:bookmarkStart w:id="4" w:name="_Toc45738532"/>
      <w:bookmarkStart w:id="5" w:name="_Toc244054012"/>
      <w:bookmarkStart w:id="6" w:name="_Toc244054013"/>
      <w:r>
        <w:rPr>
          <w:noProof/>
        </w:rPr>
        <w:lastRenderedPageBreak/>
        <w:t>Бюджетна процедура за ЕФГЗ за 2020 г.</w:t>
      </w:r>
      <w:bookmarkEnd w:id="2"/>
      <w:bookmarkEnd w:id="3"/>
      <w:bookmarkEnd w:id="4"/>
    </w:p>
    <w:p>
      <w:pPr>
        <w:pStyle w:val="Text1"/>
        <w:rPr>
          <w:noProof/>
        </w:rPr>
      </w:pPr>
      <w:r>
        <w:rPr>
          <w:noProof/>
        </w:rPr>
        <w:t>На 27 ноември 2019 г. Европейският парламент прие общия бюджет на Европейския съюз за 2020 г. В него за Европейския фонд за гарантиране на земеделието (ЕФГЗ) са предвидени бюджетни кредити за поети задължения и бюджетни кредити за плащания съответно в размер на 43 410 млн. евро и 43 380 млн. евро — за директни плащания и за разходи, свързани с пазара.</w:t>
      </w:r>
    </w:p>
    <w:p>
      <w:pPr>
        <w:pStyle w:val="Text1"/>
        <w:rPr>
          <w:noProof/>
        </w:rPr>
      </w:pPr>
      <w:r>
        <w:rPr>
          <w:noProof/>
        </w:rPr>
        <w:t>Разликата между размера на бюджетните кредити за поети задължения и бюджетните кредити за плащания се дължи на факта, че за някои мерки, прилагани пряко от Комисията, се използват многогодишни бюджетни кредити. Те са свързани главно с мерките за насърчаване на продажбите на селскостопански продукти и с мерките за стратегическо планиране и координиране на политиките.</w:t>
      </w:r>
    </w:p>
    <w:p>
      <w:pPr>
        <w:pStyle w:val="Heading1"/>
        <w:rPr>
          <w:noProof/>
        </w:rPr>
      </w:pPr>
      <w:bookmarkStart w:id="7" w:name="_Toc413145208"/>
      <w:bookmarkStart w:id="8" w:name="_Toc45738533"/>
      <w:bookmarkEnd w:id="5"/>
      <w:r>
        <w:rPr>
          <w:noProof/>
        </w:rPr>
        <w:t>Целеви приходи за ЕФГЗ</w:t>
      </w:r>
      <w:bookmarkEnd w:id="6"/>
      <w:bookmarkEnd w:id="7"/>
      <w:bookmarkEnd w:id="8"/>
    </w:p>
    <w:p>
      <w:pPr>
        <w:spacing w:before="120" w:after="120" w:line="240" w:lineRule="auto"/>
        <w:ind w:left="85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На основание член 43 от Регламент (ЕС) № 1306/2013 приходите от финансови корекции по силата на решения за счетоводно уравняване и уравняване по съответствие и вследствие на нередности представляват целеви приходи за финансирането на разходите по линия на ЕФГЗ. </w:t>
      </w:r>
    </w:p>
    <w:p>
      <w:pPr>
        <w:spacing w:before="120" w:after="120" w:line="240" w:lineRule="auto"/>
        <w:ind w:left="85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В съответствие с посочените разпоредби целевите приходи могат да се използват за финансиране на всякакви разходи по линия на ЕФГЗ. Всяка част от тези приходи, която не е усвоена в рамките на бюджетната година, се пренася автоматично за следващата бюджетна година</w:t>
      </w:r>
      <w:r>
        <w:rPr>
          <w:rFonts w:ascii="Times New Roman" w:eastAsia="Times New Roman" w:hAnsi="Times New Roman"/>
          <w:noProof/>
          <w:sz w:val="24"/>
          <w:szCs w:val="24"/>
          <w:vertAlign w:val="superscript"/>
        </w:rPr>
        <w:footnoteReference w:id="1"/>
      </w:r>
      <w:r>
        <w:rPr>
          <w:rFonts w:ascii="Times New Roman" w:hAnsi="Times New Roman"/>
          <w:noProof/>
          <w:sz w:val="24"/>
          <w:szCs w:val="24"/>
        </w:rPr>
        <w:t>.</w:t>
      </w:r>
    </w:p>
    <w:p>
      <w:pPr>
        <w:spacing w:before="120" w:after="0" w:line="240" w:lineRule="auto"/>
        <w:ind w:left="851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Бюджетът на ЕФГЗ за 2020 г. включва:</w:t>
      </w:r>
    </w:p>
    <w:p>
      <w:pPr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най-актуалните разчети на Комисията за потребностите от финансиране на пазарните мерки и директните плащания,</w:t>
      </w:r>
    </w:p>
    <w:p>
      <w:pPr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разчетите за целевите приходи, които се очаква да бъдат събрани през съответната бюджетна година,</w:t>
      </w:r>
    </w:p>
    <w:p>
      <w:pPr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пренесените неусвоени целеви приходи от предходната бюджетна година.</w:t>
      </w:r>
    </w:p>
    <w:p>
      <w:pPr>
        <w:spacing w:before="120" w:after="0" w:line="240" w:lineRule="auto"/>
        <w:ind w:left="85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В предложението си относно бюджетните кредити за ЕФГЗ за 2020 г. Комисията взе предвид общия размер на очакваните целеви приходи и поиска в бюджета за 2020 г. кредити, чийто размер възлиза на разликата между очакваните потребности и очакваните целеви приходи. Бюджетният орган прие бюджета на ЕФГЗ, като взе предвид очакваните целеви приходи. </w:t>
      </w:r>
    </w:p>
    <w:p>
      <w:pPr>
        <w:spacing w:before="120" w:after="120" w:line="240" w:lineRule="auto"/>
        <w:ind w:left="85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Според разчетите на Комисията наличните целеви приходи към момента на съставяне на бюджета за 2020 г. възлизат на 1 071 млн. евро и включват: </w:t>
      </w:r>
    </w:p>
    <w:p>
      <w:pPr>
        <w:numPr>
          <w:ilvl w:val="0"/>
          <w:numId w:val="13"/>
        </w:numPr>
        <w:spacing w:before="120" w:after="12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Cs w:val="24"/>
        </w:rPr>
        <w:lastRenderedPageBreak/>
        <w:t>целевите приходи, които се очаква да се генерират през бюджетната 2020 година и чийто разчетен размер е 719 млн. евро (592 млн. евро от корекции от уравняване по съответствие и 127 млн. евро вследствие на нередности);</w:t>
      </w:r>
    </w:p>
    <w:p>
      <w:pPr>
        <w:numPr>
          <w:ilvl w:val="0"/>
          <w:numId w:val="13"/>
        </w:numPr>
        <w:spacing w:before="120" w:after="12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целевите приходи, които ще бъдат пренесени от 2019 г. и чийто разчетен размер е 352 млн. евро.</w:t>
      </w:r>
    </w:p>
    <w:p>
      <w:pPr>
        <w:spacing w:before="120" w:after="120" w:line="240" w:lineRule="auto"/>
        <w:ind w:left="85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Комисията разпредели тези разчетни приходи в размер на 1 071 млн. евро за следните схеми: </w:t>
      </w:r>
    </w:p>
    <w:p>
      <w:pPr>
        <w:numPr>
          <w:ilvl w:val="0"/>
          <w:numId w:val="14"/>
        </w:numPr>
        <w:spacing w:before="120" w:after="12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150 млн. евро за оперативните фондове за организациите на производителите на плодове и зеленчуци, и</w:t>
      </w:r>
    </w:p>
    <w:p>
      <w:pPr>
        <w:numPr>
          <w:ilvl w:val="0"/>
          <w:numId w:val="14"/>
        </w:numPr>
        <w:spacing w:before="120" w:after="12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921 млн. евро за схемата за основно плащане. </w:t>
      </w:r>
    </w:p>
    <w:p>
      <w:pPr>
        <w:spacing w:before="120" w:after="120" w:line="240" w:lineRule="auto"/>
        <w:ind w:left="85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Сборът на одобрените бюджетни кредити и целевите приходи за тези схеми е следният:</w:t>
      </w:r>
    </w:p>
    <w:p>
      <w:pPr>
        <w:numPr>
          <w:ilvl w:val="0"/>
          <w:numId w:val="15"/>
        </w:numPr>
        <w:spacing w:before="120" w:after="12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849 млн. евро за оперативните фондове за организациите на производителите на плодове и зеленчуци, и</w:t>
      </w:r>
    </w:p>
    <w:p>
      <w:pPr>
        <w:numPr>
          <w:ilvl w:val="0"/>
          <w:numId w:val="15"/>
        </w:numPr>
        <w:spacing w:before="120" w:after="12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17 038 млн. евро за схемата за основно плащане.</w:t>
      </w:r>
    </w:p>
    <w:p>
      <w:pPr>
        <w:spacing w:before="120" w:after="120" w:line="240" w:lineRule="auto"/>
        <w:ind w:left="85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В приложението, в което се представят предварителните данни за изпълнението на бюджета за 2020 г., гореспоменатите целеви приходи не са отчетени в данните за бюджетните кредити по статиите за плодовете и зеленчуците и за отделените от производството директни плащания. Данните представляват одобрените бюджетни кредити по тези статии, възлизащи съответно на 700,5 млн. евро и 34 574 млн. евро. </w:t>
      </w:r>
    </w:p>
    <w:p>
      <w:pPr>
        <w:spacing w:before="120" w:after="120" w:line="240" w:lineRule="auto"/>
        <w:ind w:left="85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С включването на целевите приходи по тези статии общият размер на средствата, предвидени в бюджета за 2020 г., е 850,5 млн. евро за сектора на плодовете и зеленчуците и 35 495 млн. евро за отделените от производството директни плащания. </w:t>
      </w:r>
    </w:p>
    <w:p>
      <w:pPr>
        <w:pStyle w:val="Heading1"/>
        <w:rPr>
          <w:noProof/>
        </w:rPr>
      </w:pPr>
      <w:bookmarkStart w:id="9" w:name="_Toc244054015"/>
      <w:bookmarkStart w:id="10" w:name="_Toc413145209"/>
      <w:bookmarkStart w:id="11" w:name="_Toc45738534"/>
      <w:r>
        <w:rPr>
          <w:noProof/>
        </w:rPr>
        <w:t>Бележки по предварителните данни за изпълнението на бюджета на ЕФГЗ за 2020 г.</w:t>
      </w:r>
      <w:bookmarkEnd w:id="9"/>
      <w:bookmarkEnd w:id="10"/>
      <w:bookmarkEnd w:id="11"/>
    </w:p>
    <w:p>
      <w:pPr>
        <w:spacing w:before="120" w:after="120" w:line="240" w:lineRule="auto"/>
        <w:ind w:left="850"/>
        <w:jc w:val="both"/>
        <w:rPr>
          <w:rFonts w:ascii="Times New Roman" w:eastAsia="Times New Roman" w:hAnsi="Times New Roman"/>
          <w:noProof/>
          <w:sz w:val="24"/>
          <w:szCs w:val="24"/>
        </w:rPr>
      </w:pPr>
      <w:bookmarkStart w:id="12" w:name="_Toc244054016"/>
      <w:r>
        <w:rPr>
          <w:rFonts w:ascii="Times New Roman" w:hAnsi="Times New Roman"/>
          <w:noProof/>
          <w:sz w:val="24"/>
          <w:szCs w:val="24"/>
        </w:rPr>
        <w:t>В приложението към настоящия доклад са представени предварителните данни за изпълнението на бюджета за периода от 16 октомври 2019 г. до 30 април 2020 г. Това изпълнение е съпоставено с профила на разходите на Системата за ранно предупреждение и мониторинг, въведена съгласно член 28 от Регламент (ЕС) № 1306/2013.</w:t>
      </w:r>
    </w:p>
    <w:p>
      <w:pPr>
        <w:spacing w:before="120" w:after="120" w:line="240" w:lineRule="auto"/>
        <w:ind w:left="850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>
      <w:pPr>
        <w:pStyle w:val="Heading2"/>
        <w:rPr>
          <w:noProof/>
        </w:rPr>
      </w:pPr>
      <w:bookmarkStart w:id="13" w:name="_Toc45738535"/>
      <w:r>
        <w:rPr>
          <w:noProof/>
        </w:rPr>
        <w:t>Пазарни мерки</w:t>
      </w:r>
      <w:bookmarkEnd w:id="12"/>
      <w:bookmarkEnd w:id="13"/>
    </w:p>
    <w:p>
      <w:pPr>
        <w:pStyle w:val="Text1"/>
        <w:rPr>
          <w:noProof/>
        </w:rPr>
      </w:pPr>
      <w:r>
        <w:rPr>
          <w:noProof/>
        </w:rPr>
        <w:t>Усвоените бюджетни кредити за интервенции на селскостопанските пазари бяха със 180,5 млн. евро по-малко от разчетените според профила на усвояване. Това се дължи предимно на по-ниското усвояване на бюджетни кредити по бюджетните статии за насърчаване на селскостопански продукти и за лозаро-винарския сектор (вж. точки 3.1.2 и 3.1.4).</w:t>
      </w:r>
    </w:p>
    <w:p>
      <w:pPr>
        <w:pStyle w:val="Heading3"/>
        <w:rPr>
          <w:noProof/>
        </w:rPr>
      </w:pPr>
      <w:bookmarkStart w:id="14" w:name="_Toc11851185"/>
      <w:bookmarkStart w:id="15" w:name="_Toc45738536"/>
      <w:r>
        <w:rPr>
          <w:noProof/>
        </w:rPr>
        <w:t>Маслиново масло</w:t>
      </w:r>
      <w:bookmarkEnd w:id="14"/>
      <w:bookmarkEnd w:id="15"/>
    </w:p>
    <w:p>
      <w:pPr>
        <w:pStyle w:val="Text1"/>
        <w:rPr>
          <w:noProof/>
        </w:rPr>
      </w:pPr>
      <w:r>
        <w:rPr>
          <w:noProof/>
        </w:rPr>
        <w:t>Към края на април разходите, направени за програми за подобряване на качеството, бяха с 4,5 млн. евро по-малко от разчетените според профила на разходите.</w:t>
      </w:r>
    </w:p>
    <w:p>
      <w:pPr>
        <w:pStyle w:val="Text1"/>
        <w:rPr>
          <w:noProof/>
        </w:rPr>
      </w:pPr>
      <w:r>
        <w:rPr>
          <w:noProof/>
        </w:rPr>
        <w:t>Очаква се обаче заложената в бюджета сума да бъде изпълнена към края на годината.</w:t>
      </w:r>
    </w:p>
    <w:p>
      <w:pPr>
        <w:pStyle w:val="Heading3"/>
        <w:rPr>
          <w:noProof/>
        </w:rPr>
      </w:pPr>
      <w:bookmarkStart w:id="16" w:name="_Toc525722902"/>
      <w:bookmarkStart w:id="17" w:name="_Toc525734906"/>
      <w:bookmarkStart w:id="18" w:name="_Toc525736637"/>
      <w:bookmarkStart w:id="19" w:name="_Toc526175165"/>
      <w:bookmarkStart w:id="20" w:name="_Toc45738537"/>
      <w:bookmarkEnd w:id="16"/>
      <w:bookmarkEnd w:id="17"/>
      <w:bookmarkEnd w:id="18"/>
      <w:bookmarkEnd w:id="19"/>
      <w:r>
        <w:rPr>
          <w:noProof/>
        </w:rPr>
        <w:t>Насърчаване</w:t>
      </w:r>
      <w:bookmarkEnd w:id="20"/>
    </w:p>
    <w:p>
      <w:pPr>
        <w:pStyle w:val="Text1"/>
        <w:rPr>
          <w:noProof/>
        </w:rPr>
      </w:pPr>
      <w:r>
        <w:rPr>
          <w:noProof/>
        </w:rPr>
        <w:t>Първоначално се очакваше, че задълженията при бюджетните кредити за т.нар. „многонационални“ програми ще бъдат поети през януари. Това все още не е факт, поради което изпълнението на бюджета временно показва разлика от -114,8 млн. евро в сравнение с профила на разходите. Очаква се обаче заложената в бюджета сума да бъде усвоена до края на годината.</w:t>
      </w:r>
    </w:p>
    <w:p>
      <w:pPr>
        <w:pStyle w:val="Heading3"/>
        <w:rPr>
          <w:noProof/>
        </w:rPr>
      </w:pPr>
      <w:bookmarkStart w:id="21" w:name="_Toc45738538"/>
      <w:r>
        <w:rPr>
          <w:noProof/>
        </w:rPr>
        <w:t>Плодове и зеленчуци</w:t>
      </w:r>
      <w:bookmarkEnd w:id="21"/>
    </w:p>
    <w:p>
      <w:pPr>
        <w:pStyle w:val="Text1"/>
        <w:rPr>
          <w:noProof/>
        </w:rPr>
      </w:pPr>
      <w:r>
        <w:rPr>
          <w:noProof/>
        </w:rPr>
        <w:t xml:space="preserve">Изпълнението на бюджета за този сектор, най-вече по отношение на разходите за оперативните фондове за организациите на производителите, надвишава профила на разходите с 30 млн. евро. </w:t>
      </w:r>
    </w:p>
    <w:p>
      <w:pPr>
        <w:pStyle w:val="Heading3"/>
        <w:rPr>
          <w:noProof/>
        </w:rPr>
      </w:pPr>
      <w:bookmarkStart w:id="22" w:name="_Toc45738539"/>
      <w:r>
        <w:rPr>
          <w:noProof/>
        </w:rPr>
        <w:t>Продукти от лозаро-винарския сектор</w:t>
      </w:r>
      <w:bookmarkEnd w:id="22"/>
    </w:p>
    <w:p>
      <w:pPr>
        <w:pStyle w:val="Text1"/>
        <w:rPr>
          <w:noProof/>
        </w:rPr>
      </w:pPr>
      <w:r>
        <w:rPr>
          <w:noProof/>
        </w:rPr>
        <w:t xml:space="preserve">За тази бюджетна статия, в профила на разходите се взима предвид, че разходите се концентрират към края на финансовата година. Декларираните до момента разходи са в размер на 74,6 млн. евро под профила. Разликата се смята за временна и се очаква окончателните разходи да бъдат близки до предвидената в бюджета сума. </w:t>
      </w:r>
    </w:p>
    <w:p>
      <w:pPr>
        <w:pStyle w:val="Text1"/>
        <w:rPr>
          <w:noProof/>
        </w:rPr>
      </w:pPr>
    </w:p>
    <w:p>
      <w:pPr>
        <w:pStyle w:val="Heading2"/>
        <w:rPr>
          <w:noProof/>
        </w:rPr>
      </w:pPr>
      <w:bookmarkStart w:id="23" w:name="_Toc45738540"/>
      <w:bookmarkStart w:id="24" w:name="_Toc244054022"/>
      <w:r>
        <w:rPr>
          <w:noProof/>
        </w:rPr>
        <w:t>Директни плащания</w:t>
      </w:r>
      <w:bookmarkEnd w:id="23"/>
      <w:r>
        <w:rPr>
          <w:noProof/>
        </w:rPr>
        <w:t xml:space="preserve"> </w:t>
      </w:r>
      <w:bookmarkEnd w:id="24"/>
    </w:p>
    <w:p>
      <w:pPr>
        <w:spacing w:before="120" w:after="120" w:line="240" w:lineRule="auto"/>
        <w:ind w:left="850"/>
        <w:jc w:val="both"/>
        <w:rPr>
          <w:rFonts w:ascii="Times New Roman" w:eastAsia="Times New Roman" w:hAnsi="Times New Roman"/>
          <w:noProof/>
          <w:sz w:val="24"/>
          <w:szCs w:val="24"/>
        </w:rPr>
      </w:pPr>
      <w:bookmarkStart w:id="25" w:name="_Toc244054023"/>
      <w:r>
        <w:rPr>
          <w:rFonts w:ascii="Times New Roman" w:hAnsi="Times New Roman"/>
          <w:noProof/>
          <w:sz w:val="24"/>
          <w:szCs w:val="24"/>
        </w:rPr>
        <w:t>Към края на април 2020 г. усвояването на бюджетните кредити за директни плащания по бюджетна глава 05 03 надвишава профила на усвояване с 1 039,6 млн. евро или 2,6 %.</w:t>
      </w:r>
    </w:p>
    <w:p>
      <w:pPr>
        <w:pStyle w:val="Heading3"/>
        <w:rPr>
          <w:noProof/>
        </w:rPr>
      </w:pPr>
      <w:bookmarkStart w:id="26" w:name="_Toc45738541"/>
      <w:r>
        <w:rPr>
          <w:noProof/>
        </w:rPr>
        <w:t>Отделени от производството директни плащания</w:t>
      </w:r>
      <w:bookmarkEnd w:id="26"/>
    </w:p>
    <w:p>
      <w:pPr>
        <w:pStyle w:val="Text1"/>
        <w:rPr>
          <w:noProof/>
        </w:rPr>
      </w:pPr>
      <w:r>
        <w:rPr>
          <w:noProof/>
        </w:rPr>
        <w:t xml:space="preserve">За отделените от производството директни плащания по бюджетна статия 05 03 01 декларираните разходи надвишават профила с 870,6 млн. евро (+ 2,5 %). </w:t>
      </w:r>
    </w:p>
    <w:p>
      <w:pPr>
        <w:pStyle w:val="Text1"/>
        <w:rPr>
          <w:noProof/>
        </w:rPr>
      </w:pPr>
      <w:r>
        <w:rPr>
          <w:noProof/>
        </w:rPr>
        <w:t xml:space="preserve">Разходите за схемата за основно плащане, схемата за единно плащане на площ и плащанията за селскостопански практики, благоприятни за климата и околната среда, бяха малко по-високи от разчетените според профила на усвояване. </w:t>
      </w:r>
    </w:p>
    <w:p>
      <w:pPr>
        <w:pStyle w:val="Heading3"/>
        <w:rPr>
          <w:noProof/>
        </w:rPr>
      </w:pPr>
      <w:bookmarkStart w:id="27" w:name="_Toc525734915"/>
      <w:bookmarkStart w:id="28" w:name="_Toc525736646"/>
      <w:bookmarkStart w:id="29" w:name="_Toc526175174"/>
      <w:bookmarkStart w:id="30" w:name="_Toc525734916"/>
      <w:bookmarkStart w:id="31" w:name="_Toc525736647"/>
      <w:bookmarkStart w:id="32" w:name="_Toc526175175"/>
      <w:bookmarkStart w:id="33" w:name="_Toc525734917"/>
      <w:bookmarkStart w:id="34" w:name="_Toc525736648"/>
      <w:bookmarkStart w:id="35" w:name="_Toc526175176"/>
      <w:bookmarkStart w:id="36" w:name="_Toc45738542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>
        <w:rPr>
          <w:noProof/>
        </w:rPr>
        <w:t>Други директни плащания</w:t>
      </w:r>
      <w:bookmarkEnd w:id="36"/>
    </w:p>
    <w:p>
      <w:pPr>
        <w:spacing w:before="120" w:after="120" w:line="240" w:lineRule="auto"/>
        <w:ind w:left="850"/>
        <w:jc w:val="both"/>
        <w:rPr>
          <w:rFonts w:ascii="Times New Roman" w:hAnsi="Times New Roman"/>
          <w:noProof/>
          <w:sz w:val="24"/>
          <w:szCs w:val="24"/>
        </w:rPr>
      </w:pPr>
      <w:bookmarkStart w:id="37" w:name="_Toc244054027"/>
      <w:bookmarkEnd w:id="25"/>
      <w:r>
        <w:rPr>
          <w:rFonts w:ascii="Times New Roman" w:hAnsi="Times New Roman"/>
          <w:noProof/>
          <w:sz w:val="24"/>
          <w:szCs w:val="24"/>
        </w:rPr>
        <w:t>За останалите директни плащания по бюджетна статия 05 03 02 декларираните разходи надвишават профила с 169,0 млн. евро (+ 3,0 %). В частност разходите за схемата за доброволно обвързано с производството подпомагане и схемата за дребни земеделски стопани бяха малко по-високи от разчетените според профила на усвояване.</w:t>
      </w:r>
    </w:p>
    <w:p>
      <w:pPr>
        <w:pStyle w:val="Heading1"/>
        <w:rPr>
          <w:noProof/>
        </w:rPr>
      </w:pPr>
      <w:bookmarkStart w:id="38" w:name="_Toc413145210"/>
      <w:bookmarkStart w:id="39" w:name="_Toc45738543"/>
      <w:r>
        <w:rPr>
          <w:noProof/>
        </w:rPr>
        <w:t>Изпълнение на целевите приходи по линия на ЕФГЗ</w:t>
      </w:r>
      <w:bookmarkEnd w:id="37"/>
      <w:bookmarkEnd w:id="38"/>
      <w:bookmarkEnd w:id="39"/>
    </w:p>
    <w:p>
      <w:pPr>
        <w:spacing w:after="0" w:line="240" w:lineRule="auto"/>
        <w:ind w:left="850"/>
        <w:jc w:val="both"/>
        <w:rPr>
          <w:rFonts w:eastAsia="Times New Roman" w:cs="Calibri"/>
          <w:noProof/>
          <w:color w:val="000000"/>
        </w:rPr>
      </w:pPr>
      <w:bookmarkStart w:id="40" w:name="_Toc244054028"/>
      <w:r>
        <w:rPr>
          <w:rFonts w:ascii="Times New Roman" w:hAnsi="Times New Roman"/>
          <w:noProof/>
          <w:sz w:val="24"/>
          <w:szCs w:val="24"/>
        </w:rPr>
        <w:t>От таблицата в приложението се вижда, че към края на април 2020 г. събраните целеви приходи възлизат на 378,9 млн. евро,</w:t>
      </w:r>
      <w:r>
        <w:rPr>
          <w:noProof/>
          <w:color w:val="000000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които по-специално представляват:</w:t>
      </w:r>
    </w:p>
    <w:p>
      <w:pPr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приходи от корекции по силата на решения за счетоводно уравняване и за уравняване по съответствие — в размер на 291,1 млн. евро, като до края на бюджетната година се очаква да бъдат събрани допълнителни суми;</w:t>
      </w:r>
    </w:p>
    <w:p>
      <w:pPr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приходи от финансови корекции вследствие на нередности — в размер на 86,9 млн. евро, като до края на бюджетната година се очакват допълнителни суми; както и </w:t>
      </w:r>
    </w:p>
    <w:p>
      <w:pPr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остатъчни приходи от налога в сектора на млякото и млечните продукти — в размер на 0,9 млн. евро.</w:t>
      </w:r>
    </w:p>
    <w:p>
      <w:pPr>
        <w:spacing w:before="120" w:after="120" w:line="240" w:lineRule="auto"/>
        <w:ind w:left="85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Накрая, целевите приходи, пренесени от 2019 към 2020 г., възлизат на 348,2 млн. евро, което е близо с 4 млн. евро по-малко от очакваното при приемането на бюджета за 2020 г. </w:t>
      </w:r>
    </w:p>
    <w:p>
      <w:pPr>
        <w:pStyle w:val="Text1"/>
        <w:rPr>
          <w:noProof/>
        </w:rPr>
      </w:pPr>
      <w:r>
        <w:rPr>
          <w:noProof/>
        </w:rPr>
        <w:t>Така общият размер на наличните целеви приходи за финансиране на разходите по линия на ЕФГЗ към 30 април 2020 г. възлиза на 727,1 млн. евро, като в течение на бюджетната година се очаква да бъдат събрани допълнителни суми.</w:t>
      </w:r>
    </w:p>
    <w:p>
      <w:pPr>
        <w:pStyle w:val="Heading1"/>
        <w:rPr>
          <w:noProof/>
        </w:rPr>
      </w:pPr>
      <w:bookmarkStart w:id="41" w:name="_Toc244054030"/>
      <w:bookmarkStart w:id="42" w:name="_Toc413145211"/>
      <w:bookmarkStart w:id="43" w:name="_Toc45738544"/>
      <w:bookmarkEnd w:id="40"/>
      <w:r>
        <w:rPr>
          <w:noProof/>
        </w:rPr>
        <w:t>Заключения</w:t>
      </w:r>
      <w:bookmarkEnd w:id="41"/>
      <w:bookmarkEnd w:id="42"/>
      <w:bookmarkEnd w:id="43"/>
    </w:p>
    <w:p>
      <w:pPr>
        <w:spacing w:before="120" w:after="120" w:line="240" w:lineRule="auto"/>
        <w:ind w:left="85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Съгласно предварителните данни за усвояването на бюджетните кредити по линия на ЕФГЗ за 2020 г., в периода до 30 април 2020 г. месечните възстановявания в полза на държавите членки надхвърлят изчисления профил на усвояване с 857,4 млн. евро. </w:t>
      </w:r>
    </w:p>
    <w:p>
      <w:pPr>
        <w:spacing w:before="120" w:after="120" w:line="240" w:lineRule="auto"/>
        <w:ind w:left="85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Вече са налице целеви приходи в размер на 727,1 млн. евро, като в течение на бюджетната година се очаква да бъдат събрани допълнителни суми. </w:t>
      </w:r>
    </w:p>
    <w:p>
      <w:pPr>
        <w:spacing w:before="120" w:after="120" w:line="240" w:lineRule="auto"/>
        <w:ind w:left="850"/>
        <w:jc w:val="both"/>
        <w:rPr>
          <w:noProof/>
        </w:rPr>
      </w:pPr>
      <w:r>
        <w:rPr>
          <w:rFonts w:ascii="Times New Roman" w:hAnsi="Times New Roman"/>
          <w:noProof/>
          <w:sz w:val="24"/>
          <w:szCs w:val="24"/>
        </w:rPr>
        <w:t>Към настоящия момент Комисията очаква, че одобрените бюджетни кредити и целевите приходи, които ще бъдат налични към края на бюджетната година, ще бъдат достатъчни за покриването на всички разходи по линия на ЕФГЗ.</w:t>
      </w:r>
    </w:p>
    <w:sectPr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40"/>
      <w:pgMar w:top="1134" w:right="1418" w:bottom="1134" w:left="1440" w:header="595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  <w:rPr>
        <w:szCs w:val="24"/>
      </w:rPr>
    </w:pPr>
    <w:r>
      <w:rPr>
        <w:szCs w:val="24"/>
      </w:rPr>
      <w:fldChar w:fldCharType="begin"/>
    </w:r>
    <w:r>
      <w:rPr>
        <w:szCs w:val="24"/>
      </w:rPr>
      <w:instrText xml:space="preserve"> PAGE   \* MERGEFORMAT </w:instrText>
    </w:r>
    <w:r>
      <w:rPr>
        <w:szCs w:val="24"/>
      </w:rPr>
      <w:fldChar w:fldCharType="separate"/>
    </w:r>
    <w:r>
      <w:rPr>
        <w:noProof/>
        <w:szCs w:val="24"/>
      </w:rPr>
      <w:t>1</w:t>
    </w:r>
    <w:r>
      <w:rPr>
        <w:szCs w:val="24"/>
      </w:rPr>
      <w:fldChar w:fldCharType="end"/>
    </w:r>
  </w:p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964038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  <w:spacing w:after="60"/>
        <w:ind w:left="851" w:hanging="851"/>
        <w:jc w:val="both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tab/>
      </w:r>
      <w:r>
        <w:rPr>
          <w:rFonts w:ascii="Times New Roman" w:hAnsi="Times New Roman"/>
        </w:rPr>
        <w:t>В член 12, параграф 4, буква б) от Регламент (ЕС, Евратом) 2018/1046 на Европейския парламент и на Съвета за финансовите правила, приложими за общия бюджет на Съюза, се постановява, че бюджетните кредити, съответстващи на вътрешни целеви приходи, могат да бъдат пренасяни само за следващата финансова година.</w:t>
      </w:r>
      <w:r>
        <w:t xml:space="preserve"> </w:t>
      </w:r>
      <w:r>
        <w:rPr>
          <w:rFonts w:ascii="Times New Roman" w:hAnsi="Times New Roman"/>
        </w:rPr>
        <w:t xml:space="preserve">Поради това и в интерес на доброто бюджетно управление тези целеви приходи по принцип се използват преди всички одобрени бюджетни кредити по съответната бюджетна статия.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10243"/>
    <w:multiLevelType w:val="hybridMultilevel"/>
    <w:tmpl w:val="F10CF124"/>
    <w:lvl w:ilvl="0" w:tplc="0809000F">
      <w:start w:val="1"/>
      <w:numFmt w:val="decimal"/>
      <w:lvlText w:val="%1."/>
      <w:lvlJc w:val="left"/>
      <w:pPr>
        <w:ind w:left="1570" w:hanging="360"/>
      </w:pPr>
    </w:lvl>
    <w:lvl w:ilvl="1" w:tplc="08090019" w:tentative="1">
      <w:start w:val="1"/>
      <w:numFmt w:val="lowerLetter"/>
      <w:lvlText w:val="%2."/>
      <w:lvlJc w:val="left"/>
      <w:pPr>
        <w:ind w:left="2290" w:hanging="360"/>
      </w:pPr>
    </w:lvl>
    <w:lvl w:ilvl="2" w:tplc="0809001B" w:tentative="1">
      <w:start w:val="1"/>
      <w:numFmt w:val="lowerRoman"/>
      <w:lvlText w:val="%3."/>
      <w:lvlJc w:val="right"/>
      <w:pPr>
        <w:ind w:left="3010" w:hanging="180"/>
      </w:pPr>
    </w:lvl>
    <w:lvl w:ilvl="3" w:tplc="0809000F" w:tentative="1">
      <w:start w:val="1"/>
      <w:numFmt w:val="decimal"/>
      <w:lvlText w:val="%4."/>
      <w:lvlJc w:val="left"/>
      <w:pPr>
        <w:ind w:left="3730" w:hanging="360"/>
      </w:pPr>
    </w:lvl>
    <w:lvl w:ilvl="4" w:tplc="08090019" w:tentative="1">
      <w:start w:val="1"/>
      <w:numFmt w:val="lowerLetter"/>
      <w:lvlText w:val="%5."/>
      <w:lvlJc w:val="left"/>
      <w:pPr>
        <w:ind w:left="4450" w:hanging="360"/>
      </w:pPr>
    </w:lvl>
    <w:lvl w:ilvl="5" w:tplc="0809001B" w:tentative="1">
      <w:start w:val="1"/>
      <w:numFmt w:val="lowerRoman"/>
      <w:lvlText w:val="%6."/>
      <w:lvlJc w:val="right"/>
      <w:pPr>
        <w:ind w:left="5170" w:hanging="180"/>
      </w:pPr>
    </w:lvl>
    <w:lvl w:ilvl="6" w:tplc="0809000F" w:tentative="1">
      <w:start w:val="1"/>
      <w:numFmt w:val="decimal"/>
      <w:lvlText w:val="%7."/>
      <w:lvlJc w:val="left"/>
      <w:pPr>
        <w:ind w:left="5890" w:hanging="360"/>
      </w:pPr>
    </w:lvl>
    <w:lvl w:ilvl="7" w:tplc="08090019" w:tentative="1">
      <w:start w:val="1"/>
      <w:numFmt w:val="lowerLetter"/>
      <w:lvlText w:val="%8."/>
      <w:lvlJc w:val="left"/>
      <w:pPr>
        <w:ind w:left="6610" w:hanging="360"/>
      </w:pPr>
    </w:lvl>
    <w:lvl w:ilvl="8" w:tplc="08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>
    <w:nsid w:val="12E871E7"/>
    <w:multiLevelType w:val="hybridMultilevel"/>
    <w:tmpl w:val="FE3E400C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>
    <w:nsid w:val="51043F95"/>
    <w:multiLevelType w:val="hybridMultilevel"/>
    <w:tmpl w:val="EC6A6122"/>
    <w:lvl w:ilvl="0" w:tplc="08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53F47367"/>
    <w:multiLevelType w:val="singleLevel"/>
    <w:tmpl w:val="B4E8C9F0"/>
    <w:name w:val="LegalNumbering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">
    <w:nsid w:val="55EA2AD9"/>
    <w:multiLevelType w:val="hybridMultilevel"/>
    <w:tmpl w:val="FB28C2BA"/>
    <w:lvl w:ilvl="0" w:tplc="08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6">
    <w:nsid w:val="64A12FA4"/>
    <w:multiLevelType w:val="multilevel"/>
    <w:tmpl w:val="428ECF3E"/>
    <w:lvl w:ilvl="0">
      <w:start w:val="1"/>
      <w:numFmt w:val="decimal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64E147BA"/>
    <w:multiLevelType w:val="hybridMultilevel"/>
    <w:tmpl w:val="C4FC6E94"/>
    <w:lvl w:ilvl="0" w:tplc="0809000F">
      <w:start w:val="1"/>
      <w:numFmt w:val="decimal"/>
      <w:lvlText w:val="%1."/>
      <w:lvlJc w:val="left"/>
      <w:pPr>
        <w:ind w:left="1570" w:hanging="360"/>
      </w:pPr>
    </w:lvl>
    <w:lvl w:ilvl="1" w:tplc="08090019" w:tentative="1">
      <w:start w:val="1"/>
      <w:numFmt w:val="lowerLetter"/>
      <w:lvlText w:val="%2."/>
      <w:lvlJc w:val="left"/>
      <w:pPr>
        <w:ind w:left="2290" w:hanging="360"/>
      </w:pPr>
    </w:lvl>
    <w:lvl w:ilvl="2" w:tplc="0809001B" w:tentative="1">
      <w:start w:val="1"/>
      <w:numFmt w:val="lowerRoman"/>
      <w:lvlText w:val="%3."/>
      <w:lvlJc w:val="right"/>
      <w:pPr>
        <w:ind w:left="3010" w:hanging="180"/>
      </w:pPr>
    </w:lvl>
    <w:lvl w:ilvl="3" w:tplc="0809000F" w:tentative="1">
      <w:start w:val="1"/>
      <w:numFmt w:val="decimal"/>
      <w:lvlText w:val="%4."/>
      <w:lvlJc w:val="left"/>
      <w:pPr>
        <w:ind w:left="3730" w:hanging="360"/>
      </w:pPr>
    </w:lvl>
    <w:lvl w:ilvl="4" w:tplc="08090019" w:tentative="1">
      <w:start w:val="1"/>
      <w:numFmt w:val="lowerLetter"/>
      <w:lvlText w:val="%5."/>
      <w:lvlJc w:val="left"/>
      <w:pPr>
        <w:ind w:left="4450" w:hanging="360"/>
      </w:pPr>
    </w:lvl>
    <w:lvl w:ilvl="5" w:tplc="0809001B" w:tentative="1">
      <w:start w:val="1"/>
      <w:numFmt w:val="lowerRoman"/>
      <w:lvlText w:val="%6."/>
      <w:lvlJc w:val="right"/>
      <w:pPr>
        <w:ind w:left="5170" w:hanging="180"/>
      </w:pPr>
    </w:lvl>
    <w:lvl w:ilvl="6" w:tplc="0809000F" w:tentative="1">
      <w:start w:val="1"/>
      <w:numFmt w:val="decimal"/>
      <w:lvlText w:val="%7."/>
      <w:lvlJc w:val="left"/>
      <w:pPr>
        <w:ind w:left="5890" w:hanging="360"/>
      </w:pPr>
    </w:lvl>
    <w:lvl w:ilvl="7" w:tplc="08090019" w:tentative="1">
      <w:start w:val="1"/>
      <w:numFmt w:val="lowerLetter"/>
      <w:lvlText w:val="%8."/>
      <w:lvlJc w:val="left"/>
      <w:pPr>
        <w:ind w:left="6610" w:hanging="360"/>
      </w:pPr>
    </w:lvl>
    <w:lvl w:ilvl="8" w:tplc="08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8">
    <w:nsid w:val="6C827C2A"/>
    <w:multiLevelType w:val="hybridMultilevel"/>
    <w:tmpl w:val="253E2B00"/>
    <w:lvl w:ilvl="0" w:tplc="08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9">
    <w:nsid w:val="6E6B4B85"/>
    <w:multiLevelType w:val="hybridMultilevel"/>
    <w:tmpl w:val="E67CE6C8"/>
    <w:lvl w:ilvl="0" w:tplc="08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0">
    <w:nsid w:val="71632DBE"/>
    <w:multiLevelType w:val="hybridMultilevel"/>
    <w:tmpl w:val="253CB540"/>
    <w:lvl w:ilvl="0" w:tplc="0809000F">
      <w:start w:val="1"/>
      <w:numFmt w:val="decimal"/>
      <w:lvlText w:val="%1."/>
      <w:lvlJc w:val="left"/>
      <w:pPr>
        <w:ind w:left="1570" w:hanging="360"/>
      </w:pPr>
    </w:lvl>
    <w:lvl w:ilvl="1" w:tplc="08090019" w:tentative="1">
      <w:start w:val="1"/>
      <w:numFmt w:val="lowerLetter"/>
      <w:lvlText w:val="%2."/>
      <w:lvlJc w:val="left"/>
      <w:pPr>
        <w:ind w:left="2290" w:hanging="360"/>
      </w:pPr>
    </w:lvl>
    <w:lvl w:ilvl="2" w:tplc="0809001B" w:tentative="1">
      <w:start w:val="1"/>
      <w:numFmt w:val="lowerRoman"/>
      <w:lvlText w:val="%3."/>
      <w:lvlJc w:val="right"/>
      <w:pPr>
        <w:ind w:left="3010" w:hanging="180"/>
      </w:pPr>
    </w:lvl>
    <w:lvl w:ilvl="3" w:tplc="0809000F" w:tentative="1">
      <w:start w:val="1"/>
      <w:numFmt w:val="decimal"/>
      <w:lvlText w:val="%4."/>
      <w:lvlJc w:val="left"/>
      <w:pPr>
        <w:ind w:left="3730" w:hanging="360"/>
      </w:pPr>
    </w:lvl>
    <w:lvl w:ilvl="4" w:tplc="08090019" w:tentative="1">
      <w:start w:val="1"/>
      <w:numFmt w:val="lowerLetter"/>
      <w:lvlText w:val="%5."/>
      <w:lvlJc w:val="left"/>
      <w:pPr>
        <w:ind w:left="4450" w:hanging="360"/>
      </w:pPr>
    </w:lvl>
    <w:lvl w:ilvl="5" w:tplc="0809001B" w:tentative="1">
      <w:start w:val="1"/>
      <w:numFmt w:val="lowerRoman"/>
      <w:lvlText w:val="%6."/>
      <w:lvlJc w:val="right"/>
      <w:pPr>
        <w:ind w:left="5170" w:hanging="180"/>
      </w:pPr>
    </w:lvl>
    <w:lvl w:ilvl="6" w:tplc="0809000F" w:tentative="1">
      <w:start w:val="1"/>
      <w:numFmt w:val="decimal"/>
      <w:lvlText w:val="%7."/>
      <w:lvlJc w:val="left"/>
      <w:pPr>
        <w:ind w:left="5890" w:hanging="360"/>
      </w:pPr>
    </w:lvl>
    <w:lvl w:ilvl="7" w:tplc="08090019" w:tentative="1">
      <w:start w:val="1"/>
      <w:numFmt w:val="lowerLetter"/>
      <w:lvlText w:val="%8."/>
      <w:lvlJc w:val="left"/>
      <w:pPr>
        <w:ind w:left="6610" w:hanging="360"/>
      </w:pPr>
    </w:lvl>
    <w:lvl w:ilvl="8" w:tplc="0809001B" w:tentative="1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</w:num>
  <w:num w:numId="7">
    <w:abstractNumId w:val="7"/>
  </w:num>
  <w:num w:numId="8">
    <w:abstractNumId w:val="6"/>
  </w:num>
  <w:num w:numId="9">
    <w:abstractNumId w:val="6"/>
  </w:num>
  <w:num w:numId="10">
    <w:abstractNumId w:val="6"/>
  </w:num>
  <w:num w:numId="11">
    <w:abstractNumId w:val="9"/>
  </w:num>
  <w:num w:numId="12">
    <w:abstractNumId w:val="1"/>
  </w:num>
  <w:num w:numId="13">
    <w:abstractNumId w:val="5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revisionView w:markup="0"/>
  <w:defaultTabStop w:val="720"/>
  <w:hyphenationZone w:val="425"/>
  <w:characterSpacingControl w:val="doNotCompress"/>
  <w:hdrShapeDefaults>
    <o:shapedefaults v:ext="edit" spidmax="234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CORRIGENDUM" w:val="&lt;UNUSED&gt;"/>
    <w:docVar w:name="LW_COVERPAGE_EXISTS" w:val="True"/>
    <w:docVar w:name="LW_COVERPAGE_GUID" w:val="169E1964-27C3-464C-BEAF-F123343F7BDE"/>
    <w:docVar w:name="LW_COVERPAGE_TYPE" w:val="1"/>
    <w:docVar w:name="LW_CROSSREFERENCE" w:val="&lt;UNUSED&gt;"/>
    <w:docVar w:name="LW_DocType" w:val="NORMAL"/>
    <w:docVar w:name="LW_EMISSION" w:val="11.8.2020"/>
    <w:docVar w:name="LW_EMISSION_ISODATE" w:val="2020-08-11"/>
    <w:docVar w:name="LW_EMISSION_LOCATION" w:val="BRX"/>
    <w:docVar w:name="LW_EMISSION_PREFIX" w:val="Брюксел, "/>
    <w:docVar w:name="LW_EMISSION_SUFFIX" w:val=" \u1075?."/>
    <w:docVar w:name="LW_ID_DOCTYPE_NONLW" w:val="CP-006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NST.NEW" w:val="COM"/>
    <w:docVar w:name="LW_REF.INST.NEW_ADOPTED" w:val="final"/>
    <w:docVar w:name="LW_REF.INST.NEW_TEXT" w:val="(2020) 379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OUS.TITRE.OBJ.CP" w:val="&lt;UNUSED&gt;"/>
    <w:docVar w:name="LW_SUPERTITRE" w:val="&lt;UNUSED&gt;"/>
    <w:docVar w:name="LW_TITRE.OBJ.CP" w:val="\u1079?\u1072? \u1088?\u1072?\u1079?\u1093?\u1086?\u1076?\u1080?\u1090?\u1077? \u1087?\u1086? \u1083?\u1080?\u1085?\u1080?\u1103? \u1085?\u1072? \u1045?\u1060?\u1043?\u1047?_x000b__x000b_\u8222?\u1057?\u1080?\u1089?\u1090?\u1077?\u1084?\u1072? \u1079?\u1072? \u1088?\u1072?\u1085?\u1085?\u1086? \u1087?\u1088?\u1077?\u1076?\u1091?\u1087?\u1088?\u1077?\u1078?\u1076?\u1077?\u1085?\u1080?\u1077? \u8470? 4-6/2020\u8220?"/>
    <w:docVar w:name="LW_TYPE.DOC.CP" w:val="\u1044?\u1054?\u1050?\u1051?\u1040?\u1044? \u1053?\u1040? \u1050?\u1054?\u1052?\u1048?\u1057?\u1048?\u1071?\u1058?\u1040? \u1044?\u1054? \u1045?\u1042?\u1056?\u1054?\u1055?\u1045?\u1049?\u1057?\u1050?\u1048?\u1071? \u1055?\u1040?\u1056?\u1051?\u1040?\u1052?\u1045?\u1053?\u1058? \u1048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44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Text1"/>
    <w:link w:val="Heading1Char"/>
    <w:qFormat/>
    <w:pPr>
      <w:keepNext/>
      <w:numPr>
        <w:numId w:val="1"/>
      </w:numPr>
      <w:spacing w:before="360" w:after="120" w:line="240" w:lineRule="auto"/>
      <w:jc w:val="both"/>
      <w:outlineLvl w:val="0"/>
    </w:pPr>
    <w:rPr>
      <w:rFonts w:ascii="Times New Roman" w:eastAsia="Times New Roman" w:hAnsi="Times New Roman"/>
      <w:b/>
      <w:bCs/>
      <w:smallCaps/>
      <w:sz w:val="24"/>
      <w:szCs w:val="32"/>
    </w:rPr>
  </w:style>
  <w:style w:type="paragraph" w:styleId="Heading2">
    <w:name w:val="heading 2"/>
    <w:basedOn w:val="Normal"/>
    <w:next w:val="Text1"/>
    <w:link w:val="Heading2Char"/>
    <w:unhideWhenUsed/>
    <w:qFormat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/>
      <w:b/>
      <w:bCs/>
      <w:iCs/>
      <w:sz w:val="24"/>
      <w:szCs w:val="28"/>
    </w:rPr>
  </w:style>
  <w:style w:type="paragraph" w:styleId="Heading3">
    <w:name w:val="heading 3"/>
    <w:basedOn w:val="Normal"/>
    <w:next w:val="Text1"/>
    <w:link w:val="Heading3Char"/>
    <w:unhideWhenUsed/>
    <w:qFormat/>
    <w:pPr>
      <w:keepNext/>
      <w:numPr>
        <w:ilvl w:val="2"/>
        <w:numId w:val="1"/>
      </w:numPr>
      <w:spacing w:before="120" w:after="120" w:line="240" w:lineRule="auto"/>
      <w:jc w:val="both"/>
      <w:outlineLvl w:val="2"/>
    </w:pPr>
    <w:rPr>
      <w:rFonts w:ascii="Times New Roman" w:eastAsia="Times New Roman" w:hAnsi="Times New Roman"/>
      <w:bCs/>
      <w:i/>
      <w:sz w:val="24"/>
      <w:szCs w:val="26"/>
    </w:rPr>
  </w:style>
  <w:style w:type="paragraph" w:styleId="Heading4">
    <w:name w:val="heading 4"/>
    <w:basedOn w:val="Normal"/>
    <w:next w:val="Text1"/>
    <w:link w:val="Heading4Char"/>
    <w:semiHidden/>
    <w:unhideWhenUsed/>
    <w:qFormat/>
    <w:pPr>
      <w:keepNext/>
      <w:numPr>
        <w:ilvl w:val="3"/>
        <w:numId w:val="1"/>
      </w:numPr>
      <w:spacing w:before="120" w:after="120" w:line="240" w:lineRule="auto"/>
      <w:jc w:val="both"/>
      <w:outlineLvl w:val="3"/>
    </w:pPr>
    <w:rPr>
      <w:rFonts w:ascii="Times New Roman" w:eastAsia="Times New Roman" w:hAnsi="Times New Roman"/>
      <w:bCs/>
      <w:sz w:val="24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Pr>
      <w:sz w:val="20"/>
      <w:szCs w:val="20"/>
    </w:rPr>
  </w:style>
  <w:style w:type="character" w:customStyle="1" w:styleId="FootnoteTextChar">
    <w:name w:val="Footnote Text Char"/>
    <w:link w:val="FootnoteText"/>
    <w:semiHidden/>
    <w:rPr>
      <w:lang w:eastAsia="en-US"/>
    </w:rPr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Marker">
    <w:name w:val="Marker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/>
      <w:sz w:val="24"/>
    </w:rPr>
  </w:style>
  <w:style w:type="character" w:customStyle="1" w:styleId="HeaderChar">
    <w:name w:val="Header Char"/>
    <w:link w:val="Header"/>
    <w:uiPriority w:val="99"/>
    <w:rPr>
      <w:rFonts w:ascii="Times New Roman" w:hAnsi="Times New Roman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/>
      <w:sz w:val="24"/>
    </w:rPr>
  </w:style>
  <w:style w:type="character" w:customStyle="1" w:styleId="FooterChar">
    <w:name w:val="Footer Char"/>
    <w:link w:val="Footer"/>
    <w:uiPriority w:val="99"/>
    <w:rPr>
      <w:rFonts w:ascii="Times New Roman" w:hAnsi="Times New Roman"/>
      <w:sz w:val="24"/>
      <w:szCs w:val="22"/>
      <w:lang w:eastAsia="en-US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/>
      <w:sz w:val="24"/>
    </w:rPr>
  </w:style>
  <w:style w:type="character" w:customStyle="1" w:styleId="FooterCoverPageChar">
    <w:name w:val="Footer Cover Page Char"/>
    <w:link w:val="FooterCoverPage"/>
    <w:rPr>
      <w:rFonts w:ascii="Times New Roman" w:hAnsi="Times New Roman"/>
      <w:sz w:val="24"/>
      <w:szCs w:val="22"/>
      <w:lang w:eastAsia="en-US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/>
      <w:sz w:val="24"/>
    </w:rPr>
  </w:style>
  <w:style w:type="character" w:customStyle="1" w:styleId="HeaderCoverPageChar">
    <w:name w:val="Header Cover Page Char"/>
    <w:link w:val="HeaderCoverPage"/>
    <w:rPr>
      <w:rFonts w:ascii="Times New Roman" w:hAnsi="Times New Roman"/>
      <w:sz w:val="24"/>
      <w:szCs w:val="22"/>
      <w:lang w:eastAsia="en-US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/>
      <w:b/>
      <w:bCs/>
      <w:smallCaps/>
      <w:sz w:val="24"/>
      <w:szCs w:val="32"/>
      <w:lang w:eastAsia="en-US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/>
      <w:b/>
      <w:bCs/>
      <w:iCs/>
      <w:sz w:val="24"/>
      <w:szCs w:val="28"/>
      <w:lang w:eastAsia="en-US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/>
      <w:bCs/>
      <w:i/>
      <w:sz w:val="24"/>
      <w:szCs w:val="26"/>
      <w:lang w:eastAsia="en-US"/>
    </w:rPr>
  </w:style>
  <w:style w:type="character" w:customStyle="1" w:styleId="Heading4Char">
    <w:name w:val="Heading 4 Char"/>
    <w:link w:val="Heading4"/>
    <w:semiHidden/>
    <w:rPr>
      <w:rFonts w:ascii="Times New Roman" w:eastAsia="Times New Roman" w:hAnsi="Times New Roman"/>
      <w:bCs/>
      <w:sz w:val="24"/>
      <w:szCs w:val="28"/>
      <w:lang w:eastAsia="en-US"/>
    </w:rPr>
  </w:style>
  <w:style w:type="paragraph" w:customStyle="1" w:styleId="Text1">
    <w:name w:val="Text 1"/>
    <w:basedOn w:val="Normal"/>
    <w:link w:val="Text1Char"/>
    <w:pPr>
      <w:spacing w:before="120" w:after="120" w:line="240" w:lineRule="auto"/>
      <w:ind w:left="850"/>
      <w:jc w:val="both"/>
    </w:pPr>
    <w:rPr>
      <w:rFonts w:ascii="Times New Roman" w:eastAsia="Times New Roman" w:hAnsi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Times New Roman" w:hAnsi="Times New Roman"/>
      <w:sz w:val="24"/>
      <w:szCs w:val="24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before="120" w:after="240" w:line="240" w:lineRule="auto"/>
      <w:jc w:val="center"/>
    </w:pPr>
    <w:rPr>
      <w:rFonts w:ascii="Times New Roman" w:eastAsia="Times New Roman" w:hAnsi="Times New Roman"/>
      <w:b/>
      <w:sz w:val="28"/>
      <w:szCs w:val="24"/>
    </w:rPr>
  </w:style>
  <w:style w:type="character" w:customStyle="1" w:styleId="Text1Char">
    <w:name w:val="Text 1 Char"/>
    <w:link w:val="Text1"/>
    <w:locked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iret1">
    <w:name w:val="Tiret 1"/>
    <w:basedOn w:val="Normal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  <w:style w:type="paragraph" w:customStyle="1" w:styleId="Text2">
    <w:name w:val="Text 2"/>
    <w:basedOn w:val="Normal"/>
    <w:pPr>
      <w:spacing w:before="120" w:after="120" w:line="240" w:lineRule="auto"/>
      <w:ind w:left="850"/>
      <w:jc w:val="both"/>
    </w:pPr>
    <w:rPr>
      <w:rFonts w:ascii="Times New Roman" w:hAnsi="Times New Roman"/>
      <w:sz w:val="24"/>
      <w:szCs w:val="24"/>
      <w:lang w:eastAsia="de-DE"/>
    </w:rPr>
  </w:style>
  <w:style w:type="paragraph" w:styleId="TOC2">
    <w:name w:val="toc 2"/>
    <w:basedOn w:val="Normal"/>
    <w:next w:val="Normal"/>
    <w:autoRedefine/>
    <w:uiPriority w:val="39"/>
    <w:unhideWhenUsed/>
    <w:qFormat/>
    <w:pPr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pPr>
      <w:ind w:left="440"/>
    </w:p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paragraph" w:customStyle="1" w:styleId="Declassification">
    <w:name w:val="Declassification"/>
    <w:basedOn w:val="Normal"/>
    <w:next w:val="Normal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/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eastAsiaTheme="minorHAnsi" w:hAnsi="Times New Roman"/>
      <w:sz w:val="24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/>
      <w:b/>
      <w:sz w:val="32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lang w:eastAsia="en-US"/>
    </w:rPr>
  </w:style>
  <w:style w:type="paragraph" w:customStyle="1" w:styleId="Typedudocument">
    <w:name w:val="Type du document"/>
    <w:basedOn w:val="Normal"/>
    <w:next w:val="Normal"/>
    <w:pPr>
      <w:spacing w:before="360" w:after="0" w:line="240" w:lineRule="auto"/>
      <w:jc w:val="center"/>
    </w:pPr>
    <w:rPr>
      <w:rFonts w:ascii="Times New Roman" w:eastAsiaTheme="minorHAnsi" w:hAnsi="Times New Roman"/>
      <w:b/>
      <w:sz w:val="24"/>
    </w:rPr>
  </w:style>
  <w:style w:type="paragraph" w:customStyle="1" w:styleId="Titreobjet">
    <w:name w:val="Titre objet"/>
    <w:basedOn w:val="Normal"/>
    <w:next w:val="Normal"/>
    <w:pPr>
      <w:spacing w:before="360" w:after="360" w:line="240" w:lineRule="auto"/>
      <w:jc w:val="center"/>
    </w:pPr>
    <w:rPr>
      <w:rFonts w:ascii="Times New Roman" w:eastAsiaTheme="minorHAnsi" w:hAnsi="Times New Roman"/>
      <w:b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ecurityMarking">
    <w:name w:val="SecurityMarking"/>
    <w:basedOn w:val="Normal"/>
    <w:pPr>
      <w:spacing w:after="0"/>
      <w:ind w:left="5103"/>
    </w:pPr>
    <w:rPr>
      <w:rFonts w:ascii="Times New Roman" w:eastAsiaTheme="minorHAnsi" w:hAnsi="Times New Roman"/>
      <w:sz w:val="28"/>
    </w:rPr>
  </w:style>
  <w:style w:type="paragraph" w:customStyle="1" w:styleId="DateMarking">
    <w:name w:val="DateMarking"/>
    <w:basedOn w:val="Normal"/>
    <w:pPr>
      <w:spacing w:after="0"/>
      <w:ind w:left="5103"/>
    </w:pPr>
    <w:rPr>
      <w:rFonts w:ascii="Times New Roman" w:eastAsiaTheme="minorHAnsi" w:hAnsi="Times New Roman"/>
      <w:i/>
      <w:sz w:val="28"/>
    </w:rPr>
  </w:style>
  <w:style w:type="paragraph" w:customStyle="1" w:styleId="ReleasableTo">
    <w:name w:val="ReleasableTo"/>
    <w:basedOn w:val="Normal"/>
    <w:pPr>
      <w:spacing w:after="0"/>
      <w:ind w:left="5103"/>
    </w:pPr>
    <w:rPr>
      <w:rFonts w:ascii="Times New Roman" w:eastAsiaTheme="minorHAnsi" w:hAnsi="Times New Roman"/>
      <w:i/>
      <w:sz w:val="28"/>
    </w:rPr>
  </w:style>
  <w:style w:type="paragraph" w:customStyle="1" w:styleId="HeaderSensitivityRight">
    <w:name w:val="Header Sensitivity Right"/>
    <w:basedOn w:val="Normal"/>
    <w:pPr>
      <w:spacing w:after="120" w:line="240" w:lineRule="auto"/>
      <w:jc w:val="right"/>
    </w:pPr>
    <w:rPr>
      <w:rFonts w:ascii="Times New Roman" w:hAnsi="Times New Roman"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Text1"/>
    <w:link w:val="Heading1Char"/>
    <w:qFormat/>
    <w:pPr>
      <w:keepNext/>
      <w:numPr>
        <w:numId w:val="1"/>
      </w:numPr>
      <w:spacing w:before="360" w:after="120" w:line="240" w:lineRule="auto"/>
      <w:jc w:val="both"/>
      <w:outlineLvl w:val="0"/>
    </w:pPr>
    <w:rPr>
      <w:rFonts w:ascii="Times New Roman" w:eastAsia="Times New Roman" w:hAnsi="Times New Roman"/>
      <w:b/>
      <w:bCs/>
      <w:smallCaps/>
      <w:sz w:val="24"/>
      <w:szCs w:val="32"/>
    </w:rPr>
  </w:style>
  <w:style w:type="paragraph" w:styleId="Heading2">
    <w:name w:val="heading 2"/>
    <w:basedOn w:val="Normal"/>
    <w:next w:val="Text1"/>
    <w:link w:val="Heading2Char"/>
    <w:unhideWhenUsed/>
    <w:qFormat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/>
      <w:b/>
      <w:bCs/>
      <w:iCs/>
      <w:sz w:val="24"/>
      <w:szCs w:val="28"/>
    </w:rPr>
  </w:style>
  <w:style w:type="paragraph" w:styleId="Heading3">
    <w:name w:val="heading 3"/>
    <w:basedOn w:val="Normal"/>
    <w:next w:val="Text1"/>
    <w:link w:val="Heading3Char"/>
    <w:unhideWhenUsed/>
    <w:qFormat/>
    <w:pPr>
      <w:keepNext/>
      <w:numPr>
        <w:ilvl w:val="2"/>
        <w:numId w:val="1"/>
      </w:numPr>
      <w:spacing w:before="120" w:after="120" w:line="240" w:lineRule="auto"/>
      <w:jc w:val="both"/>
      <w:outlineLvl w:val="2"/>
    </w:pPr>
    <w:rPr>
      <w:rFonts w:ascii="Times New Roman" w:eastAsia="Times New Roman" w:hAnsi="Times New Roman"/>
      <w:bCs/>
      <w:i/>
      <w:sz w:val="24"/>
      <w:szCs w:val="26"/>
    </w:rPr>
  </w:style>
  <w:style w:type="paragraph" w:styleId="Heading4">
    <w:name w:val="heading 4"/>
    <w:basedOn w:val="Normal"/>
    <w:next w:val="Text1"/>
    <w:link w:val="Heading4Char"/>
    <w:semiHidden/>
    <w:unhideWhenUsed/>
    <w:qFormat/>
    <w:pPr>
      <w:keepNext/>
      <w:numPr>
        <w:ilvl w:val="3"/>
        <w:numId w:val="1"/>
      </w:numPr>
      <w:spacing w:before="120" w:after="120" w:line="240" w:lineRule="auto"/>
      <w:jc w:val="both"/>
      <w:outlineLvl w:val="3"/>
    </w:pPr>
    <w:rPr>
      <w:rFonts w:ascii="Times New Roman" w:eastAsia="Times New Roman" w:hAnsi="Times New Roman"/>
      <w:bCs/>
      <w:sz w:val="24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Pr>
      <w:sz w:val="20"/>
      <w:szCs w:val="20"/>
    </w:rPr>
  </w:style>
  <w:style w:type="character" w:customStyle="1" w:styleId="FootnoteTextChar">
    <w:name w:val="Footnote Text Char"/>
    <w:link w:val="FootnoteText"/>
    <w:semiHidden/>
    <w:rPr>
      <w:lang w:eastAsia="en-US"/>
    </w:rPr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Marker">
    <w:name w:val="Marker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/>
      <w:sz w:val="24"/>
    </w:rPr>
  </w:style>
  <w:style w:type="character" w:customStyle="1" w:styleId="HeaderChar">
    <w:name w:val="Header Char"/>
    <w:link w:val="Header"/>
    <w:uiPriority w:val="99"/>
    <w:rPr>
      <w:rFonts w:ascii="Times New Roman" w:hAnsi="Times New Roman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/>
      <w:sz w:val="24"/>
    </w:rPr>
  </w:style>
  <w:style w:type="character" w:customStyle="1" w:styleId="FooterChar">
    <w:name w:val="Footer Char"/>
    <w:link w:val="Footer"/>
    <w:uiPriority w:val="99"/>
    <w:rPr>
      <w:rFonts w:ascii="Times New Roman" w:hAnsi="Times New Roman"/>
      <w:sz w:val="24"/>
      <w:szCs w:val="22"/>
      <w:lang w:eastAsia="en-US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/>
      <w:sz w:val="24"/>
    </w:rPr>
  </w:style>
  <w:style w:type="character" w:customStyle="1" w:styleId="FooterCoverPageChar">
    <w:name w:val="Footer Cover Page Char"/>
    <w:link w:val="FooterCoverPage"/>
    <w:rPr>
      <w:rFonts w:ascii="Times New Roman" w:hAnsi="Times New Roman"/>
      <w:sz w:val="24"/>
      <w:szCs w:val="22"/>
      <w:lang w:eastAsia="en-US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/>
      <w:sz w:val="24"/>
    </w:rPr>
  </w:style>
  <w:style w:type="character" w:customStyle="1" w:styleId="HeaderCoverPageChar">
    <w:name w:val="Header Cover Page Char"/>
    <w:link w:val="HeaderCoverPage"/>
    <w:rPr>
      <w:rFonts w:ascii="Times New Roman" w:hAnsi="Times New Roman"/>
      <w:sz w:val="24"/>
      <w:szCs w:val="22"/>
      <w:lang w:eastAsia="en-US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/>
      <w:b/>
      <w:bCs/>
      <w:smallCaps/>
      <w:sz w:val="24"/>
      <w:szCs w:val="32"/>
      <w:lang w:eastAsia="en-US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/>
      <w:b/>
      <w:bCs/>
      <w:iCs/>
      <w:sz w:val="24"/>
      <w:szCs w:val="28"/>
      <w:lang w:eastAsia="en-US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/>
      <w:bCs/>
      <w:i/>
      <w:sz w:val="24"/>
      <w:szCs w:val="26"/>
      <w:lang w:eastAsia="en-US"/>
    </w:rPr>
  </w:style>
  <w:style w:type="character" w:customStyle="1" w:styleId="Heading4Char">
    <w:name w:val="Heading 4 Char"/>
    <w:link w:val="Heading4"/>
    <w:semiHidden/>
    <w:rPr>
      <w:rFonts w:ascii="Times New Roman" w:eastAsia="Times New Roman" w:hAnsi="Times New Roman"/>
      <w:bCs/>
      <w:sz w:val="24"/>
      <w:szCs w:val="28"/>
      <w:lang w:eastAsia="en-US"/>
    </w:rPr>
  </w:style>
  <w:style w:type="paragraph" w:customStyle="1" w:styleId="Text1">
    <w:name w:val="Text 1"/>
    <w:basedOn w:val="Normal"/>
    <w:link w:val="Text1Char"/>
    <w:pPr>
      <w:spacing w:before="120" w:after="120" w:line="240" w:lineRule="auto"/>
      <w:ind w:left="850"/>
      <w:jc w:val="both"/>
    </w:pPr>
    <w:rPr>
      <w:rFonts w:ascii="Times New Roman" w:eastAsia="Times New Roman" w:hAnsi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Times New Roman" w:hAnsi="Times New Roman"/>
      <w:sz w:val="24"/>
      <w:szCs w:val="24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before="120" w:after="240" w:line="240" w:lineRule="auto"/>
      <w:jc w:val="center"/>
    </w:pPr>
    <w:rPr>
      <w:rFonts w:ascii="Times New Roman" w:eastAsia="Times New Roman" w:hAnsi="Times New Roman"/>
      <w:b/>
      <w:sz w:val="28"/>
      <w:szCs w:val="24"/>
    </w:rPr>
  </w:style>
  <w:style w:type="character" w:customStyle="1" w:styleId="Text1Char">
    <w:name w:val="Text 1 Char"/>
    <w:link w:val="Text1"/>
    <w:locked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iret1">
    <w:name w:val="Tiret 1"/>
    <w:basedOn w:val="Normal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  <w:style w:type="paragraph" w:customStyle="1" w:styleId="Text2">
    <w:name w:val="Text 2"/>
    <w:basedOn w:val="Normal"/>
    <w:pPr>
      <w:spacing w:before="120" w:after="120" w:line="240" w:lineRule="auto"/>
      <w:ind w:left="850"/>
      <w:jc w:val="both"/>
    </w:pPr>
    <w:rPr>
      <w:rFonts w:ascii="Times New Roman" w:hAnsi="Times New Roman"/>
      <w:sz w:val="24"/>
      <w:szCs w:val="24"/>
      <w:lang w:eastAsia="de-DE"/>
    </w:rPr>
  </w:style>
  <w:style w:type="paragraph" w:styleId="TOC2">
    <w:name w:val="toc 2"/>
    <w:basedOn w:val="Normal"/>
    <w:next w:val="Normal"/>
    <w:autoRedefine/>
    <w:uiPriority w:val="39"/>
    <w:unhideWhenUsed/>
    <w:qFormat/>
    <w:pPr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pPr>
      <w:ind w:left="440"/>
    </w:p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paragraph" w:customStyle="1" w:styleId="Declassification">
    <w:name w:val="Declassification"/>
    <w:basedOn w:val="Normal"/>
    <w:next w:val="Normal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/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eastAsiaTheme="minorHAnsi" w:hAnsi="Times New Roman"/>
      <w:sz w:val="24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/>
      <w:b/>
      <w:sz w:val="32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lang w:eastAsia="en-US"/>
    </w:rPr>
  </w:style>
  <w:style w:type="paragraph" w:customStyle="1" w:styleId="Typedudocument">
    <w:name w:val="Type du document"/>
    <w:basedOn w:val="Normal"/>
    <w:next w:val="Normal"/>
    <w:pPr>
      <w:spacing w:before="360" w:after="0" w:line="240" w:lineRule="auto"/>
      <w:jc w:val="center"/>
    </w:pPr>
    <w:rPr>
      <w:rFonts w:ascii="Times New Roman" w:eastAsiaTheme="minorHAnsi" w:hAnsi="Times New Roman"/>
      <w:b/>
      <w:sz w:val="24"/>
    </w:rPr>
  </w:style>
  <w:style w:type="paragraph" w:customStyle="1" w:styleId="Titreobjet">
    <w:name w:val="Titre objet"/>
    <w:basedOn w:val="Normal"/>
    <w:next w:val="Normal"/>
    <w:pPr>
      <w:spacing w:before="360" w:after="360" w:line="240" w:lineRule="auto"/>
      <w:jc w:val="center"/>
    </w:pPr>
    <w:rPr>
      <w:rFonts w:ascii="Times New Roman" w:eastAsiaTheme="minorHAnsi" w:hAnsi="Times New Roman"/>
      <w:b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ecurityMarking">
    <w:name w:val="SecurityMarking"/>
    <w:basedOn w:val="Normal"/>
    <w:pPr>
      <w:spacing w:after="0"/>
      <w:ind w:left="5103"/>
    </w:pPr>
    <w:rPr>
      <w:rFonts w:ascii="Times New Roman" w:eastAsiaTheme="minorHAnsi" w:hAnsi="Times New Roman"/>
      <w:sz w:val="28"/>
    </w:rPr>
  </w:style>
  <w:style w:type="paragraph" w:customStyle="1" w:styleId="DateMarking">
    <w:name w:val="DateMarking"/>
    <w:basedOn w:val="Normal"/>
    <w:pPr>
      <w:spacing w:after="0"/>
      <w:ind w:left="5103"/>
    </w:pPr>
    <w:rPr>
      <w:rFonts w:ascii="Times New Roman" w:eastAsiaTheme="minorHAnsi" w:hAnsi="Times New Roman"/>
      <w:i/>
      <w:sz w:val="28"/>
    </w:rPr>
  </w:style>
  <w:style w:type="paragraph" w:customStyle="1" w:styleId="ReleasableTo">
    <w:name w:val="ReleasableTo"/>
    <w:basedOn w:val="Normal"/>
    <w:pPr>
      <w:spacing w:after="0"/>
      <w:ind w:left="5103"/>
    </w:pPr>
    <w:rPr>
      <w:rFonts w:ascii="Times New Roman" w:eastAsiaTheme="minorHAnsi" w:hAnsi="Times New Roman"/>
      <w:i/>
      <w:sz w:val="28"/>
    </w:rPr>
  </w:style>
  <w:style w:type="paragraph" w:customStyle="1" w:styleId="HeaderSensitivityRight">
    <w:name w:val="Header Sensitivity Right"/>
    <w:basedOn w:val="Normal"/>
    <w:pPr>
      <w:spacing w:after="120" w:line="240" w:lineRule="auto"/>
      <w:jc w:val="right"/>
    </w:pPr>
    <w:rPr>
      <w:rFonts w:ascii="Times New Roman" w:hAnsi="Times New Roman"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44D65-FA81-4CE0-B0ED-7B1C8D2F4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1490</Words>
  <Characters>8005</Characters>
  <Application>Microsoft Office Word</Application>
  <DocSecurity>0</DocSecurity>
  <Lines>186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WES PDFC Administrator</cp:lastModifiedBy>
  <cp:revision>16</cp:revision>
  <cp:lastPrinted>2019-03-08T13:41:00Z</cp:lastPrinted>
  <dcterms:created xsi:type="dcterms:W3CDTF">2020-07-05T22:37:00Z</dcterms:created>
  <dcterms:modified xsi:type="dcterms:W3CDTF">2020-08-11T10:16:00Z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Part">
    <vt:lpwstr>1</vt:lpwstr>
  </property>
  <property fmtid="{D5CDD505-2E9C-101B-9397-08002B2CF9AE}" pid="4" name="Total parts">
    <vt:lpwstr>1</vt:lpwstr>
  </property>
  <property fmtid="{D5CDD505-2E9C-101B-9397-08002B2CF9AE}" pid="5" name="DocStatus">
    <vt:lpwstr>Green</vt:lpwstr>
  </property>
  <property fmtid="{D5CDD505-2E9C-101B-9397-08002B2CF9AE}" pid="6" name="Level of sensitivity">
    <vt:lpwstr>Standard treatment</vt:lpwstr>
  </property>
  <property fmtid="{D5CDD505-2E9C-101B-9397-08002B2CF9AE}" pid="7" name="Last edited using">
    <vt:lpwstr>LW 7.0, Build 20190717</vt:lpwstr>
  </property>
  <property fmtid="{D5CDD505-2E9C-101B-9397-08002B2CF9AE}" pid="8" name="Created using">
    <vt:lpwstr>LW 6.0.1, Build 20180503</vt:lpwstr>
  </property>
  <property fmtid="{D5CDD505-2E9C-101B-9397-08002B2CF9AE}" pid="9" name="CPTemplateID">
    <vt:lpwstr>CP-006</vt:lpwstr>
  </property>
</Properties>
</file>