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5FD8500B-5EB4-4B90-B110-4815E9DC3573" style="width:450.35pt;height:424.5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spacing w:before="360" w:after="0"/>
        <w:jc w:val="center"/>
        <w:rPr>
          <w:b/>
          <w:noProof/>
          <w:szCs w:val="24"/>
        </w:rPr>
      </w:pPr>
      <w:r>
        <w:rPr>
          <w:b/>
          <w:noProof/>
          <w:szCs w:val="24"/>
        </w:rPr>
        <w:t>РЕШЕНИЕ НА СЪВМЕСТНИЯ КОМИТЕТ НА ЕИП</w:t>
      </w:r>
    </w:p>
    <w:p>
      <w:pPr>
        <w:spacing w:after="0"/>
        <w:jc w:val="center"/>
        <w:rPr>
          <w:b/>
          <w:noProof/>
          <w:color w:val="0000FF"/>
          <w:szCs w:val="24"/>
        </w:rPr>
      </w:pPr>
      <w:r>
        <w:rPr>
          <w:b/>
          <w:noProof/>
          <w:szCs w:val="24"/>
        </w:rPr>
        <w:t xml:space="preserve">№ </w:t>
      </w:r>
      <w:r>
        <w:rPr>
          <w:b/>
          <w:noProof/>
          <w:color w:val="0000FF"/>
          <w:szCs w:val="24"/>
        </w:rPr>
        <w:t>[…]</w:t>
      </w:r>
    </w:p>
    <w:p>
      <w:pPr>
        <w:spacing w:before="360" w:after="0"/>
        <w:jc w:val="center"/>
        <w:rPr>
          <w:b/>
          <w:noProof/>
          <w:color w:val="0000FF"/>
          <w:szCs w:val="24"/>
        </w:rPr>
      </w:pPr>
      <w:r>
        <w:rPr>
          <w:b/>
          <w:noProof/>
          <w:color w:val="000000" w:themeColor="text1"/>
          <w:szCs w:val="24"/>
        </w:rPr>
        <w:t>oт</w:t>
      </w:r>
      <w:r>
        <w:rPr>
          <w:b/>
          <w:noProof/>
          <w:szCs w:val="24"/>
        </w:rPr>
        <w:t xml:space="preserve"> </w:t>
      </w:r>
      <w:r>
        <w:rPr>
          <w:b/>
          <w:noProof/>
          <w:color w:val="0000FF"/>
          <w:szCs w:val="24"/>
        </w:rPr>
        <w:t>[…]</w:t>
      </w:r>
      <w:r>
        <w:rPr>
          <w:b/>
          <w:noProof/>
          <w:szCs w:val="24"/>
        </w:rPr>
        <w:t xml:space="preserve"> година</w:t>
      </w:r>
    </w:p>
    <w:p>
      <w:pPr>
        <w:spacing w:before="360" w:after="360"/>
        <w:jc w:val="center"/>
        <w:rPr>
          <w:rFonts w:eastAsia="Times New Roman"/>
          <w:b/>
          <w:noProof/>
          <w:szCs w:val="24"/>
        </w:rPr>
      </w:pPr>
      <w:r>
        <w:rPr>
          <w:b/>
          <w:noProof/>
          <w:szCs w:val="24"/>
        </w:rPr>
        <w:t>за изменение на Протокол 31 към Споразумението за ЕИП</w:t>
      </w:r>
      <w:r>
        <w:rPr>
          <w:noProof/>
        </w:rPr>
        <w:t xml:space="preserve"> </w:t>
      </w:r>
      <w:r>
        <w:rPr>
          <w:noProof/>
        </w:rPr>
        <w:br/>
      </w:r>
      <w:r>
        <w:rPr>
          <w:b/>
          <w:noProof/>
          <w:szCs w:val="24"/>
        </w:rPr>
        <w:t>относно сътрудничеството в специфични области извън четирите свободи</w:t>
      </w:r>
    </w:p>
    <w:p>
      <w:pPr>
        <w:spacing w:before="600"/>
        <w:rPr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>СЪВМЕСТНИЯТ КОМИТЕТ НА ЕИП,</w:t>
      </w:r>
    </w:p>
    <w:p>
      <w:pPr>
        <w:rPr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>като взе предвид Споразумението за Европейското икономическо пространство („Споразумението за ЕИП“), и по-специално членове 86 и 98 от него,</w:t>
      </w:r>
    </w:p>
    <w:p>
      <w:pPr>
        <w:rPr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>като има предвид, че:</w:t>
      </w:r>
    </w:p>
    <w:p>
      <w:pPr>
        <w:pStyle w:val="Considrant"/>
        <w:numPr>
          <w:ilvl w:val="0"/>
          <w:numId w:val="1"/>
        </w:numPr>
        <w:rPr>
          <w:noProof/>
        </w:rPr>
      </w:pPr>
      <w:r>
        <w:rPr>
          <w:noProof/>
        </w:rPr>
        <w:t>Целесъобразно е да се продължи сътрудничеството между договарящите се страни по Споразумението за ЕИП по отношение на дейности на Съюза, финансирани от общия бюджет на Съюза и свързани с дружественото право.</w:t>
      </w:r>
    </w:p>
    <w:p>
      <w:pPr>
        <w:pStyle w:val="Considrant"/>
        <w:numPr>
          <w:ilvl w:val="0"/>
          <w:numId w:val="1"/>
        </w:numPr>
        <w:rPr>
          <w:noProof/>
        </w:rPr>
      </w:pPr>
      <w:r>
        <w:rPr>
          <w:noProof/>
        </w:rPr>
        <w:t>Поради това Протокол 31 към Споразумението за ЕИП следва да се измени, за да се даде възможност това разширено сътрудничество да започне от 1 януари 2020</w:t>
      </w:r>
      <w:r>
        <w:rPr>
          <w:noProof/>
          <w:lang w:val="en-US"/>
        </w:rPr>
        <w:t> </w:t>
      </w:r>
      <w:r>
        <w:rPr>
          <w:noProof/>
        </w:rPr>
        <w:t>г.,</w:t>
      </w:r>
    </w:p>
    <w:p>
      <w:pPr>
        <w:keepNext/>
        <w:tabs>
          <w:tab w:val="left" w:pos="709"/>
        </w:tabs>
        <w:rPr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>ПРИЕ НАСТОЯЩОТО РЕШЕНИЕ:</w:t>
      </w:r>
    </w:p>
    <w:p>
      <w:pPr>
        <w:pStyle w:val="Articleheading"/>
        <w:rPr>
          <w:noProof/>
        </w:rPr>
      </w:pPr>
      <w:r>
        <w:rPr>
          <w:noProof/>
        </w:rPr>
        <w:t>Член 1</w:t>
      </w:r>
    </w:p>
    <w:p>
      <w:pPr>
        <w:pStyle w:val="Articletext"/>
        <w:rPr>
          <w:noProof/>
        </w:rPr>
      </w:pPr>
      <w:r>
        <w:rPr>
          <w:noProof/>
        </w:rPr>
        <w:t>В член 7, параграф 13 от Протокол 31 към Споразумението за ЕИП думите „и 2019 г.“ се заменят с думите „, 2019 г. и 2020 г.“.</w:t>
      </w:r>
    </w:p>
    <w:p>
      <w:pPr>
        <w:pStyle w:val="Articleheading"/>
        <w:rPr>
          <w:noProof/>
        </w:rPr>
      </w:pPr>
      <w:r>
        <w:rPr>
          <w:noProof/>
        </w:rPr>
        <w:t>Член 2</w:t>
      </w:r>
    </w:p>
    <w:p>
      <w:pPr>
        <w:pStyle w:val="Articletext"/>
        <w:rPr>
          <w:noProof/>
        </w:rPr>
      </w:pPr>
      <w:r>
        <w:rPr>
          <w:noProof/>
        </w:rPr>
        <w:t>Настоящото решение влиза в сила в деня след внасянето на последната нотификация, предвидена в член 103, параграф 1 от Споразумението за ЕИП.</w:t>
      </w:r>
    </w:p>
    <w:p>
      <w:pPr>
        <w:pStyle w:val="Articletext"/>
        <w:rPr>
          <w:noProof/>
        </w:rPr>
      </w:pPr>
      <w:r>
        <w:rPr>
          <w:noProof/>
        </w:rPr>
        <w:t>То се прилага от 1 януари 2020 г.</w:t>
      </w:r>
    </w:p>
    <w:p>
      <w:pPr>
        <w:pStyle w:val="Articleheading"/>
        <w:rPr>
          <w:noProof/>
        </w:rPr>
      </w:pPr>
      <w:r>
        <w:rPr>
          <w:noProof/>
        </w:rPr>
        <w:t>Член 3</w:t>
      </w:r>
    </w:p>
    <w:p>
      <w:pPr>
        <w:pStyle w:val="Articletext"/>
        <w:rPr>
          <w:noProof/>
        </w:rPr>
      </w:pPr>
      <w:r>
        <w:rPr>
          <w:noProof/>
        </w:rPr>
        <w:t xml:space="preserve">Настоящото решение се публикува в раздела за ЕИП 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br w:type="page"/>
      </w:r>
    </w:p>
    <w:p>
      <w:pPr>
        <w:rPr>
          <w:noProof/>
        </w:rPr>
      </w:pPr>
    </w:p>
    <w:p>
      <w:pPr>
        <w:rPr>
          <w:noProof/>
          <w:szCs w:val="24"/>
        </w:rPr>
      </w:pPr>
      <w:r>
        <w:rPr>
          <w:noProof/>
        </w:rPr>
        <w:t>Съставено в Брюксел на […] година.</w:t>
      </w:r>
    </w:p>
    <w:p>
      <w:pPr>
        <w:tabs>
          <w:tab w:val="left" w:pos="4253"/>
        </w:tabs>
        <w:spacing w:before="720" w:after="0"/>
        <w:rPr>
          <w:i/>
          <w:noProof/>
          <w:szCs w:val="24"/>
        </w:rPr>
      </w:pPr>
      <w:r>
        <w:rPr>
          <w:noProof/>
        </w:rPr>
        <w:tab/>
      </w:r>
      <w:r>
        <w:rPr>
          <w:i/>
          <w:noProof/>
          <w:szCs w:val="24"/>
        </w:rPr>
        <w:t>За Съвместния комитет на ЕИП</w:t>
      </w:r>
    </w:p>
    <w:p>
      <w:pPr>
        <w:tabs>
          <w:tab w:val="left" w:pos="4253"/>
        </w:tabs>
        <w:spacing w:after="0"/>
        <w:rPr>
          <w:i/>
          <w:noProof/>
          <w:szCs w:val="24"/>
        </w:rPr>
      </w:pPr>
      <w:r>
        <w:rPr>
          <w:noProof/>
        </w:rPr>
        <w:tab/>
      </w:r>
      <w:r>
        <w:rPr>
          <w:i/>
          <w:noProof/>
          <w:szCs w:val="24"/>
        </w:rPr>
        <w:t>Председател</w:t>
      </w:r>
    </w:p>
    <w:p>
      <w:pPr>
        <w:tabs>
          <w:tab w:val="left" w:pos="4253"/>
        </w:tabs>
        <w:spacing w:after="0"/>
        <w:rPr>
          <w:i/>
          <w:noProof/>
          <w:szCs w:val="24"/>
        </w:rPr>
      </w:pPr>
      <w:r>
        <w:rPr>
          <w:noProof/>
        </w:rPr>
        <w:tab/>
      </w:r>
    </w:p>
    <w:p>
      <w:pPr>
        <w:pStyle w:val="ListParagraph"/>
        <w:ind w:left="0"/>
        <w:rPr>
          <w:noProof/>
        </w:rPr>
      </w:pPr>
    </w:p>
    <w:p>
      <w:pPr>
        <w:pStyle w:val="ListParagraph"/>
        <w:ind w:left="0"/>
        <w:rPr>
          <w:noProof/>
        </w:rPr>
      </w:pPr>
    </w:p>
    <w:p>
      <w:pPr>
        <w:pStyle w:val="ListParagraph"/>
        <w:tabs>
          <w:tab w:val="left" w:pos="4253"/>
        </w:tabs>
        <w:ind w:left="0"/>
        <w:rPr>
          <w:rFonts w:cs="Times New Roman"/>
          <w:i/>
          <w:noProof/>
          <w:szCs w:val="24"/>
        </w:rPr>
      </w:pPr>
      <w:r>
        <w:rPr>
          <w:noProof/>
        </w:rPr>
        <w:tab/>
      </w:r>
      <w:r>
        <w:rPr>
          <w:i/>
          <w:noProof/>
          <w:szCs w:val="24"/>
        </w:rPr>
        <w:t>Секретари</w:t>
      </w:r>
    </w:p>
    <w:p>
      <w:pPr>
        <w:pStyle w:val="ListParagraph"/>
        <w:tabs>
          <w:tab w:val="left" w:pos="4253"/>
        </w:tabs>
        <w:ind w:left="0"/>
        <w:rPr>
          <w:rFonts w:cs="Times New Roman"/>
          <w:i/>
          <w:noProof/>
          <w:szCs w:val="24"/>
        </w:rPr>
      </w:pPr>
      <w:r>
        <w:rPr>
          <w:noProof/>
        </w:rPr>
        <w:tab/>
      </w:r>
      <w:r>
        <w:rPr>
          <w:i/>
          <w:noProof/>
          <w:szCs w:val="24"/>
        </w:rPr>
        <w:t>на Съвместния комитет на ЕИП</w:t>
      </w:r>
    </w:p>
    <w:p>
      <w:pPr>
        <w:pStyle w:val="ListParagraph"/>
        <w:tabs>
          <w:tab w:val="left" w:pos="4253"/>
        </w:tabs>
        <w:ind w:left="0"/>
        <w:rPr>
          <w:rFonts w:cs="Times New Roman"/>
          <w:i/>
          <w:noProof/>
          <w:szCs w:val="24"/>
        </w:rPr>
      </w:pPr>
      <w:r>
        <w:rPr>
          <w:noProof/>
        </w:rPr>
        <w:tab/>
      </w:r>
    </w:p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13E71C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576190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C16CB8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28A527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D4291A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926C1C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EB6F5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65CAC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8-12 13:13:4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5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12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5FD8500B-5EB4-4B90-B110-4815E9DC3573"/>
    <w:docVar w:name="LW_COVERPAGE_TYPE" w:val="1"/>
    <w:docVar w:name="LW_CROSSREFERENCE" w:val="&lt;UNUSED&gt;"/>
    <w:docVar w:name="LW_DocType" w:val="ANNEX"/>
    <w:docVar w:name="LW_EMISSION" w:val="13.8.2020"/>
    <w:docVar w:name="LW_EMISSION_ISODATE" w:val="2020-08-13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55?\u1088?\u1086?\u1090?\u1086?\u1082?\u1086?\u1083? 31 \u1082?\u1098?\u1084? \u1057?\u1087?\u1086?\u1088?\u1072?\u1079?\u1091?\u1084?\u1077?\u1085?\u1080?\u1077?\u1090?\u1086? \u1079?\u1072? \u1045?\u1048?\u1055? 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_x000d__x000d__x000d__x000d__x000b__x000d__x000d__x000d_(\u1073?\u1102?\u1076?\u1078?\u1077?\u1090?\u1077?\u1085? \u1088?\u1077?\u1076? 33.02.03.01 \u8212? \u1044?\u1088?\u1091?\u1078?\u1077?\u1089?\u1090?\u1074?\u1077?\u1085?\u1086? \u1087?\u1088?\u1072?\u1074?\u1086?)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55?\u1088?\u1086?\u1090?\u1086?\u1082?\u1086?\u1083? 31 \u1082?\u1098?\u1084? \u1057?\u1087?\u1086?\u1088?\u1072?\u1079?\u1091?\u1084?\u1077?\u1085?\u1080?\u1077?\u1090?\u1086? \u1079?\u1072? \u1045?\u1048?\u1055? 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_x000d__x000d__x000d__x000d__x000b__x000d__x000d__x000d_(\u1073?\u1102?\u1076?\u1078?\u1077?\u1090?\u1077?\u1085? \u1088?\u1077?\u1076? 33.02.03.01 \u8212? \u1044?\u1088?\u1091?\u1078?\u1077?\u1089?\u1090?\u1074?\u1077?\u1085?\u1086? \u1087?\u1088?\u1072?\u1074?\u1086?)"/>
    <w:docVar w:name="LW_PART_NBR" w:val="1"/>
    <w:docVar w:name="LW_PART_NBR_TOTAL" w:val="1"/>
    <w:docVar w:name="LW_REF.INST.NEW" w:val="COM"/>
    <w:docVar w:name="LW_REF.INST.NEW_ADOPTED" w:val="final"/>
    <w:docVar w:name="LW_REF.INST.NEW_TEXT" w:val="(2020) 36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88?\u1077?\u1096?\u1077?\u1085?\u1080?\u1077? \u1085?\u1072? \u1057?\u1098?\u1074?\u1077?\u1090?\u1072?"/>
    <w:docVar w:name="LW_TYPEACTEPRINCIPAL.CP" w:val="\u1055?\u1088?\u1077?\u1076?\u1083?\u1086?\u1078?\u1077?\u1085?\u1080?\u1077? \u1079?\u1072? \u1088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cstheme="minorBidi"/>
      <w:szCs w:val="20"/>
    </w:rPr>
  </w:style>
  <w:style w:type="paragraph" w:customStyle="1" w:styleId="Articleheading">
    <w:name w:val="Article heading"/>
    <w:basedOn w:val="Normal"/>
    <w:link w:val="ArticleheadingChar"/>
    <w:qFormat/>
    <w:pPr>
      <w:keepNext/>
      <w:tabs>
        <w:tab w:val="left" w:pos="709"/>
      </w:tabs>
      <w:spacing w:before="360"/>
      <w:jc w:val="center"/>
    </w:pPr>
    <w:rPr>
      <w:i/>
      <w:color w:val="000000" w:themeColor="text1"/>
      <w:szCs w:val="24"/>
    </w:rPr>
  </w:style>
  <w:style w:type="paragraph" w:customStyle="1" w:styleId="Articletext">
    <w:name w:val="Article text"/>
    <w:basedOn w:val="Articleheading"/>
    <w:link w:val="ArticletextChar"/>
    <w:qFormat/>
    <w:pPr>
      <w:keepNext w:val="0"/>
      <w:spacing w:before="120"/>
      <w:jc w:val="both"/>
    </w:pPr>
    <w:rPr>
      <w:i w:val="0"/>
    </w:rPr>
  </w:style>
  <w:style w:type="character" w:customStyle="1" w:styleId="ArticleheadingChar">
    <w:name w:val="Article heading Char"/>
    <w:basedOn w:val="DefaultParagraphFont"/>
    <w:link w:val="Articleheading"/>
    <w:rPr>
      <w:rFonts w:ascii="Times New Roman" w:hAnsi="Times New Roman" w:cs="Times New Roman"/>
      <w:i/>
      <w:color w:val="000000" w:themeColor="text1"/>
      <w:sz w:val="24"/>
      <w:szCs w:val="24"/>
    </w:rPr>
  </w:style>
  <w:style w:type="character" w:customStyle="1" w:styleId="ArticletextChar">
    <w:name w:val="Article text Char"/>
    <w:basedOn w:val="ArticleheadingChar"/>
    <w:link w:val="Articletext"/>
    <w:rPr>
      <w:rFonts w:ascii="Times New Roman" w:hAnsi="Times New Roman" w:cs="Times New Roman"/>
      <w:i w:val="0"/>
      <w:color w:val="000000" w:themeColor="text1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cstheme="minorBidi"/>
      <w:szCs w:val="20"/>
    </w:rPr>
  </w:style>
  <w:style w:type="paragraph" w:customStyle="1" w:styleId="Articleheading">
    <w:name w:val="Article heading"/>
    <w:basedOn w:val="Normal"/>
    <w:link w:val="ArticleheadingChar"/>
    <w:qFormat/>
    <w:pPr>
      <w:keepNext/>
      <w:tabs>
        <w:tab w:val="left" w:pos="709"/>
      </w:tabs>
      <w:spacing w:before="360"/>
      <w:jc w:val="center"/>
    </w:pPr>
    <w:rPr>
      <w:i/>
      <w:color w:val="000000" w:themeColor="text1"/>
      <w:szCs w:val="24"/>
    </w:rPr>
  </w:style>
  <w:style w:type="paragraph" w:customStyle="1" w:styleId="Articletext">
    <w:name w:val="Article text"/>
    <w:basedOn w:val="Articleheading"/>
    <w:link w:val="ArticletextChar"/>
    <w:qFormat/>
    <w:pPr>
      <w:keepNext w:val="0"/>
      <w:spacing w:before="120"/>
      <w:jc w:val="both"/>
    </w:pPr>
    <w:rPr>
      <w:i w:val="0"/>
    </w:rPr>
  </w:style>
  <w:style w:type="character" w:customStyle="1" w:styleId="ArticleheadingChar">
    <w:name w:val="Article heading Char"/>
    <w:basedOn w:val="DefaultParagraphFont"/>
    <w:link w:val="Articleheading"/>
    <w:rPr>
      <w:rFonts w:ascii="Times New Roman" w:hAnsi="Times New Roman" w:cs="Times New Roman"/>
      <w:i/>
      <w:color w:val="000000" w:themeColor="text1"/>
      <w:sz w:val="24"/>
      <w:szCs w:val="24"/>
    </w:rPr>
  </w:style>
  <w:style w:type="character" w:customStyle="1" w:styleId="ArticletextChar">
    <w:name w:val="Article text Char"/>
    <w:basedOn w:val="ArticleheadingChar"/>
    <w:link w:val="Articletext"/>
    <w:rPr>
      <w:rFonts w:ascii="Times New Roman" w:hAnsi="Times New Roman" w:cs="Times New Roman"/>
      <w:i w:val="0"/>
      <w:color w:val="000000" w:themeColor="text1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3</Pages>
  <Words>220</Words>
  <Characters>1122</Characters>
  <Application>Microsoft Office Word</Application>
  <DocSecurity>0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KARLOWSKI Mikolaj (EEAS)</dc:creator>
  <cp:keywords/>
  <dc:description/>
  <cp:lastModifiedBy>WES PDFC Administrator</cp:lastModifiedBy>
  <cp:revision>9</cp:revision>
  <dcterms:created xsi:type="dcterms:W3CDTF">2020-07-28T08:14:00Z</dcterms:created>
  <dcterms:modified xsi:type="dcterms:W3CDTF">2020-08-12T11:13:00Z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