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035D215-C416-4E09-AB16-80562D868467" style="width:451.25pt;height:437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à des programmes et actions de l’Union financés par des lignes budgétaires du budget général de l’Union européenne. En l’espèce, l’objet de la présente modification est de permettre la participation des États de l’AELE membres de l’EEE (Norvège, Islande et Liechtenstein) aux actions de l'Union relevant de la ligne budgétaire 33 02 03 01 («Droit des sociétés») du budget général de l'Union européenne pour l'exercice 2020.</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r>
        <w:rPr>
          <w:rStyle w:val="Marker2"/>
          <w:noProof/>
        </w:rPr>
        <w:t xml:space="preserv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noProof/>
        </w:rPr>
      </w:pPr>
      <w:r>
        <w:rPr>
          <w:noProof/>
        </w:rPr>
        <w:t>La proposition est fondée sur l'article 114 du TFUE, en liaison avec son article 218, paragraphe 9. L’article 1</w:t>
      </w:r>
      <w:r>
        <w:rPr>
          <w:noProof/>
          <w:vertAlign w:val="superscript"/>
        </w:rPr>
        <w:t>er</w:t>
      </w:r>
      <w:r>
        <w:rPr>
          <w:noProof/>
        </w:rPr>
        <w:t>, paragraphe 3, du règlement (CE) nº 2894/94 du Conseil</w:t>
      </w:r>
      <w:r>
        <w:rPr>
          <w:rStyle w:val="FootnoteReference"/>
          <w:noProof/>
        </w:rPr>
        <w:footnoteReference w:id="1"/>
      </w:r>
      <w:r>
        <w:rPr>
          <w:noProof/>
        </w:rPr>
        <w:t xml:space="preserve"> relatif à certaines modalités d’application de l’accord EEE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rFonts w:cs="EUAlbertina"/>
          <w:noProof/>
          <w:color w:val="000000"/>
        </w:rPr>
      </w:pPr>
      <w:r>
        <w:rPr>
          <w:noProof/>
        </w:rPr>
        <w:t>La proposition respecte le principe de subsidiarité pour la raison exposée ci-après.</w:t>
      </w:r>
    </w:p>
    <w:p>
      <w:pPr>
        <w:pBdr>
          <w:top w:val="nil"/>
          <w:left w:val="nil"/>
          <w:bottom w:val="nil"/>
          <w:right w:val="nil"/>
          <w:between w:val="nil"/>
          <w:bar w:val="nil"/>
        </w:pBdr>
        <w:spacing w:before="0" w:after="240"/>
        <w:rPr>
          <w:rFonts w:eastAsia="Arial Unicode MS"/>
          <w:noProof/>
        </w:rPr>
      </w:pPr>
      <w:r>
        <w:rPr>
          <w:noProof/>
          <w:color w:val="000000"/>
          <w:szCs w:val="24"/>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color w:val="000000"/>
          <w:szCs w:val="24"/>
        </w:rPr>
        <w:t>Conformément au principe de proportionnalité, la proposition n'excède pas ce qui est nécessaire pour atteindre son objectif (garantir l’homogénéité du marché intérieur).</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Les États de l’AELE membres de l’EEE contribuent financièrement à la ligne budgétaire 33 02 03 01 «Droit des sociétés» du budget de l'Union. Le montant exact sera déterminé en conformité avec les dispositions de l’accord EEE, dès que la présente proposition de décision du Conseil aura été adoptée. </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pBdr>
          <w:top w:val="nil"/>
          <w:left w:val="nil"/>
          <w:bottom w:val="nil"/>
          <w:right w:val="nil"/>
          <w:between w:val="nil"/>
          <w:bar w:val="nil"/>
        </w:pBdr>
        <w:spacing w:before="0" w:after="240"/>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rPr>
          <w:rFonts w:eastAsia="Arial Unicode MS"/>
          <w:noProof/>
        </w:rPr>
      </w:pPr>
      <w:r>
        <w:rPr>
          <w:noProof/>
        </w:rPr>
        <w:t>Le caractère rétroactif ne porte pas atteinte aux droits et obligations des personnes concernées et respecte le principe de la confiance légitime.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du protocole 31 de l'accord EEE concernant la coopération dans des secteurs particuliers en dehors des quatre libertés </w:t>
      </w:r>
      <w:r>
        <w:rPr>
          <w:noProof/>
        </w:rPr>
        <w:br/>
        <w:t xml:space="preserve"> </w:t>
      </w:r>
      <w:r>
        <w:rPr>
          <w:noProof/>
        </w:rPr>
        <w:br/>
        <w:t>(Ligne budgétaire 33 02 03 01 – Droit des sociétés)</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contient des dispositions relatives à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l'Union européenne, relatives au droit des sociétés.</w:t>
      </w:r>
    </w:p>
    <w:p>
      <w:pPr>
        <w:pStyle w:val="ManualConsidrant"/>
        <w:rPr>
          <w:noProof/>
        </w:rPr>
      </w:pPr>
      <w:r>
        <w:t>(5)</w:t>
      </w:r>
      <w:r>
        <w:tab/>
      </w:r>
      <w:r>
        <w:rPr>
          <w:noProof/>
        </w:rPr>
        <w:t>Il convient, dès lors, de modifier le protocole 31 de l'accord EEE afin que cette coopération élargie puisse avoir lieu à partir du 1</w:t>
      </w:r>
      <w:r>
        <w:rPr>
          <w:noProof/>
          <w:vertAlign w:val="superscript"/>
        </w:rPr>
        <w:t>er</w:t>
      </w:r>
      <w:r>
        <w:rPr>
          <w:noProof/>
        </w:rPr>
        <w:t xml:space="preserve"> janvier 2020.</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position à prendre, au nom de l'Union, au sein du Comité mixte de l'EEE en ce qui concerne la modification qu'il est proposé d'apporter au protocole 31 de l'accord EEE </w:t>
      </w:r>
      <w:r>
        <w:rPr>
          <w:noProof/>
        </w:rPr>
        <w:lastRenderedPageBreak/>
        <w:t>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305 du 30.11.1994, p. 6.</w:t>
      </w:r>
    </w:p>
  </w:footnote>
  <w:footnote w:id="2">
    <w:p>
      <w:pPr>
        <w:pStyle w:val="FootnoteText"/>
      </w:pPr>
      <w:r>
        <w:rPr>
          <w:rStyle w:val="FootnoteReference"/>
        </w:rPr>
        <w:footnoteRef/>
      </w:r>
      <w:r>
        <w:tab/>
        <w:t>JO L 305 du 30.11.1994, p. 6.</w:t>
      </w:r>
    </w:p>
  </w:footnote>
  <w:footnote w:id="3">
    <w:p>
      <w:pPr>
        <w:pStyle w:val="FootnoteText"/>
      </w:pPr>
      <w:r>
        <w:rPr>
          <w:rStyle w:val="FootnoteReference"/>
        </w:rPr>
        <w:footnoteRef/>
      </w:r>
      <w:r>
        <w:tab/>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481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EC8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7A5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8A0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A0E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BE4B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CACE7A"/>
    <w:lvl w:ilvl="0">
      <w:start w:val="1"/>
      <w:numFmt w:val="decimal"/>
      <w:pStyle w:val="ListNumber"/>
      <w:lvlText w:val="%1."/>
      <w:lvlJc w:val="left"/>
      <w:pPr>
        <w:tabs>
          <w:tab w:val="num" w:pos="360"/>
        </w:tabs>
        <w:ind w:left="360" w:hanging="360"/>
      </w:pPr>
    </w:lvl>
  </w:abstractNum>
  <w:abstractNum w:abstractNumId="7">
    <w:nsid w:val="FFFFFF89"/>
    <w:multiLevelType w:val="singleLevel"/>
    <w:tmpl w:val="63E00C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12: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35D215-C416-4E09-AB16-80562D868467"/>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2"/>
    <w:docVar w:name="LW_REF.II.NEW.CP_YEAR" w:val="2020"/>
    <w:docVar w:name="LW_REF.INST.NEW" w:val="COM"/>
    <w:docVar w:name="LW_REF.INST.NEW_ADOPTED" w:val="final"/>
    <w:docVar w:name="LW_REF.INST.NEW_TEXT" w:val="(2020)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en ce qui concerne une modification du protocole 31 de l'accord EEE concernant la coopération dans des secteurs particuliers en dehors des quatre libertés _x000b_ _x000b_(Ligne budgétaire 33 02 03 01 \u8211? Droit des sociét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1086</Words>
  <Characters>5736</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2020-07-27T11:01:00Z</dcterms:created>
  <dcterms:modified xsi:type="dcterms:W3CDTF">2020-08-12T11:12:00Z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