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734CB7F-B9A6-4308-9839-26D49FC54C56" style="width:450.75pt;height:450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pBdr>
          <w:top w:val="nil"/>
          <w:left w:val="nil"/>
          <w:bottom w:val="nil"/>
          <w:right w:val="nil"/>
          <w:between w:val="nil"/>
          <w:bar w:val="nil"/>
        </w:pBdr>
        <w:spacing w:before="0" w:after="240"/>
        <w:rPr>
          <w:rFonts w:eastAsia="Arial Unicode MS"/>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Това е необходимо, за да се позволи на членуващите в ЕИП държави от ЕАСТ да участват в програми и действия на Съюза, финансирани със средства от европейски бюджетни редове. В конкретния случай целта на настоящото изменение е да се позволи на членуващите в ЕИП държави от ЕАСТ (Норвегия, Исландия и Лихтенщайн) да участват в действия на Съюза, свързани с бюджетен ред 12 02 01 „Осъществяване и развитие на единния пазар на финансови услуги“, вписани в общия бюджет на Европейския съюз за финансовата 2020 година.</w:t>
      </w:r>
    </w:p>
    <w:p>
      <w:pPr>
        <w:pStyle w:val="ManualHeading2"/>
        <w:rPr>
          <w:rFonts w:eastAsia="Arial Unicode MS"/>
          <w:noProof/>
          <w:u w:color="000000"/>
          <w:bdr w:val="nil"/>
        </w:rPr>
      </w:pPr>
      <w:r>
        <w:rPr>
          <w:noProof/>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едни и същи правила с оглед да се създаде хомогенно Европейско икономическо пространство.</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r>
      <w:r>
        <w:rPr>
          <w:noProof/>
          <w:spacing w:val="-4"/>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Материалноправното основание за настоящото предложение на Съвета е член 114 от Договора за функционирането на Европейския съюз във връзка с член 218, параграф 9 от него.</w:t>
      </w:r>
    </w:p>
    <w:p>
      <w:pPr>
        <w:pBdr>
          <w:top w:val="nil"/>
          <w:left w:val="nil"/>
          <w:bottom w:val="nil"/>
          <w:right w:val="nil"/>
          <w:between w:val="nil"/>
          <w:bar w:val="nil"/>
        </w:pBdr>
        <w:spacing w:before="0" w:after="240"/>
        <w:rPr>
          <w:rFonts w:eastAsia="Arial Unicode MS"/>
          <w:noProof/>
        </w:rPr>
      </w:pPr>
      <w:r>
        <w:rPr>
          <w:noProof/>
        </w:rPr>
        <w:t>Процесуалноправното основание е член 1, параграф 3 от Регламент (ЕО) № 2894/94 на Съвета относно условията за прилагане на Споразумението за ЕИП, съгласно който Съветът определя въз основа на предложение на Комисията позицията, която трябва да се заеме от името на Съюза по отношение на подобни решения.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е в съответствие с принципа на субсидиарност по следните причини:</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w:t>
      </w:r>
      <w:r>
        <w:rPr>
          <w:noProof/>
        </w:rPr>
        <w:lastRenderedPageBreak/>
        <w:t>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Членуващите в ЕИП държави от ЕАСТ следва да участват финансово в бюджета на Съюза, бюджетен ред 12 02 01 „Осъществяване и развитие на единния пазар на финансови услуги“.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наблюдение, оценка и докладване</w:t>
      </w:r>
    </w:p>
    <w:p>
      <w:pPr>
        <w:pBdr>
          <w:top w:val="nil"/>
          <w:left w:val="nil"/>
          <w:bottom w:val="nil"/>
          <w:right w:val="nil"/>
          <w:between w:val="nil"/>
          <w:bar w:val="nil"/>
        </w:pBd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 съответствие с Протокол 32 към Споразумението за ЕИП обаче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изготвена от Европейската комисия и представена на членуващите в ЕИП държави от ЕАСТ до 15</w:t>
      </w:r>
      <w:r>
        <w:rPr>
          <w:noProof/>
          <w:lang w:val="en-US"/>
        </w:rPr>
        <w:t> </w:t>
      </w:r>
      <w:r>
        <w:rPr>
          <w:noProof/>
        </w:rPr>
        <w:t>август.</w:t>
      </w:r>
    </w:p>
    <w:p>
      <w:pPr>
        <w:pBdr>
          <w:top w:val="nil"/>
          <w:left w:val="nil"/>
          <w:bottom w:val="nil"/>
          <w:right w:val="nil"/>
          <w:between w:val="nil"/>
          <w:bar w:val="nil"/>
        </w:pBd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през цялата календарна година, както е предвидено в Споразумението за ЕИП.</w:t>
      </w:r>
    </w:p>
    <w:p>
      <w:pPr>
        <w:pBdr>
          <w:top w:val="nil"/>
          <w:left w:val="nil"/>
          <w:bottom w:val="nil"/>
          <w:right w:val="nil"/>
          <w:between w:val="nil"/>
          <w:bar w:val="nil"/>
        </w:pBdr>
        <w:spacing w:before="0" w:after="240"/>
        <w:rPr>
          <w:rFonts w:eastAsia="Arial Unicode MS"/>
          <w:noProof/>
        </w:rPr>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 </w:t>
      </w:r>
      <w:r>
        <w:rPr>
          <w:noProof/>
        </w:rPr>
        <w:br/>
        <w:t xml:space="preserve"> </w:t>
      </w:r>
      <w:r>
        <w:rPr>
          <w:noProof/>
        </w:rPr>
        <w:br/>
        <w:t>(бюджетен ред 12.02.01 — Финансови услуги)</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pStyle w:val="Normal1"/>
        <w:jc w:val="both"/>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0"/>
          <w:noProof/>
        </w:rPr>
        <w:footnoteReference w:id="1"/>
      </w:r>
      <w:r>
        <w:rPr>
          <w:noProof/>
        </w:rPr>
        <w:t xml:space="preserve">, и по-специално член 1, параграф 3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0"/>
          <w:noProof/>
        </w:rPr>
        <w:footnoteReference w:id="2"/>
      </w:r>
      <w:r>
        <w:rPr>
          <w:noProof/>
        </w:rPr>
        <w:t xml:space="preserve"> („Споразумението за ЕИП“) влезе в сила на 1 януари 1994 г.</w:t>
      </w:r>
    </w:p>
    <w:p>
      <w:pPr>
        <w:pStyle w:val="ManualConsidrant"/>
        <w:rPr>
          <w:noProof/>
        </w:rPr>
      </w:pPr>
      <w:r>
        <w:t>(2)</w:t>
      </w:r>
      <w:r>
        <w:tab/>
      </w:r>
      <w:r>
        <w:rPr>
          <w:noProof/>
        </w:rPr>
        <w:t>Съгласно член 98 от Споразумението за ЕИП Съвместният комитет на ЕИП може да реши да измени,</w:t>
      </w:r>
      <w:r>
        <w:rPr>
          <w:i/>
          <w:iCs/>
          <w:noProof/>
        </w:rPr>
        <w:t xml:space="preserve"> inter alia</w:t>
      </w:r>
      <w:r>
        <w:rPr>
          <w:noProof/>
        </w:rPr>
        <w:t>, Протокол 31 към Споразумението за ЕИП.</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финансовите услуги.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31 декември 2019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spacing w:before="0" w:after="200" w:line="276" w:lineRule="auto"/>
        <w:jc w:val="left"/>
        <w:rPr>
          <w:i/>
          <w:noProof/>
        </w:rPr>
      </w:pPr>
      <w:r>
        <w:rPr>
          <w:noProof/>
        </w:rPr>
        <w:br w:type="page"/>
      </w:r>
    </w:p>
    <w:p>
      <w:pPr>
        <w:pStyle w:val="Titrearticle"/>
        <w:rPr>
          <w:noProof/>
        </w:rPr>
      </w:pPr>
      <w:r>
        <w:rPr>
          <w:noProof/>
        </w:rPr>
        <w:lastRenderedPageBreak/>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OВ L 305, 30.11.1994 г., стр. 6</w:t>
      </w:r>
    </w:p>
  </w:footnote>
  <w:footnote w:id="2">
    <w:p>
      <w:pPr>
        <w:pStyle w:val="FootnoteText"/>
      </w:pPr>
      <w:r>
        <w:rPr>
          <w:rStyle w:val="FootnoteReference0"/>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6200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CC9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2098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AE06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B4EE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8898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7A80A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DAE6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4: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734CB7F-B9A6-4308-9839-26D49FC54C56"/>
    <w:docVar w:name="LW_COVERPAGE_TYPE" w:val="1"/>
    <w:docVar w:name="LW_CROSSREFERENCE" w:val="&lt;UNUSED&gt;"/>
    <w:docVar w:name="LW_DocType" w:val="COM"/>
    <w:docVar w:name="LW_EMISSION" w:val="13.8.2020"/>
    <w:docVar w:name="LW_EMISSION_ISODATE" w:val="2020-08-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0"/>
    <w:docVar w:name="LW_REF.II.NEW.CP_YEAR" w:val="2020"/>
    <w:docVar w:name="LW_REF.INST.NEW" w:val="COM"/>
    <w:docVar w:name="LW_REF.INST.NEW_ADOPTED" w:val="final"/>
    <w:docVar w:name="LW_REF.INST.NEW_TEXT" w:val="(2020)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 _x000b_ _x000b_(\u1073?\u1102?\u1076?\u1078?\u1077?\u1090?\u1077?\u1085? \u1088?\u1077?\u1076? 12.02.01 \u8212? \u1060?\u1080?\u1085?\u1072?\u1085?\u1089?\u1086?\u1074?\u1080? \u1091?\u1089?\u1083?\u1091?\u107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1069</Words>
  <Characters>5901</Characters>
  <Application>Microsoft Office Word</Application>
  <DocSecurity>0</DocSecurity>
  <Lines>125</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2020-07-28T10:17:00Z</dcterms:created>
  <dcterms:modified xsi:type="dcterms:W3CDTF">2020-08-12T11:04:00Z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