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3F48B1-0687-4C2B-89B8-295151BA7807" style="width:450.7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Комитета по търговията между ЕС и държавите от Тихоокеанския басейн, създаден с Временното споразумение за партньорство между Европейската общност, от една страна, и държавите от Тихоокеанския басейн, от друга страна, във връзка с приемането на процедурния правилник на Комитета по търговия и на процедурния правилник на специалните комитети.</w:t>
      </w:r>
    </w:p>
    <w:p>
      <w:pPr>
        <w:pStyle w:val="ManualHeading1"/>
        <w:rPr>
          <w:rFonts w:eastAsia="Arial Unicode MS"/>
          <w:noProof/>
        </w:rPr>
      </w:pPr>
      <w:r>
        <w:t>2.</w:t>
      </w:r>
      <w:r>
        <w:tab/>
      </w:r>
      <w:r>
        <w:rPr>
          <w:noProof/>
        </w:rPr>
        <w:t>Контекст на предложението</w:t>
      </w:r>
    </w:p>
    <w:p>
      <w:pPr>
        <w:pStyle w:val="ManualHeading2"/>
        <w:rPr>
          <w:noProof/>
        </w:rPr>
      </w:pPr>
      <w:r>
        <w:t>2.1.</w:t>
      </w:r>
      <w:r>
        <w:tab/>
      </w:r>
      <w:r>
        <w:rPr>
          <w:noProof/>
        </w:rPr>
        <w:t>Временното споразумение за партньорство между Европейската общност, от една страна, и държавите от Тихоокеанския басейн, от друга страна</w:t>
      </w:r>
    </w:p>
    <w:p>
      <w:pPr>
        <w:rPr>
          <w:rFonts w:eastAsia="Arial Unicode MS"/>
          <w:noProof/>
        </w:rPr>
      </w:pPr>
      <w:r>
        <w:rPr>
          <w:noProof/>
        </w:rPr>
        <w:t>На 30 юли 2009 г. ЕС подписа Временното споразумение за партньорство</w:t>
      </w:r>
      <w:r>
        <w:rPr>
          <w:rStyle w:val="FootnoteReference"/>
          <w:noProof/>
        </w:rPr>
        <w:footnoteReference w:id="1"/>
      </w:r>
      <w:r>
        <w:rPr>
          <w:noProof/>
        </w:rPr>
        <w:t>, с което се установява рамка за Споразумение за икономическо партньорство (наричано по-долу „споразумението“) между Европейската общност, от една страна, и държавите от Тихоокеанския басейн, от друга страна.</w:t>
      </w:r>
    </w:p>
    <w:p>
      <w:pPr>
        <w:rPr>
          <w:rFonts w:eastAsia="Arial Unicode MS"/>
          <w:noProof/>
        </w:rPr>
      </w:pPr>
      <w:r>
        <w:rPr>
          <w:noProof/>
        </w:rPr>
        <w:t>Споразумението се прилага временно от Папуа-Нова Гвинея от 20 декември 2009 г., Фиджи — от 28 юли 2014 г., Самоа — от 31 декември 2018 г. и Соломоновите острови — от 17 май 2020 г.</w:t>
      </w:r>
    </w:p>
    <w:p>
      <w:pPr>
        <w:rPr>
          <w:rFonts w:eastAsia="Arial Unicode MS"/>
          <w:noProof/>
        </w:rPr>
      </w:pPr>
      <w:r>
        <w:rPr>
          <w:noProof/>
        </w:rPr>
        <w:t>Споразумението има за цел:</w:t>
      </w:r>
    </w:p>
    <w:p>
      <w:pPr>
        <w:pStyle w:val="Point0"/>
        <w:rPr>
          <w:noProof/>
        </w:rPr>
      </w:pPr>
      <w:r>
        <w:rPr>
          <w:noProof/>
        </w:rPr>
        <w:t>а)</w:t>
      </w:r>
      <w:r>
        <w:rPr>
          <w:noProof/>
        </w:rPr>
        <w:tab/>
        <w:t>да позволи на държавите от Тихоокеанския басейн да използват подобрения достъп до пазара, предложен от ЕС;</w:t>
      </w:r>
    </w:p>
    <w:p>
      <w:pPr>
        <w:pStyle w:val="Point0"/>
        <w:rPr>
          <w:noProof/>
        </w:rPr>
      </w:pPr>
      <w:r>
        <w:rPr>
          <w:noProof/>
        </w:rPr>
        <w:t>б)</w:t>
      </w:r>
      <w:r>
        <w:rPr>
          <w:noProof/>
        </w:rPr>
        <w:tab/>
        <w:t>да насърчи устойчивото развитие и постепенното интегриране на държавите от Тихоокеанския басейн в световната икономика;</w:t>
      </w:r>
    </w:p>
    <w:p>
      <w:pPr>
        <w:pStyle w:val="Point0"/>
        <w:rPr>
          <w:noProof/>
        </w:rPr>
      </w:pPr>
      <w:r>
        <w:rPr>
          <w:noProof/>
        </w:rPr>
        <w:t>в)</w:t>
      </w:r>
      <w:r>
        <w:rPr>
          <w:noProof/>
        </w:rPr>
        <w:tab/>
        <w:t>да създаде зона за свободна търговия между страните на основата на взаимния интерес чрез поетапна либерализация на търговията по начин, съответстващ на приложимите правила на СТО и принципа на асиметричния подход, при отчитане на специфичните нужди и ограниченията по отношение на капацитета на държавите от Тихоокеанския басейн, що се отнася до равнището на ангажиментите и графика за изпълнението им;</w:t>
      </w:r>
    </w:p>
    <w:p>
      <w:pPr>
        <w:pStyle w:val="Point0"/>
        <w:rPr>
          <w:noProof/>
        </w:rPr>
      </w:pPr>
      <w:r>
        <w:rPr>
          <w:noProof/>
        </w:rPr>
        <w:t>г)</w:t>
      </w:r>
      <w:r>
        <w:rPr>
          <w:noProof/>
        </w:rPr>
        <w:tab/>
        <w:t>да установи подходящите процедури за уреждане на спорове, както и</w:t>
      </w:r>
    </w:p>
    <w:p>
      <w:pPr>
        <w:pStyle w:val="Point0"/>
        <w:rPr>
          <w:noProof/>
        </w:rPr>
      </w:pPr>
      <w:r>
        <w:rPr>
          <w:noProof/>
        </w:rPr>
        <w:t>д)</w:t>
      </w:r>
      <w:r>
        <w:rPr>
          <w:noProof/>
        </w:rPr>
        <w:tab/>
        <w:t>да установи подходящите институционални договорености.</w:t>
      </w:r>
    </w:p>
    <w:p>
      <w:pPr>
        <w:pStyle w:val="ManualHeading2"/>
        <w:rPr>
          <w:noProof/>
        </w:rPr>
      </w:pPr>
      <w:r>
        <w:t>2.2.</w:t>
      </w:r>
      <w:r>
        <w:tab/>
      </w:r>
      <w:r>
        <w:rPr>
          <w:noProof/>
        </w:rPr>
        <w:t>Комитетът по търговията между ЕС и държавите от Тихоокеанския басейн</w:t>
      </w:r>
    </w:p>
    <w:p>
      <w:pPr>
        <w:rPr>
          <w:rFonts w:eastAsia="Arial Unicode MS"/>
          <w:noProof/>
        </w:rPr>
      </w:pPr>
      <w:r>
        <w:rPr>
          <w:noProof/>
        </w:rPr>
        <w:t xml:space="preserve">Комитетът по търговия, който се състои от представители на ЕС и на държавите от Тихоокеанския басейн (Фиджи, Папуа-Нова Гвинея, Самоа и Соломоновите острови), изготвя свой процедурен правилник и се председателства съвместно от представител на страната по споразумението ЕС и представител на държавите от Тихоокеанския регион. Двамата съпредседатели председателстват заседанията на ротационен принцип. </w:t>
      </w:r>
      <w:r>
        <w:rPr>
          <w:noProof/>
        </w:rPr>
        <w:lastRenderedPageBreak/>
        <w:t>За целите на споразумението лицето, председателстващо заседанието, се смята за „съпредседател, изпълняващ функциите на председател“ до момента на започване на следващото заседание и на поемане на функциите на председател от съпредседателя от другата страна.</w:t>
      </w:r>
    </w:p>
    <w:p>
      <w:pPr>
        <w:rPr>
          <w:rFonts w:eastAsia="Arial Unicode MS"/>
          <w:noProof/>
        </w:rPr>
      </w:pPr>
      <w:r>
        <w:rPr>
          <w:noProof/>
        </w:rPr>
        <w:t>Комитетът по търговия разглежда всички въпроси, необходими за прилагането на споразумението. При изпълнението на функциите си Комитетът по търговия може а) да създава всякакви специални комитети или органи, необходими за прилагането на споразумението, и да упражнява надзор над тях; б) да заседава по всяко време, за което страните са постигнали съгласие; в) да разглежда всякакви въпроси, попадащи в приложното поле на споразумението, и да предприема подходящи действия при изпълнението на функциите си; г) да взема решения или да отправя препоръки в случаите, предвидени в споразумението.</w:t>
      </w:r>
    </w:p>
    <w:p>
      <w:pPr>
        <w:rPr>
          <w:rFonts w:eastAsia="Arial Unicode MS"/>
          <w:noProof/>
        </w:rPr>
      </w:pPr>
      <w:r>
        <w:rPr>
          <w:noProof/>
        </w:rPr>
        <w:t>Комитетът по търговията между ЕС и държавите от Тихоокеанския басейн ще делегира конкретни изпълнителни правомощия за вземане на решения на специалните комитети съгласно предвиденото в съответните разпоредби на споразумението, и по-специално на Специалния комитет за митническо сътрудничество и правила за произход.</w:t>
      </w:r>
    </w:p>
    <w:p>
      <w:pPr>
        <w:pStyle w:val="ManualHeading2"/>
        <w:rPr>
          <w:noProof/>
        </w:rPr>
      </w:pPr>
      <w:r>
        <w:t>2.3.</w:t>
      </w:r>
      <w:r>
        <w:tab/>
      </w:r>
      <w:r>
        <w:rPr>
          <w:noProof/>
        </w:rPr>
        <w:t>Предвиденият акт на Комитета по търговията между ЕС и държавите от Тихоокеанския басейн</w:t>
      </w:r>
    </w:p>
    <w:p>
      <w:pPr>
        <w:rPr>
          <w:rFonts w:eastAsia="Arial Unicode MS"/>
          <w:noProof/>
        </w:rPr>
      </w:pPr>
      <w:r>
        <w:rPr>
          <w:noProof/>
        </w:rPr>
        <w:t>През последното тримесечие на 2020 г., а именно по време на осмото си заседание, Комитетът по търговията между ЕС и държавите от Тихоокеанския басейн предстои да вземе решение за приемане на процедурния правилник на Комитета по търговията между ЕС и държавите от Тихоокеанския басейн и на специалните комитети (наричано по-долу „предвиденият акт“).</w:t>
      </w:r>
    </w:p>
    <w:p>
      <w:pPr>
        <w:rPr>
          <w:rFonts w:eastAsia="Arial Unicode MS"/>
          <w:noProof/>
        </w:rPr>
      </w:pPr>
      <w:r>
        <w:rPr>
          <w:noProof/>
        </w:rPr>
        <w:t>Целта на предвидения акт е да се определят правила, които са задължителни за страните по споразумението и уреждат организацията и функционирането на Комитета по търговията между ЕС и държавите от Тихоокеанския басейн и на съответните подструктури, посочени в разпоредбите на член 68 от споразумението.</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В член 68 е предвидено задължение за Комитета по търговията между ЕС и държавите от Тихоокеанския басейн да изготви свой процедурен правилник.</w:t>
      </w:r>
    </w:p>
    <w:p>
      <w:pPr>
        <w:rPr>
          <w:rFonts w:eastAsia="Arial Unicode MS"/>
          <w:noProof/>
        </w:rPr>
      </w:pPr>
      <w:r>
        <w:rPr>
          <w:noProof/>
        </w:rPr>
        <w:t>С предложеното решение на Съвета се установява позицията на Съюза, която трябва да се заеме във връзка с приемането на процедурния правилник на Комитета по търговията между ЕС и държавите от Тихоокеанския басейн и на специалните комитети, като по този начин ще бъдат изпълнени задълженията на ЕС, произтичащи от разпоредбите на временното споразумение.</w:t>
      </w:r>
    </w:p>
    <w:p>
      <w:pPr>
        <w:rPr>
          <w:rFonts w:eastAsia="Arial Unicode MS"/>
          <w:noProof/>
        </w:rPr>
      </w:pPr>
      <w:r>
        <w:rPr>
          <w:noProof/>
        </w:rPr>
        <w:t>За основа на въпросната позиция следва да послужи проектът на решение на Комитета по търговията между ЕС и държавите от Тихоокеанския басейн, приложен към проекта на решение на Съвета. В приложението към решението на Комитета по търговията между ЕС и държавите от Тихоокеанския басейн са установени изискванията по отношение на ролята и названието на Комитета по търговията между ЕС и държавите от Тихоокеанския басейн, състава и председателството, секретариата, заседанията, делегациите, документите, кореспонденцията, дневния ред на заседанията, поканата за участие на експерти, протоколите, решенията и препоръките, прозрачността, езиците, разходите, специалните комитети или органи и измененията на процедурния правилник.</w:t>
      </w:r>
    </w:p>
    <w:p>
      <w:pPr>
        <w:pStyle w:val="ManualHeading1"/>
        <w:rPr>
          <w:rFonts w:eastAsia="Arial Unicode MS"/>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keepNext/>
        <w:numPr>
          <w:ilvl w:val="2"/>
          <w:numId w:val="0"/>
        </w:numPr>
        <w:outlineLvl w:val="2"/>
        <w:rPr>
          <w:rFonts w:eastAsiaTheme="majorEastAsia"/>
          <w:bCs/>
          <w:i/>
          <w:noProof/>
        </w:rPr>
      </w:pPr>
      <w:r>
        <w:rPr>
          <w:bCs/>
          <w:i/>
          <w:noProof/>
        </w:rPr>
        <w:t>4.1.1.</w:t>
      </w:r>
      <w:r>
        <w:rPr>
          <w:noProof/>
        </w:rPr>
        <w:tab/>
      </w:r>
      <w:r>
        <w:rPr>
          <w:bCs/>
          <w:i/>
          <w:noProof/>
        </w:rPr>
        <w:t>Принципи</w:t>
      </w:r>
    </w:p>
    <w:p>
      <w:pPr>
        <w:rPr>
          <w:rFonts w:eastAsia="Times New Roman"/>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rFonts w:eastAsia="Times New Roman"/>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p>
    <w:p>
      <w:pPr>
        <w:keepNext/>
        <w:numPr>
          <w:ilvl w:val="2"/>
          <w:numId w:val="0"/>
        </w:numPr>
        <w:outlineLvl w:val="2"/>
        <w:rPr>
          <w:rFonts w:eastAsiaTheme="majorEastAsia"/>
          <w:bCs/>
          <w:i/>
          <w:noProof/>
        </w:rPr>
      </w:pPr>
      <w:r>
        <w:rPr>
          <w:bCs/>
          <w:i/>
          <w:noProof/>
        </w:rPr>
        <w:t>4.1.2.</w:t>
      </w:r>
      <w:r>
        <w:rPr>
          <w:noProof/>
        </w:rPr>
        <w:tab/>
      </w:r>
      <w:r>
        <w:rPr>
          <w:bCs/>
          <w:i/>
          <w:noProof/>
        </w:rPr>
        <w:t>Приложение в конкретния случай</w:t>
      </w:r>
    </w:p>
    <w:p>
      <w:pPr>
        <w:rPr>
          <w:rFonts w:eastAsia="Times New Roman"/>
          <w:noProof/>
        </w:rPr>
      </w:pPr>
      <w:r>
        <w:rPr>
          <w:noProof/>
        </w:rPr>
        <w:t>Комитетът по търговия е орган, създаден по силата на Споразумението за икономическо партньорство.</w:t>
      </w:r>
    </w:p>
    <w:p>
      <w:pPr>
        <w:rPr>
          <w:rFonts w:eastAsia="Times New Roman"/>
          <w:noProof/>
        </w:rPr>
      </w:pPr>
      <w:r>
        <w:rPr>
          <w:noProof/>
        </w:rPr>
        <w:t>Актът, който Комитетът по търговията между ЕС и държавите от Тихоокеанския басейн има за задача да приеме, представлява акт с правно действие. Предвиденият акт ще бъде обвързващ съгласно международното право в съответствие с член 68 от споразумението.</w:t>
      </w:r>
    </w:p>
    <w:p>
      <w:pPr>
        <w:rPr>
          <w:rFonts w:eastAsia="Times New Roman"/>
          <w:noProof/>
        </w:rPr>
      </w:pPr>
      <w:r>
        <w:rPr>
          <w:noProof/>
        </w:rPr>
        <w:t>Предвиденият акт не допълва, нито изменя институционалната рамка на споразумението.</w:t>
      </w:r>
    </w:p>
    <w:p>
      <w:pPr>
        <w:rPr>
          <w:rFonts w:eastAsia="Times New Roman"/>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keepNext/>
        <w:numPr>
          <w:ilvl w:val="2"/>
          <w:numId w:val="0"/>
        </w:numPr>
        <w:outlineLvl w:val="2"/>
        <w:rPr>
          <w:rFonts w:eastAsiaTheme="majorEastAsia"/>
          <w:bCs/>
          <w:i/>
          <w:noProof/>
        </w:rPr>
      </w:pPr>
      <w:r>
        <w:rPr>
          <w:bCs/>
          <w:i/>
          <w:noProof/>
        </w:rPr>
        <w:t>4.2.1.</w:t>
      </w:r>
      <w:r>
        <w:rPr>
          <w:noProof/>
        </w:rPr>
        <w:tab/>
      </w:r>
      <w:r>
        <w:rPr>
          <w:bCs/>
          <w:i/>
          <w:noProof/>
        </w:rPr>
        <w:t>Принципи</w:t>
      </w:r>
    </w:p>
    <w:p>
      <w:pPr>
        <w:rPr>
          <w:rFonts w:eastAsia="Times New Roman"/>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keepNext/>
        <w:numPr>
          <w:ilvl w:val="2"/>
          <w:numId w:val="0"/>
        </w:numPr>
        <w:outlineLvl w:val="2"/>
        <w:rPr>
          <w:rFonts w:eastAsiaTheme="majorEastAsia"/>
          <w:bCs/>
          <w:i/>
          <w:noProof/>
        </w:rPr>
      </w:pPr>
      <w:r>
        <w:rPr>
          <w:bCs/>
          <w:i/>
          <w:noProof/>
        </w:rPr>
        <w:t>4.2.2.</w:t>
      </w:r>
      <w:r>
        <w:rPr>
          <w:noProof/>
        </w:rPr>
        <w:tab/>
      </w:r>
      <w:r>
        <w:rPr>
          <w:bCs/>
          <w:i/>
          <w:noProof/>
        </w:rPr>
        <w:t>Приложение в конкретния случай</w:t>
      </w:r>
    </w:p>
    <w:p>
      <w:pPr>
        <w:rPr>
          <w:rFonts w:eastAsia="Times New Roman"/>
          <w:noProof/>
        </w:rPr>
      </w:pPr>
      <w:r>
        <w:rPr>
          <w:noProof/>
        </w:rPr>
        <w:t>Материалноправното основание за решението на ЕС от 15 февруари 2011 г. за сключване на споразумението е член 207 от ДФЕС. Освен това основната цел и съдържанието на предвидения акт са свързани с общата търговска политика. Съответно предметът на предвидения акт се отнася до област, в която Съюзът разполага с изключителна външна компетентност по силата на член 3, параграф 2 от ДФЕС.</w:t>
      </w:r>
    </w:p>
    <w:p>
      <w:pPr>
        <w:rPr>
          <w:rFonts w:eastAsia="Times New Roman"/>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lastRenderedPageBreak/>
        <w:t>4.3.</w:t>
      </w:r>
      <w:r>
        <w:tab/>
      </w:r>
      <w:r>
        <w:rPr>
          <w:noProof/>
        </w:rPr>
        <w:t>Заключение</w:t>
      </w:r>
    </w:p>
    <w:p>
      <w:pPr>
        <w:rPr>
          <w:rFonts w:eastAsia="Times New Roman"/>
          <w:noProof/>
        </w:rPr>
      </w:pPr>
      <w:r>
        <w:rPr>
          <w:noProof/>
        </w:rPr>
        <w:t xml:space="preserve">Правното основание за предложеното решение следва да бъде член 207, параграф 4, първа алинея от ДФЕС във връзка с член 218, параграф 9 от него. </w:t>
      </w:r>
    </w:p>
    <w:p>
      <w:pPr>
        <w:pStyle w:val="ManualHeading1"/>
        <w:rPr>
          <w:noProof/>
        </w:rPr>
      </w:pPr>
      <w:r>
        <w:t>5.</w:t>
      </w:r>
      <w:r>
        <w:tab/>
      </w:r>
      <w:r>
        <w:rPr>
          <w:noProof/>
        </w:rPr>
        <w:t>Публикуване на предвидения акт</w:t>
      </w:r>
    </w:p>
    <w:p>
      <w:pPr>
        <w:rPr>
          <w:rFonts w:eastAsia="Times New Roman"/>
          <w:noProof/>
        </w:rPr>
      </w:pPr>
      <w:r>
        <w:rPr>
          <w:noProof/>
        </w:rPr>
        <w:t xml:space="preserve">Тъй като с предвидения акт на Комитета по търговията между ЕС и държавите от Тихоокеанския басейн ще се приложи Споразумението за икономическо партньорство, е целесъобразно след приемането на този акт той да бъде публикуван в </w:t>
      </w:r>
      <w:r>
        <w:rPr>
          <w:i/>
          <w:iCs/>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търговия, създаден по силата на Временното споразумение за партньорство между Европейската общност, от една страна, и държавите от Тихоокеанския басейн, от друга страна, във връзка с приемането на процедурния правилник на Комитета по търговия и на процедурния правилник на специалните комитети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30 юли 2009 г. Съюзът подписа Временното споразумение за партньорство, с което се установява рамка за Споразумение за икономическо партньорство (наричано по-долу „споразумението“) между Европейската общност, от една страна, и държавите от Тихоокеанския басейн, от друга страна</w:t>
      </w:r>
      <w:r>
        <w:rPr>
          <w:rStyle w:val="FootnoteReference"/>
          <w:noProof/>
        </w:rPr>
        <w:footnoteReference w:id="2"/>
      </w:r>
      <w:r>
        <w:rPr>
          <w:noProof/>
        </w:rPr>
        <w:t>. Споразумението се прилага временно от Папуа-Нова Гвинея от 20 декември 2009 г., Фиджи — от 28 юли 2014 г., Самоа — от 31 декември 2018 г. и Соломоновите острови — от 17 май 2020 г.</w:t>
      </w:r>
    </w:p>
    <w:p>
      <w:pPr>
        <w:pStyle w:val="ManualConsidrant"/>
        <w:rPr>
          <w:noProof/>
        </w:rPr>
      </w:pPr>
      <w:r>
        <w:rPr>
          <w:noProof/>
        </w:rPr>
        <w:t>(2)</w:t>
      </w:r>
      <w:r>
        <w:rPr>
          <w:noProof/>
        </w:rPr>
        <w:tab/>
        <w:t>По силата на член 68 от споразумението се създава Комитет по търговията между ЕС и държавите от Тихоокеанския басейн, който има за задача за разглежда всички въпроси, необходими за прилагане на споразумението.</w:t>
      </w:r>
    </w:p>
    <w:p>
      <w:pPr>
        <w:pStyle w:val="ManualConsidrant"/>
        <w:rPr>
          <w:noProof/>
        </w:rPr>
      </w:pPr>
      <w:r>
        <w:rPr>
          <w:noProof/>
        </w:rPr>
        <w:t>(3)</w:t>
      </w:r>
      <w:r>
        <w:rPr>
          <w:noProof/>
        </w:rPr>
        <w:tab/>
        <w:t>В член 68 е предвидено задължение за Комитета по търговията между ЕС и държавите от Тихоокеанския басейн да изготви свой процедурен правилник и да делегира конкретни изпълнителни правомощия за вземане на решения на специалните комитети, предвидени в съответните разпоредби на споразумението.</w:t>
      </w:r>
    </w:p>
    <w:p>
      <w:pPr>
        <w:pStyle w:val="ManualConsidrant"/>
        <w:rPr>
          <w:noProof/>
        </w:rPr>
      </w:pPr>
      <w:r>
        <w:rPr>
          <w:noProof/>
        </w:rPr>
        <w:t>(4)</w:t>
      </w:r>
      <w:r>
        <w:rPr>
          <w:noProof/>
        </w:rPr>
        <w:tab/>
        <w:t>По време на осмото си заседание Комитетът по търговията между ЕС и държавите от Тихоокеанския басейн ще приеме своя процедурен правилник и този на специалните комитети.</w:t>
      </w:r>
    </w:p>
    <w:p>
      <w:pPr>
        <w:pStyle w:val="ManualConsidrant"/>
        <w:rPr>
          <w:noProof/>
        </w:rPr>
      </w:pPr>
      <w:r>
        <w:rPr>
          <w:noProof/>
        </w:rPr>
        <w:t>(5)</w:t>
      </w:r>
      <w:r>
        <w:rPr>
          <w:noProof/>
        </w:rPr>
        <w:tab/>
        <w:t>Европейският съюз следва да определи позицията, която трябва да се заеме във връзка с приемането на тези процедурни правилници,</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осмото заседание на Комитета по търговията между ЕС и държавите от Тихоокеанския басейн по отношение на процедурния правилник на Комитета по търговията между ЕС и държавите от Тихоокеанския басейн и на специалните комитети, се основава на проекта на решение на Комитета по търговията между ЕС и държавите от Тихоокеанския басейн, приложен към настоящото решение.</w:t>
      </w:r>
    </w:p>
    <w:p>
      <w:pPr>
        <w:pStyle w:val="Titrearticle"/>
        <w:rPr>
          <w:noProof/>
        </w:rPr>
      </w:pPr>
      <w:r>
        <w:rPr>
          <w:noProof/>
        </w:rPr>
        <w:t>Член 2</w:t>
      </w:r>
    </w:p>
    <w:p>
      <w:pPr>
        <w:rPr>
          <w:noProof/>
        </w:rPr>
      </w:pPr>
      <w:r>
        <w:rPr>
          <w:noProof/>
        </w:rPr>
        <w:t xml:space="preserve">След приемането му решението на Комитета по търговията между ЕС и държавите от Тихоокеанския басейн се публикува в </w:t>
      </w:r>
      <w:r>
        <w:rPr>
          <w:i/>
          <w:iCs/>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 L 272, 16.10.2009 г., стр. 1).</w:t>
      </w:r>
    </w:p>
  </w:footnote>
  <w:footnote w:id="2">
    <w:p>
      <w:pPr>
        <w:pStyle w:val="FootnoteText"/>
      </w:pPr>
      <w:r>
        <w:rPr>
          <w:rStyle w:val="FootnoteReference"/>
        </w:rPr>
        <w:footnoteRef/>
      </w:r>
      <w:r>
        <w:tab/>
        <w:t>OB L 272, 16.10.2009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B60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2E5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A05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BE62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9086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F4B2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822CE6"/>
    <w:lvl w:ilvl="0">
      <w:start w:val="1"/>
      <w:numFmt w:val="decimal"/>
      <w:pStyle w:val="ListNumber"/>
      <w:lvlText w:val="%1."/>
      <w:lvlJc w:val="left"/>
      <w:pPr>
        <w:tabs>
          <w:tab w:val="num" w:pos="360"/>
        </w:tabs>
        <w:ind w:left="360" w:hanging="360"/>
      </w:pPr>
    </w:lvl>
  </w:abstractNum>
  <w:abstractNum w:abstractNumId="7">
    <w:nsid w:val="FFFFFF89"/>
    <w:multiLevelType w:val="singleLevel"/>
    <w:tmpl w:val="514C47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06 11:10: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73F48B1-0687-4C2B-89B8-295151BA7807"/>
    <w:docVar w:name="LW_COVERPAGE_TYPE" w:val="1"/>
    <w:docVar w:name="LW_CROSSREFERENCE" w:val="&lt;UNUSED&gt;"/>
    <w:docVar w:name="LW_DocType" w:val="COM"/>
    <w:docVar w:name="LW_EMISSION" w:val="13.8.2020"/>
    <w:docVar w:name="LW_EMISSION_ISODATE" w:val="2020-08-13"/>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5"/>
    <w:docVar w:name="LW_REF.II.NEW.CP_YEAR" w:val="2020"/>
    <w:docVar w:name="LW_REF.INST.NEW" w:val="COM"/>
    <w:docVar w:name="LW_REF.INST.NEW_ADOPTED" w:val="final"/>
    <w:docVar w:name="LW_REF.INST.NEW_TEXT" w:val="(2020)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7?\u1086? \u1089?\u1080?\u1083?\u1072?\u1090?\u1072? \u1085?\u1072?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74?\u1098?\u1074? \u1074?\u1088?\u1098?\u1079?\u1082?\u1072? \u1089? \u1087?\u1088?\u1080?\u1077?\u1084?\u1072?\u1085?\u1077?\u1090?\u1086? \u1085?\u1072? \u1087?\u1088?\u1086?\u1094?\u1077?\u1076?\u1091?\u1088?\u1085?\u1080?\u1103? \u1087?\u1088?\u1072?\u1074?\u1080?\u1083?\u1085?\u1080?\u1082? \u1085?\u1072? \u1050?\u1086?\u1084?\u1080?\u1090?\u1077?\u1090?\u1072? \u1087?\u1086? \u1090?\u1098?\u1088?\u1075?\u1086?\u1074?\u1080?\u1103? \u1080? \u1085?\u1072? \u1087?\u1088?\u1086?\u1094?\u1077?\u1076?\u1091?\u1088?\u1085?\u1080?\u1103? \u1087?\u1088?\u1072?\u1074?\u1080?\u1083?\u1085?\u1080?\u1082? \u1085?\u1072? \u1089?\u1087?\u1077?\u1094?\u1080?\u1072?\u1083?\u1085?\u1080?\u1090?\u1077? \u1082?\u1086?\u1084?\u1080?\u1090?\u1077?\u109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A7B-8E01-4CA4-AA0B-ACBD436C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1671</Words>
  <Characters>9692</Characters>
  <Application>Microsoft Office Word</Application>
  <DocSecurity>0</DocSecurity>
  <Lines>186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2018-11-16T13:19:00Z</cp:lastPrinted>
  <dcterms:created xsi:type="dcterms:W3CDTF">2020-07-31T16:01:00Z</dcterms:created>
  <dcterms:modified xsi:type="dcterms:W3CDTF">2020-08-06T09:10:00Z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