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684D67A8-64FD-4A2E-858E-0C942F7A48DA" style="width:450.4pt;height:334.05pt">
            <v:imagedata r:id="rId8" o:title=""/>
          </v:shape>
        </w:pict>
      </w:r>
    </w:p>
    <w:bookmarkEnd w:id="0"/>
    <w:p>
      <w:pPr>
        <w:rPr>
          <w:noProof/>
        </w:rPr>
        <w:sectPr>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pPr>
        <w:pStyle w:val="ListParagraph"/>
        <w:spacing w:after="0" w:line="240" w:lineRule="auto"/>
        <w:ind w:left="567"/>
        <w:jc w:val="center"/>
        <w:rPr>
          <w:rFonts w:ascii="Times New Roman" w:hAnsi="Times New Roman"/>
          <w:b/>
          <w:noProof/>
          <w:sz w:val="24"/>
          <w:szCs w:val="24"/>
        </w:rPr>
      </w:pPr>
      <w:bookmarkStart w:id="1" w:name="_GoBack"/>
      <w:bookmarkEnd w:id="1"/>
      <w:r>
        <w:rPr>
          <w:rFonts w:ascii="Times New Roman" w:hAnsi="Times New Roman"/>
          <w:b/>
          <w:noProof/>
          <w:sz w:val="24"/>
          <w:szCs w:val="24"/>
        </w:rPr>
        <w:lastRenderedPageBreak/>
        <w:t>ДОКЛАД НА КОМИСИЯТА ДО ЕВРОПЕЙСКИЯ ПАРЛАМЕНТ И СЪВЕТА относно прегледите, които се изискват съгласно член 19, параграф 1 от Регламент 2017/852, във връзка с използването на живак в денталната амалгама и денталните продукти</w:t>
      </w:r>
    </w:p>
    <w:p>
      <w:pPr>
        <w:pStyle w:val="ListParagraph"/>
        <w:spacing w:after="0" w:line="240" w:lineRule="auto"/>
        <w:ind w:left="567"/>
        <w:rPr>
          <w:rFonts w:ascii="Times New Roman" w:hAnsi="Times New Roman"/>
          <w:b/>
          <w:noProof/>
          <w:sz w:val="24"/>
          <w:szCs w:val="24"/>
        </w:rPr>
      </w:pPr>
    </w:p>
    <w:p>
      <w:pPr>
        <w:pStyle w:val="ListParagraph"/>
        <w:numPr>
          <w:ilvl w:val="0"/>
          <w:numId w:val="1"/>
        </w:numPr>
        <w:spacing w:after="0" w:line="240" w:lineRule="auto"/>
        <w:ind w:left="567" w:hanging="567"/>
        <w:rPr>
          <w:rFonts w:ascii="Times New Roman" w:hAnsi="Times New Roman"/>
          <w:b/>
          <w:noProof/>
          <w:sz w:val="24"/>
          <w:szCs w:val="24"/>
        </w:rPr>
      </w:pPr>
      <w:r>
        <w:rPr>
          <w:rFonts w:ascii="Times New Roman" w:hAnsi="Times New Roman"/>
          <w:b/>
          <w:noProof/>
          <w:sz w:val="24"/>
          <w:szCs w:val="24"/>
        </w:rPr>
        <w:t>ВЪВЕДЕНИЕ</w:t>
      </w:r>
    </w:p>
    <w:p>
      <w:pPr>
        <w:spacing w:after="0" w:line="240" w:lineRule="auto"/>
        <w:rPr>
          <w:rFonts w:ascii="Times New Roman" w:hAnsi="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Живакът е токсичен елемент и представлява основен рисков фактор за околната среда и здравето на човека. Експозицията на хората на живак става главно чрез консумацията на морски храни. Той е силен невротоксин, който води до трайно увреждане на мозъка и на бъбреците при възрастните и засяга феталното и ранното детско развитие. Вследствие на присъщата му биоакумулация той се разпространява по целия свят посредством хранителните мрежи и трансграничния пренос на замърсяването на въздуха. Живакът във въздуха се отлага на сушата и във водните басейни.</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По тези причини международната общност е признала живака за вещество, което оказва въздействие върху целия свят.</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През последните петнадесет години </w:t>
      </w:r>
      <w:r>
        <w:rPr>
          <w:rFonts w:ascii="Times New Roman" w:hAnsi="Times New Roman"/>
          <w:bCs/>
          <w:iCs/>
          <w:noProof/>
          <w:sz w:val="24"/>
          <w:szCs w:val="24"/>
        </w:rPr>
        <w:t>ЕС</w:t>
      </w:r>
      <w:r>
        <w:rPr>
          <w:rFonts w:ascii="Times New Roman" w:hAnsi="Times New Roman"/>
          <w:noProof/>
          <w:sz w:val="24"/>
          <w:szCs w:val="24"/>
        </w:rPr>
        <w:t xml:space="preserve"> разработва мащабна политика</w:t>
      </w:r>
      <w:r>
        <w:rPr>
          <w:rStyle w:val="FootnoteReference"/>
          <w:rFonts w:ascii="Times New Roman" w:hAnsi="Times New Roman"/>
          <w:noProof/>
          <w:sz w:val="24"/>
          <w:szCs w:val="24"/>
        </w:rPr>
        <w:footnoteReference w:id="1"/>
      </w:r>
      <w:r>
        <w:rPr>
          <w:rFonts w:ascii="Times New Roman" w:hAnsi="Times New Roman"/>
          <w:noProof/>
          <w:sz w:val="24"/>
          <w:szCs w:val="24"/>
        </w:rPr>
        <w:t xml:space="preserve"> и законодателна рамка за осъществяване на контрол, елиминиране и, когато това не е възможно, намаляване на употребата и експозицията с цел понижаване на рисковете, породени от живака. Един от важните инструменти на ЕС е Регламент (ЕС) 2017/852 относно живака („Регламентът“)</w:t>
      </w:r>
      <w:r>
        <w:rPr>
          <w:rStyle w:val="FootnoteReference"/>
          <w:rFonts w:ascii="Times New Roman" w:hAnsi="Times New Roman"/>
          <w:noProof/>
          <w:sz w:val="24"/>
          <w:szCs w:val="24"/>
        </w:rPr>
        <w:footnoteReference w:id="2"/>
      </w:r>
      <w:r>
        <w:rPr>
          <w:rFonts w:ascii="Times New Roman" w:hAnsi="Times New Roman"/>
          <w:noProof/>
          <w:sz w:val="24"/>
          <w:szCs w:val="24"/>
        </w:rPr>
        <w:t xml:space="preserve">, в който се разглежда целият жизнен цикъл на живака, от първоначалния му добив до окончателното му обезвреждане под формата на отпадъци.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Настоящият доклад се отнася до две оценки, извършени от Комисията в съответствие с член 19, параграф 1 от Регламента, в който е предвидено изискване до 30 юни 2020 г. Комисията да извърши оценка и да представи доклад на Европейския парламент и на Съвета относно:</w:t>
      </w:r>
    </w:p>
    <w:p>
      <w:pPr>
        <w:spacing w:after="0" w:line="240" w:lineRule="auto"/>
        <w:jc w:val="both"/>
        <w:rPr>
          <w:rFonts w:ascii="Times New Roman" w:hAnsi="Times New Roman"/>
          <w:noProof/>
          <w:sz w:val="24"/>
          <w:szCs w:val="24"/>
        </w:rPr>
      </w:pPr>
    </w:p>
    <w:p>
      <w:pPr>
        <w:pStyle w:val="ListParagraph"/>
        <w:numPr>
          <w:ilvl w:val="0"/>
          <w:numId w:val="5"/>
        </w:numPr>
        <w:spacing w:after="0" w:line="240" w:lineRule="auto"/>
        <w:jc w:val="both"/>
        <w:rPr>
          <w:rFonts w:ascii="Times New Roman" w:hAnsi="Times New Roman"/>
          <w:noProof/>
          <w:sz w:val="24"/>
          <w:szCs w:val="24"/>
        </w:rPr>
      </w:pPr>
      <w:r>
        <w:rPr>
          <w:rFonts w:ascii="Times New Roman" w:hAnsi="Times New Roman"/>
          <w:i/>
          <w:noProof/>
          <w:sz w:val="24"/>
          <w:szCs w:val="24"/>
        </w:rPr>
        <w:t>„необходимостта Съюзът да регулира емисиите от живак и живачни съединения от крематориуми“;</w:t>
      </w:r>
    </w:p>
    <w:p>
      <w:pPr>
        <w:pStyle w:val="ListParagraph"/>
        <w:spacing w:after="0" w:line="240" w:lineRule="auto"/>
        <w:jc w:val="both"/>
        <w:rPr>
          <w:rFonts w:ascii="Times New Roman" w:hAnsi="Times New Roman"/>
          <w:noProof/>
          <w:sz w:val="24"/>
          <w:szCs w:val="24"/>
        </w:rPr>
      </w:pPr>
    </w:p>
    <w:p>
      <w:pPr>
        <w:pStyle w:val="ListParagraph"/>
        <w:numPr>
          <w:ilvl w:val="0"/>
          <w:numId w:val="5"/>
        </w:numPr>
        <w:spacing w:after="0" w:line="240" w:lineRule="auto"/>
        <w:jc w:val="both"/>
        <w:rPr>
          <w:rFonts w:ascii="Times New Roman" w:hAnsi="Times New Roman"/>
          <w:i/>
          <w:noProof/>
          <w:sz w:val="24"/>
          <w:szCs w:val="24"/>
        </w:rPr>
      </w:pPr>
      <w:r>
        <w:rPr>
          <w:rFonts w:ascii="Times New Roman" w:hAnsi="Times New Roman"/>
          <w:noProof/>
          <w:sz w:val="24"/>
          <w:szCs w:val="24"/>
        </w:rPr>
        <w:t>„</w:t>
      </w:r>
      <w:r>
        <w:rPr>
          <w:rFonts w:ascii="Times New Roman" w:hAnsi="Times New Roman"/>
          <w:i/>
          <w:noProof/>
          <w:sz w:val="24"/>
          <w:szCs w:val="24"/>
        </w:rPr>
        <w:t>осъществимостта на постепенното прекратяване на употребата на дентална амалгама в дългосрочен план, за предпочитане до 2030 г., като се вземат предвид националните планове, посочени в член 10, параграф 3, и при пълно зачитане на компетентността на държавите членки за организирането и предоставянето на здравни услуги и медицински грижи“</w:t>
      </w:r>
      <w:r>
        <w:rPr>
          <w:rFonts w:ascii="Times New Roman" w:hAnsi="Times New Roman"/>
          <w:noProof/>
          <w:sz w:val="24"/>
          <w:szCs w:val="24"/>
        </w:rPr>
        <w:t>;</w:t>
      </w:r>
    </w:p>
    <w:p>
      <w:pPr>
        <w:pStyle w:val="ListParagraph"/>
        <w:rPr>
          <w:rFonts w:ascii="Times New Roman" w:hAnsi="Times New Roman"/>
          <w:i/>
          <w:noProof/>
          <w:sz w:val="24"/>
          <w:szCs w:val="24"/>
        </w:rPr>
      </w:pPr>
    </w:p>
    <w:p>
      <w:pPr>
        <w:pStyle w:val="ListParagraph"/>
        <w:numPr>
          <w:ilvl w:val="0"/>
          <w:numId w:val="5"/>
        </w:numPr>
        <w:spacing w:after="0" w:line="240" w:lineRule="auto"/>
        <w:jc w:val="both"/>
        <w:rPr>
          <w:rFonts w:ascii="Times New Roman" w:hAnsi="Times New Roman"/>
          <w:noProof/>
          <w:sz w:val="24"/>
          <w:szCs w:val="24"/>
        </w:rPr>
      </w:pPr>
      <w:r>
        <w:rPr>
          <w:rFonts w:ascii="Times New Roman" w:hAnsi="Times New Roman"/>
          <w:i/>
          <w:noProof/>
          <w:sz w:val="24"/>
          <w:szCs w:val="24"/>
        </w:rPr>
        <w:t>„ползите за околната среда и осъществимостта на по-нататъшно привеждане в съответствие на приложение II с относимото законодателство на Съюза, уреждащо пускането на пазара на продукти с добавен живак.“</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Денталната амалгама е последната останала най-значима употреба на живак в ЕС. Регламентът забрани, считано от 1 юли 2018 г., нейното използване за дентално лечение на пациенти с млечни зъби, както и за дентално лечение на уязвимите групи от населението, като например деца под 15 години и бременни или кърмещи жени. В съответствие с член 19, параграф 1, буква б) от Регламента, с настоящия доклад се представя информация относно осъществимостта на постепенното прекратяване на употребата на дентална амалгама в ЕС за всички членове на населението.</w:t>
      </w:r>
      <w:r>
        <w:rPr>
          <w:noProof/>
        </w:rPr>
        <w:t xml:space="preserve"> </w:t>
      </w:r>
      <w:r>
        <w:rPr>
          <w:rFonts w:ascii="Times New Roman" w:hAnsi="Times New Roman"/>
          <w:noProof/>
          <w:sz w:val="24"/>
          <w:szCs w:val="24"/>
        </w:rPr>
        <w:t>По този начин Комисията едновременно обхваща емисиите от живак и живачни съединения от крематориуми.</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В правото на ЕС относно вътрешния пазар се забранява пускането на пазара на ЕС (включително чрез внос)</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xml:space="preserve"> на много продукти с добавен живак. За избрана част от тях, но не за всички, Регламентът забранява също и производството и износа. Това диференцирано правно третиране на различните продукти с добавен живак е последица от контекста на международната политика, в който е приет Регламентът, например Конвенцията Минамата относно живака („Конвенцията“)</w:t>
      </w:r>
      <w:r>
        <w:rPr>
          <w:noProof/>
          <w:vertAlign w:val="superscript"/>
        </w:rPr>
        <w:footnoteReference w:id="4"/>
      </w:r>
      <w:r>
        <w:rPr>
          <w:rFonts w:ascii="Times New Roman" w:hAnsi="Times New Roman"/>
          <w:noProof/>
          <w:sz w:val="24"/>
          <w:szCs w:val="24"/>
        </w:rPr>
        <w:t>. Тази Конвенция, ратифицирана от ЕС</w:t>
      </w:r>
      <w:r>
        <w:rPr>
          <w:rStyle w:val="FootnoteReference"/>
          <w:rFonts w:ascii="Times New Roman" w:hAnsi="Times New Roman"/>
          <w:noProof/>
          <w:sz w:val="24"/>
          <w:szCs w:val="24"/>
        </w:rPr>
        <w:footnoteReference w:id="5"/>
      </w:r>
      <w:r>
        <w:rPr>
          <w:rFonts w:ascii="Times New Roman" w:hAnsi="Times New Roman"/>
          <w:noProof/>
          <w:sz w:val="24"/>
          <w:szCs w:val="24"/>
        </w:rPr>
        <w:t xml:space="preserve"> и от по-голямата част от държавите членки, забранява производството, износа и вноса на редица продукти с добавен живак. Следователно общият принцип е, че когато регулацията на продуктите с добавен живак се урежда в Конвенцията, забраната съгласно правото на ЕС относно пускането им на вътрешния пазар на ЕС се разширява, така че да включи производството и износа, за да се спазят изискванията на международното право. В съответствие с член 19, параграф 1, буква в), в настоящия доклад се представя информация относно осъществимостта и потенциалните ползи за околната среда от прилагането на забраната за внос и износ съгласно Регламента по отношение на всички продукти, чието пускане на пазара е забранено от други инструменти на правото на ЕС, дори ако Конвенцията не предвижда изрична забрана за тях.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Прегледите допринасят за осъществяването на амбицията за нулево замърсяване, насочена към постигане на нетоксична околна среда съгласно Европейския зелен пакт</w:t>
      </w:r>
      <w:r>
        <w:rPr>
          <w:rStyle w:val="FootnoteReference"/>
          <w:rFonts w:ascii="Times New Roman" w:hAnsi="Times New Roman" w:cs="Times New Roman"/>
          <w:iCs/>
          <w:noProof/>
          <w:sz w:val="24"/>
          <w:szCs w:val="24"/>
        </w:rPr>
        <w:footnoteReference w:id="6"/>
      </w:r>
      <w:r>
        <w:rPr>
          <w:noProof/>
        </w:rPr>
        <w:t>.</w:t>
      </w:r>
    </w:p>
    <w:p>
      <w:pPr>
        <w:spacing w:after="0" w:line="240" w:lineRule="auto"/>
        <w:jc w:val="both"/>
        <w:rPr>
          <w:rFonts w:ascii="Times New Roman Bold" w:hAnsi="Times New Roman Bold" w:cs="Times New Roman"/>
          <w:b/>
          <w:smallCaps/>
          <w:noProof/>
          <w:sz w:val="24"/>
          <w:szCs w:val="24"/>
        </w:rPr>
      </w:pPr>
    </w:p>
    <w:p>
      <w:pPr>
        <w:pStyle w:val="ListParagraph"/>
        <w:numPr>
          <w:ilvl w:val="0"/>
          <w:numId w:val="1"/>
        </w:numPr>
        <w:ind w:left="567" w:hanging="567"/>
        <w:jc w:val="both"/>
        <w:rPr>
          <w:rFonts w:ascii="Times New Roman" w:hAnsi="Times New Roman"/>
          <w:noProof/>
          <w:sz w:val="24"/>
          <w:szCs w:val="24"/>
        </w:rPr>
      </w:pPr>
      <w:r>
        <w:rPr>
          <w:rFonts w:ascii="Times New Roman Bold" w:hAnsi="Times New Roman Bold"/>
          <w:b/>
          <w:caps/>
          <w:noProof/>
          <w:sz w:val="24"/>
          <w:szCs w:val="24"/>
        </w:rPr>
        <w:t xml:space="preserve">Прегледи </w:t>
      </w:r>
    </w:p>
    <w:p>
      <w:pPr>
        <w:pStyle w:val="ListParagraph"/>
        <w:ind w:left="567"/>
        <w:jc w:val="both"/>
        <w:rPr>
          <w:rFonts w:ascii="Times New Roman" w:hAnsi="Times New Roman"/>
          <w:noProof/>
          <w:sz w:val="24"/>
          <w:szCs w:val="24"/>
        </w:rPr>
      </w:pPr>
    </w:p>
    <w:p>
      <w:pPr>
        <w:pStyle w:val="ListParagraph"/>
        <w:numPr>
          <w:ilvl w:val="1"/>
          <w:numId w:val="1"/>
        </w:numPr>
        <w:spacing w:after="0" w:line="240" w:lineRule="auto"/>
        <w:ind w:left="567" w:hanging="567"/>
        <w:jc w:val="both"/>
        <w:rPr>
          <w:rFonts w:ascii="Times New Roman" w:hAnsi="Times New Roman"/>
          <w:b/>
          <w:noProof/>
          <w:sz w:val="24"/>
          <w:szCs w:val="24"/>
        </w:rPr>
      </w:pPr>
      <w:r>
        <w:rPr>
          <w:rFonts w:ascii="Times New Roman Bold" w:hAnsi="Times New Roman Bold"/>
          <w:b/>
          <w:noProof/>
          <w:sz w:val="24"/>
          <w:szCs w:val="24"/>
        </w:rPr>
        <w:t xml:space="preserve">Денталната амалгама и емисиите на живак, свързани с нейната употреба </w:t>
      </w:r>
    </w:p>
    <w:p>
      <w:pPr>
        <w:pStyle w:val="ListParagraph"/>
        <w:spacing w:after="0" w:line="240" w:lineRule="auto"/>
        <w:ind w:left="567"/>
        <w:jc w:val="both"/>
        <w:rPr>
          <w:rFonts w:ascii="Times New Roman Bold" w:hAnsi="Times New Roman Bold"/>
          <w:b/>
          <w:noProof/>
          <w:sz w:val="24"/>
          <w:szCs w:val="24"/>
        </w:rPr>
      </w:pPr>
    </w:p>
    <w:p>
      <w:pPr>
        <w:spacing w:after="0" w:line="240" w:lineRule="auto"/>
        <w:jc w:val="both"/>
        <w:rPr>
          <w:rFonts w:ascii="Times New Roman" w:hAnsi="Times New Roman"/>
          <w:i/>
          <w:noProof/>
          <w:sz w:val="24"/>
          <w:szCs w:val="24"/>
        </w:rPr>
      </w:pPr>
      <w:r>
        <w:rPr>
          <w:rFonts w:ascii="Times New Roman" w:hAnsi="Times New Roman"/>
          <w:b/>
          <w:i/>
          <w:noProof/>
          <w:sz w:val="24"/>
          <w:szCs w:val="24"/>
        </w:rPr>
        <w:t>Процес за преглед и провеждане на консултации</w:t>
      </w:r>
    </w:p>
    <w:p>
      <w:pPr>
        <w:spacing w:after="0" w:line="240" w:lineRule="auto"/>
        <w:jc w:val="both"/>
        <w:rPr>
          <w:rFonts w:ascii="Times New Roman" w:hAnsi="Times New Roman"/>
          <w:i/>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Денталната амалгама от векове се използва като възстановителен материал за запълване на кухини, причинени от зъбен кариес и за поправяне на зъбни повърхности. Тя представлява сплав на живак и други метали (например сребро, калай, мед).</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Комисията назначи консултант, който да проведе проучване на използването на дентална амалгама в ЕС. Окончателният доклад от проучването</w:t>
      </w:r>
      <w:r>
        <w:rPr>
          <w:rStyle w:val="FootnoteReference"/>
          <w:rFonts w:ascii="Times New Roman" w:hAnsi="Times New Roman"/>
          <w:noProof/>
          <w:sz w:val="24"/>
          <w:szCs w:val="24"/>
        </w:rPr>
        <w:footnoteReference w:id="7"/>
      </w:r>
      <w:r>
        <w:rPr>
          <w:rFonts w:ascii="Times New Roman" w:hAnsi="Times New Roman"/>
          <w:noProof/>
          <w:sz w:val="24"/>
          <w:szCs w:val="24"/>
        </w:rPr>
        <w:t xml:space="preserve"> служи като основа за оценката на техническата и икономическата осъществимост на постепенното прекратяване на употребата на дентална амалгама и документира последиците от нея за околната среда.</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В рамките на проучването беше събрана информация относно използването на дентална амалгама и на безживачни алтернативи, последиците за организацията на здравните услуги в държавите членки и плановете на държавите членки за постепенно прекратяване на употребата на дентална амалгама съгласно член 10, параграф 3 от Регламента. Мащабното събиране на данни включваше преглед на научни статии и доклади, както и събиране на данни от целия ЕС чрез онлайн проучване и интервюта. През януари 2020 г. беше организирана работилница, в рамките на която се събраха експерти от държавите членки и заинтересовани лица (дентални организации, НПО), като участниците потвърдиха предварителните резултати от проучването и същевременно дадоха допълнителен принос за подобряване на моделирането и заключенията.</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b/>
          <w:i/>
          <w:noProof/>
          <w:sz w:val="24"/>
          <w:szCs w:val="24"/>
        </w:rPr>
      </w:pPr>
      <w:r>
        <w:rPr>
          <w:rFonts w:ascii="Times New Roman" w:hAnsi="Times New Roman"/>
          <w:b/>
          <w:i/>
          <w:noProof/>
          <w:sz w:val="24"/>
          <w:szCs w:val="24"/>
        </w:rPr>
        <w:t>Тенденции при употребата на дентална амалгама</w:t>
      </w:r>
    </w:p>
    <w:p>
      <w:pPr>
        <w:spacing w:after="0" w:line="240" w:lineRule="auto"/>
        <w:jc w:val="both"/>
        <w:rPr>
          <w:rFonts w:ascii="Times New Roman" w:hAnsi="Times New Roman"/>
          <w:noProof/>
          <w:sz w:val="24"/>
          <w:szCs w:val="24"/>
        </w:rPr>
      </w:pPr>
      <w:r>
        <w:rPr>
          <w:rFonts w:ascii="Times New Roman" w:hAnsi="Times New Roman"/>
          <w:b/>
          <w:i/>
          <w:noProof/>
          <w:sz w:val="24"/>
          <w:szCs w:val="24"/>
          <w:lang w:val="en-GB"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173355</wp:posOffset>
            </wp:positionV>
            <wp:extent cx="2581275" cy="3035935"/>
            <wp:effectExtent l="0" t="0" r="9525"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81275" cy="3035935"/>
                    </a:xfrm>
                    <a:prstGeom prst="rect">
                      <a:avLst/>
                    </a:prstGeom>
                    <a:noFill/>
                  </pic:spPr>
                </pic:pic>
              </a:graphicData>
            </a:graphic>
            <wp14:sizeRelH relativeFrom="page">
              <wp14:pctWidth>0</wp14:pctWidth>
            </wp14:sizeRelH>
            <wp14:sizeRelV relativeFrom="page">
              <wp14:pctHeight>0</wp14:pctHeight>
            </wp14:sizeRelV>
          </wp:anchor>
        </w:drawing>
      </w:r>
    </w:p>
    <w:p>
      <w:pPr>
        <w:spacing w:after="0" w:line="240" w:lineRule="auto"/>
        <w:jc w:val="both"/>
        <w:rPr>
          <w:rFonts w:ascii="Times New Roman" w:hAnsi="Times New Roman"/>
          <w:noProof/>
          <w:sz w:val="24"/>
          <w:szCs w:val="24"/>
        </w:rPr>
      </w:pPr>
      <w:r>
        <w:rPr>
          <w:rFonts w:ascii="Times New Roman" w:hAnsi="Times New Roman"/>
          <w:noProof/>
          <w:sz w:val="24"/>
          <w:szCs w:val="24"/>
        </w:rPr>
        <w:t>Денталната амалгама е последната останала най-значима употреба на живак в ЕС. Очакваното годишно търсене на дентална амалгама (ЕС28) възлиза на 27—58 тона живак през 2018 г. Това представлява значително понижение от около 43 % в сравнение с изчислените по-рано 55—95 тона живак годишно през 2010 г</w:t>
      </w:r>
      <w:r>
        <w:rPr>
          <w:rStyle w:val="FootnoteReference"/>
          <w:noProof/>
          <w:sz w:val="24"/>
          <w:szCs w:val="24"/>
        </w:rPr>
        <w:footnoteReference w:id="8"/>
      </w:r>
      <w:r>
        <w:rPr>
          <w:rFonts w:ascii="Times New Roman" w:hAnsi="Times New Roman"/>
          <w:noProof/>
          <w:sz w:val="24"/>
          <w:szCs w:val="24"/>
        </w:rPr>
        <w:t>. Изчислено е, че през 2018 г. са извършени приблизително 372 милиона дентални възстановявания в рамките на държавите от ЕС28. От тях само при 10 %—19 % от случаите е използвана дентална амалгама. Въпреки това се наблюдава значителна вариация между отделните държави членки, както е показано във фигура 1</w:t>
      </w:r>
      <w:r>
        <w:rPr>
          <w:rStyle w:val="FootnoteReference"/>
          <w:rFonts w:ascii="Times New Roman" w:hAnsi="Times New Roman"/>
          <w:noProof/>
          <w:sz w:val="24"/>
          <w:szCs w:val="24"/>
        </w:rPr>
        <w:footnoteReference w:id="9"/>
      </w:r>
      <w:r>
        <w:rPr>
          <w:rFonts w:ascii="Times New Roman" w:hAnsi="Times New Roman"/>
          <w:noProof/>
          <w:sz w:val="24"/>
          <w:szCs w:val="24"/>
        </w:rPr>
        <w:t>.</w:t>
      </w:r>
    </w:p>
    <w:p>
      <w:pPr>
        <w:spacing w:after="0" w:line="240" w:lineRule="auto"/>
        <w:jc w:val="both"/>
        <w:rPr>
          <w:rFonts w:ascii="Times New Roman" w:hAnsi="Times New Roman"/>
          <w:noProof/>
          <w:sz w:val="24"/>
          <w:szCs w:val="24"/>
        </w:rPr>
      </w:pPr>
    </w:p>
    <w:p>
      <w:pPr>
        <w:keepNext/>
        <w:spacing w:after="0" w:line="240" w:lineRule="auto"/>
        <w:jc w:val="both"/>
        <w:rPr>
          <w:rFonts w:ascii="Times New Roman" w:hAnsi="Times New Roman"/>
          <w:noProof/>
          <w:sz w:val="24"/>
          <w:szCs w:val="24"/>
        </w:rPr>
      </w:pPr>
      <w:r>
        <w:rPr>
          <w:noProof/>
          <w:lang w:val="en-GB" w:eastAsia="en-GB"/>
        </w:rPr>
        <mc:AlternateContent>
          <mc:Choice Requires="wps">
            <w:drawing>
              <wp:anchor distT="0" distB="0" distL="114300" distR="114300" simplePos="0" relativeHeight="251656192" behindDoc="0" locked="0" layoutInCell="1" allowOverlap="1">
                <wp:simplePos x="0" y="0"/>
                <wp:positionH relativeFrom="column">
                  <wp:posOffset>-2705100</wp:posOffset>
                </wp:positionH>
                <wp:positionV relativeFrom="paragraph">
                  <wp:posOffset>294640</wp:posOffset>
                </wp:positionV>
                <wp:extent cx="2581275" cy="66675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2581275" cy="666750"/>
                        </a:xfrm>
                        <a:prstGeom prst="rect">
                          <a:avLst/>
                        </a:prstGeom>
                        <a:solidFill>
                          <a:prstClr val="white"/>
                        </a:solidFill>
                        <a:ln>
                          <a:noFill/>
                        </a:ln>
                      </wps:spPr>
                      <wps:txbx>
                        <w:txbxContent>
                          <w:p>
                            <w:pPr>
                              <w:pStyle w:val="Caption"/>
                              <w:rPr>
                                <w:rFonts w:ascii="Times New Roman" w:hAnsi="Times New Roman"/>
                                <w:noProof/>
                                <w:sz w:val="24"/>
                                <w:szCs w:val="24"/>
                              </w:rPr>
                            </w:pPr>
                            <w:r>
                              <w:t>Фигура </w:t>
                            </w:r>
                            <w:r>
                              <w:fldChar w:fldCharType="begin"/>
                            </w:r>
                            <w:r>
                              <w:instrText xml:space="preserve"> SEQ Figure \* ARABIC </w:instrText>
                            </w:r>
                            <w:r>
                              <w:fldChar w:fldCharType="separate"/>
                            </w:r>
                            <w:r>
                              <w:t>1</w:t>
                            </w:r>
                            <w:r>
                              <w:fldChar w:fldCharType="end"/>
                            </w:r>
                            <w:r>
                              <w:t>: Брой на възстановяванията според използвания материал за пломби във всяка държава членка със средно използване на дентална амалгама (в милиони, 2018 г.)</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13pt;margin-top:23.2pt;width:203.25pt;height: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" stroked="f">
                <v:textbox inset="0,0,0,0">
                  <w:txbxContent>
                    <w:p>
                      <w:pPr>
                        <w:pStyle w:val="Caption"/>
                        <w:rPr>
                          <w:rFonts w:ascii="Times New Roman" w:hAnsi="Times New Roman"/>
                          <w:noProof/>
                          <w:sz w:val="24"/>
                          <w:szCs w:val="24"/>
                        </w:rPr>
                      </w:pPr>
                      <w:r>
                        <w:t>Фигура </w:t>
                      </w:r>
                      <w:r>
                        <w:fldChar w:fldCharType="begin"/>
                      </w:r>
                      <w:r>
                        <w:instrText xml:space="preserve"> SEQ Figure \* ARABIC </w:instrText>
                      </w:r>
                      <w:r>
                        <w:fldChar w:fldCharType="separate"/>
                      </w:r>
                      <w:r>
                        <w:t>1</w:t>
                      </w:r>
                      <w:r>
                        <w:fldChar w:fldCharType="end"/>
                      </w:r>
                      <w:r>
                        <w:t>: Брой на възстановяванията според използвания материал за пломби във всяка държава членка със средно използване на дентална амалгама (в милиони, 2018 г.)</w:t>
                      </w:r>
                    </w:p>
                  </w:txbxContent>
                </v:textbox>
                <w10:wrap type="square"/>
              </v:shape>
            </w:pict>
          </mc:Fallback>
        </mc:AlternateContent>
      </w:r>
      <w:r>
        <w:rPr>
          <w:rFonts w:ascii="Times New Roman" w:hAnsi="Times New Roman"/>
          <w:noProof/>
          <w:sz w:val="24"/>
          <w:szCs w:val="24"/>
        </w:rPr>
        <w:t>Изглежда, че основните фактори, които мотивират намаляването на използването на дентална амалгама, са повишената информираност на потребителите относно въздействието ѝ върху околната среда и свързаното с него косвено въздействие върху здравето, както и по-привлекателните естетични качества на алтернативните материали.</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При отсъствие на допълнителни политически мерки на равнище ЕС и на равнище държави членки, използването на дентална амалгама се очаква да намалее с приблизително 70 % между 2018 и 2030 г. Въпреки това изчисленото използване продължава да е значително и възлиза на стойност около 8—17 тона живак през 2030 г.</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b/>
          <w:i/>
          <w:noProof/>
          <w:sz w:val="24"/>
          <w:szCs w:val="24"/>
        </w:rPr>
      </w:pPr>
      <w:r>
        <w:rPr>
          <w:rFonts w:ascii="Times New Roman" w:hAnsi="Times New Roman"/>
          <w:b/>
          <w:i/>
          <w:noProof/>
          <w:sz w:val="24"/>
          <w:szCs w:val="24"/>
        </w:rPr>
        <w:t>Икономическа осъществимост</w:t>
      </w:r>
      <w:r>
        <w:rPr>
          <w:noProof/>
          <w:sz w:val="24"/>
          <w:szCs w:val="24"/>
        </w:rPr>
        <w:t xml:space="preserve">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 xml:space="preserve">Постепенната замяна на денталната амалгама с безживачни материали (напр. композитни смоли, керамика и стъклено-йономерни цименти) вече е в ход. Огромното мнозинство от базираните в ЕС производители (95 %) предлагат безживачни материали, които представляват основен дял от пазара. Налагането на нормативно изискване за постепенно прекратяване на употребата на дентална амалгама би ускорило тенденцията към намаляване и би насърчило производителите да увеличат производството на алтернативни материали.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Разликите между цените на денталните възстановявания за всеки вид материал са сравнително малки заради подобренията при техниките за безживачно възстановяване.  Освен това се наблюдава и понижение на разликите в цените между денталната амалгама и безживачните материали. Това ограничава социално-икономическото въздействие на ускореното преминаване към безживачни пломби върху разходите за зъболекарска помощ, а оттам и разпределеното икономическо въздействие върху зъболекарите, пациентите и схемите за възстановяване на здравни разходи.</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В повечето държави членки разликите в покритието на националните схеми за възстановяване на здравните осигуровки за различните материали са ограничени.</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В заключение, ускореното преминаване към безживачни пломби не би довело до значимо отрицателно въздействие върху пациентите, зъболекарите и производителите на зъбни пломби. Въпреки това то може да изисква корекции в националните системи за възстановяване на разходите в държави членки, при които вариацията между цените на различните материали е голяма.</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b/>
          <w:noProof/>
          <w:sz w:val="24"/>
          <w:szCs w:val="24"/>
        </w:rPr>
      </w:pPr>
      <w:r>
        <w:rPr>
          <w:rFonts w:ascii="Times New Roman" w:hAnsi="Times New Roman"/>
          <w:b/>
          <w:i/>
          <w:noProof/>
          <w:sz w:val="24"/>
          <w:szCs w:val="24"/>
        </w:rPr>
        <w:t>Техническа осъществимост</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Като се има предвид широкото използване на безживачни материали в целия ЕС, може да се предположи, че преобладаващото мнозинство от зъболекарски кабинети в ЕС вече разполагат с оборудването, необходимо за безживачни възстановявания, както и че повечето или може би дори всички зъболекари вече са овладели необходимите технически похвати.</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Данните сочат, че безживачните материали показват задоволителни механични свойства, с по-ниски изисквания за подготовката на кухините при композитите</w:t>
      </w:r>
      <w:r>
        <w:rPr>
          <w:rFonts w:ascii="Times New Roman" w:hAnsi="Times New Roman"/>
          <w:noProof/>
          <w:sz w:val="24"/>
          <w:szCs w:val="24"/>
          <w:vertAlign w:val="superscript"/>
        </w:rPr>
        <w:footnoteReference w:id="10"/>
      </w:r>
      <w:r>
        <w:rPr>
          <w:rFonts w:ascii="Times New Roman" w:hAnsi="Times New Roman"/>
          <w:noProof/>
          <w:sz w:val="24"/>
          <w:szCs w:val="24"/>
        </w:rPr>
        <w:t>, както и с по-добри естетични качества</w:t>
      </w:r>
      <w:r>
        <w:rPr>
          <w:rFonts w:ascii="Times New Roman" w:hAnsi="Times New Roman"/>
          <w:noProof/>
          <w:sz w:val="24"/>
          <w:szCs w:val="24"/>
          <w:vertAlign w:val="superscript"/>
        </w:rPr>
        <w:footnoteReference w:id="11"/>
      </w:r>
      <w:r>
        <w:rPr>
          <w:rFonts w:ascii="Times New Roman" w:hAnsi="Times New Roman"/>
          <w:noProof/>
          <w:sz w:val="24"/>
          <w:szCs w:val="24"/>
        </w:rPr>
        <w:t>. Дълготрайността на пломбите се определя от четири основни фактора: материала, метода за възстановяване, уменията на зъболекаря и устната хигиена на пациента. В днешно време безживачните материали са с добро качество, ефективните методи за възстановяване са широкодостъпни,</w:t>
      </w:r>
      <w:r>
        <w:rPr>
          <w:noProof/>
          <w:sz w:val="24"/>
          <w:szCs w:val="24"/>
        </w:rPr>
        <w:t xml:space="preserve"> </w:t>
      </w:r>
      <w:r>
        <w:rPr>
          <w:rFonts w:ascii="Times New Roman" w:hAnsi="Times New Roman"/>
          <w:noProof/>
          <w:sz w:val="24"/>
          <w:szCs w:val="24"/>
        </w:rPr>
        <w:t>а в зъболекарските школи все по-масово се преподават необходимите умения. Устната хигиена би следвало да продължи да се подобрява, благодарение на информационните кампании на общественото здравеопазване. Следователно и при дълготрайността на възстановяванията би трябвало да се наблюдава допълнително подобрение.</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От друга страна, организациите, които представляват зъболекарите, изразиха опасения относно липсата на налична информация относно безживачните материали, както и относно профила на безопасност и биосъвместимостта на определени материали, някои от които съдържат Bisphenol A (BPA)</w:t>
      </w:r>
      <w:r>
        <w:rPr>
          <w:noProof/>
          <w:sz w:val="24"/>
          <w:szCs w:val="24"/>
        </w:rPr>
        <w:t xml:space="preserve"> </w:t>
      </w:r>
      <w:r>
        <w:rPr>
          <w:rFonts w:ascii="Times New Roman" w:hAnsi="Times New Roman"/>
          <w:noProof/>
          <w:sz w:val="24"/>
          <w:szCs w:val="24"/>
        </w:rPr>
        <w:t>и частици с наноразмери. В заключенията на наличните научни прегледи се посочва, че освобождаването на BPA от определени дентални материали е свързано само с незначителни рискове за здравето</w:t>
      </w:r>
      <w:r>
        <w:rPr>
          <w:rFonts w:ascii="Times New Roman" w:hAnsi="Times New Roman"/>
          <w:noProof/>
          <w:sz w:val="24"/>
          <w:szCs w:val="24"/>
          <w:vertAlign w:val="superscript"/>
        </w:rPr>
        <w:footnoteReference w:id="12"/>
      </w:r>
      <w:r>
        <w:rPr>
          <w:rFonts w:ascii="Times New Roman" w:hAnsi="Times New Roman"/>
          <w:noProof/>
          <w:sz w:val="24"/>
          <w:szCs w:val="24"/>
        </w:rPr>
        <w:t xml:space="preserve"> и че експозицията на BPA е в рамките на приемливата дневна доза</w:t>
      </w:r>
      <w:r>
        <w:rPr>
          <w:rFonts w:ascii="Times New Roman" w:hAnsi="Times New Roman"/>
          <w:noProof/>
          <w:sz w:val="24"/>
          <w:szCs w:val="24"/>
          <w:vertAlign w:val="superscript"/>
        </w:rPr>
        <w:footnoteReference w:id="13"/>
      </w:r>
      <w:r>
        <w:rPr>
          <w:rFonts w:ascii="Times New Roman" w:hAnsi="Times New Roman"/>
          <w:noProof/>
          <w:sz w:val="24"/>
          <w:szCs w:val="24"/>
        </w:rPr>
        <w:t>. Въпреки това тези заключения се основават на оценката на риска от BPA от 2015 г., извършена от Европейския орган за безопасност на храните, която в момента е в процес на преразглеждане.</w:t>
      </w:r>
    </w:p>
    <w:p>
      <w:pPr>
        <w:spacing w:after="0" w:line="240" w:lineRule="auto"/>
        <w:jc w:val="both"/>
        <w:rPr>
          <w:rFonts w:ascii="Times New Roman" w:hAnsi="Times New Roman"/>
          <w:b/>
          <w:i/>
          <w:noProof/>
          <w:sz w:val="24"/>
          <w:szCs w:val="24"/>
        </w:rPr>
      </w:pPr>
    </w:p>
    <w:p>
      <w:pPr>
        <w:spacing w:after="0" w:line="240" w:lineRule="auto"/>
        <w:jc w:val="both"/>
        <w:rPr>
          <w:rFonts w:ascii="Times New Roman" w:hAnsi="Times New Roman"/>
          <w:b/>
          <w:i/>
          <w:noProof/>
          <w:sz w:val="24"/>
          <w:szCs w:val="24"/>
        </w:rPr>
      </w:pPr>
    </w:p>
    <w:p>
      <w:pPr>
        <w:rPr>
          <w:rFonts w:ascii="Times New Roman" w:hAnsi="Times New Roman"/>
          <w:b/>
          <w:i/>
          <w:noProof/>
          <w:sz w:val="24"/>
          <w:szCs w:val="24"/>
        </w:rPr>
      </w:pPr>
      <w:r>
        <w:rPr>
          <w:rFonts w:ascii="Times New Roman" w:hAnsi="Times New Roman"/>
          <w:b/>
          <w:i/>
          <w:noProof/>
          <w:sz w:val="24"/>
          <w:szCs w:val="24"/>
        </w:rPr>
        <w:t>Екологични аспекти</w:t>
      </w:r>
    </w:p>
    <w:p>
      <w:pPr>
        <w:spacing w:after="0" w:line="240" w:lineRule="auto"/>
        <w:jc w:val="both"/>
        <w:rPr>
          <w:noProof/>
          <w:sz w:val="24"/>
          <w:szCs w:val="24"/>
        </w:rPr>
      </w:pPr>
      <w:r>
        <w:rPr>
          <w:rFonts w:ascii="Times New Roman" w:hAnsi="Times New Roman"/>
          <w:noProof/>
          <w:sz w:val="24"/>
          <w:szCs w:val="24"/>
        </w:rPr>
        <w:t>Денталната амалгама причинява значителни емисии на живак във въздуха, водата и почвата.</w:t>
      </w:r>
    </w:p>
    <w:p>
      <w:pPr>
        <w:spacing w:after="0" w:line="240" w:lineRule="auto"/>
        <w:jc w:val="both"/>
        <w:rPr>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Емисиите във въздуха са оценени</w:t>
      </w:r>
      <w:r>
        <w:rPr>
          <w:rStyle w:val="FootnoteReference"/>
          <w:rFonts w:ascii="Times New Roman" w:hAnsi="Times New Roman"/>
          <w:noProof/>
          <w:sz w:val="24"/>
          <w:szCs w:val="24"/>
        </w:rPr>
        <w:footnoteReference w:id="14"/>
      </w:r>
      <w:r>
        <w:rPr>
          <w:rFonts w:ascii="Times New Roman" w:hAnsi="Times New Roman"/>
          <w:noProof/>
          <w:sz w:val="24"/>
          <w:szCs w:val="24"/>
        </w:rPr>
        <w:t xml:space="preserve"> на стойност 19 тона през жизнения цикъл на денталната амалгама (2012 г., ЕС27</w:t>
      </w:r>
      <w:r>
        <w:rPr>
          <w:rStyle w:val="FootnoteReference"/>
          <w:rFonts w:ascii="Times New Roman" w:hAnsi="Times New Roman"/>
          <w:noProof/>
          <w:sz w:val="24"/>
          <w:szCs w:val="24"/>
        </w:rPr>
        <w:footnoteReference w:id="15"/>
      </w:r>
      <w:r>
        <w:rPr>
          <w:rFonts w:ascii="Times New Roman" w:hAnsi="Times New Roman"/>
          <w:noProof/>
          <w:sz w:val="24"/>
          <w:szCs w:val="24"/>
        </w:rPr>
        <w:t>). Емисиите във водата</w:t>
      </w:r>
      <w:r>
        <w:rPr>
          <w:rStyle w:val="FootnoteReference"/>
          <w:rFonts w:ascii="Times New Roman" w:hAnsi="Times New Roman"/>
          <w:noProof/>
          <w:sz w:val="24"/>
          <w:szCs w:val="24"/>
        </w:rPr>
        <w:footnoteReference w:id="16"/>
      </w:r>
      <w:r>
        <w:rPr>
          <w:rFonts w:ascii="Times New Roman" w:hAnsi="Times New Roman"/>
          <w:noProof/>
          <w:sz w:val="24"/>
          <w:szCs w:val="24"/>
        </w:rPr>
        <w:t xml:space="preserve"> от денталните клиники са оценени на 3 тона (2010 г., ЕС27), като тази стойност ще намалее, тъй като Регламентът задължава зъболекарските практики да бъдат оборудвани със сепаратори за дентална амалгама с високо равнище на задържане.</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Наличието на живак в отпадъчните води е проблематично за остатъците (утайката) от градските пречиствателни станции. В зависимост от вида на пречистване на отпадъчните води, живакът може да се озове в утайката от пречиствателните станции. Изчислено е че емисиите на живак в почвата, произтичащи от дентална амалгама, възлизат на 8 тона (2010 г., ЕС27), които се дължат основно на разпространението на такава утайка на сушата.  Директива 86/278/ЕИО за опазване на околната среда, и по-специално на почвата, при използване на утайки от отпадъчни води в земеделието</w:t>
      </w:r>
      <w:r>
        <w:rPr>
          <w:rStyle w:val="FootnoteReference"/>
          <w:rFonts w:ascii="Times New Roman" w:hAnsi="Times New Roman"/>
          <w:noProof/>
          <w:sz w:val="24"/>
          <w:szCs w:val="24"/>
        </w:rPr>
        <w:footnoteReference w:id="17"/>
      </w:r>
      <w:r>
        <w:rPr>
          <w:rFonts w:ascii="Times New Roman" w:hAnsi="Times New Roman"/>
          <w:noProof/>
          <w:sz w:val="24"/>
          <w:szCs w:val="24"/>
        </w:rPr>
        <w:t xml:space="preserve"> определя гранични стойности за концентрацията на тежки метали, включително живак.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Постепенното прекратяване на употребата на дентална амалгама в крайна сметка би довело до отстраняване на тези емисии, а оттам и на техния принос за количествата живак в околната среда, което би довело до допълнителни ползи за околната среда и здравето.  Това би допринесло и за плана за действие на ЕС за кръгова икономика</w:t>
      </w:r>
      <w:r>
        <w:rPr>
          <w:rStyle w:val="FootnoteReference"/>
          <w:rFonts w:ascii="Times New Roman" w:hAnsi="Times New Roman"/>
          <w:noProof/>
          <w:sz w:val="24"/>
          <w:szCs w:val="24"/>
        </w:rPr>
        <w:footnoteReference w:id="18"/>
      </w:r>
      <w:r>
        <w:rPr>
          <w:rFonts w:ascii="Times New Roman" w:hAnsi="Times New Roman"/>
          <w:noProof/>
          <w:sz w:val="24"/>
          <w:szCs w:val="24"/>
        </w:rPr>
        <w:t xml:space="preserve">, който призовава за по-добро пречистване на отпадъчните води и за преразглеждане на директивите относно утайките от отпадъчни води, за прилагане на практиките на кръговата икономика при управлението на отпадъчните води и утайките. </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b/>
          <w:i/>
          <w:noProof/>
          <w:sz w:val="24"/>
          <w:szCs w:val="24"/>
        </w:rPr>
      </w:pPr>
      <w:r>
        <w:rPr>
          <w:rFonts w:ascii="Times New Roman" w:hAnsi="Times New Roman"/>
          <w:b/>
          <w:i/>
          <w:noProof/>
          <w:sz w:val="24"/>
          <w:szCs w:val="24"/>
        </w:rPr>
        <w:t>Емисии на живак и живачни съединения от крематориуми</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Емисиите на живак и живачни съединения от крематориумите представляват траен източник на емисии във въздуха, произтичащи от употребата на дентална амалгама. Обемът им през 2018 г. беше оценен на около 1,6 тона. Очаква се тези емисии да се задържат на сходно равнище до около 2025 г. и тогава да намалеят. Въпреки това доказателствената база е оскъдна и е необходима допълнителна работа за подобряване на тези приблизителни оценки, като трябва да се вземе предвид и значителната смъртност във връзка с кризата с COVID-19.</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Към момента в ЕС няма изискване за монтаж на технологии за намаляване на емисиите на живак от крематориумите.  Единствено Конвенцията OSPAR</w:t>
      </w:r>
      <w:r>
        <w:rPr>
          <w:rStyle w:val="FootnoteReference"/>
          <w:rFonts w:ascii="Times New Roman" w:hAnsi="Times New Roman"/>
          <w:noProof/>
          <w:sz w:val="24"/>
          <w:szCs w:val="24"/>
        </w:rPr>
        <w:footnoteReference w:id="19"/>
      </w:r>
      <w:r>
        <w:rPr>
          <w:rFonts w:ascii="Times New Roman" w:hAnsi="Times New Roman"/>
          <w:noProof/>
          <w:sz w:val="24"/>
          <w:szCs w:val="24"/>
        </w:rPr>
        <w:t>, по която ЕС и 11 от нейните държави членки са страни, посочва най-добрите налични техники за предотвратяване и контрол на емисиите на живак от крематориумите, съгласно своята препоръка 2003/4, която няма правно обвързващ характер.</w:t>
      </w:r>
    </w:p>
    <w:p>
      <w:pPr>
        <w:spacing w:after="0" w:line="240" w:lineRule="auto"/>
        <w:jc w:val="both"/>
        <w:rPr>
          <w:rFonts w:ascii="Times New Roman" w:hAnsi="Times New Roman"/>
          <w:noProof/>
          <w:sz w:val="24"/>
          <w:szCs w:val="24"/>
        </w:rPr>
      </w:pPr>
    </w:p>
    <w:p>
      <w:pPr>
        <w:rPr>
          <w:rFonts w:ascii="Times New Roman" w:hAnsi="Times New Roman"/>
          <w:b/>
          <w:i/>
          <w:noProof/>
          <w:sz w:val="24"/>
          <w:szCs w:val="24"/>
        </w:rPr>
      </w:pPr>
      <w:r>
        <w:rPr>
          <w:noProof/>
        </w:rPr>
        <w:br w:type="page"/>
      </w:r>
    </w:p>
    <w:p>
      <w:pPr>
        <w:spacing w:after="0" w:line="240" w:lineRule="auto"/>
        <w:jc w:val="both"/>
        <w:rPr>
          <w:rFonts w:ascii="Times New Roman" w:hAnsi="Times New Roman"/>
          <w:b/>
          <w:i/>
          <w:noProof/>
          <w:sz w:val="24"/>
          <w:szCs w:val="24"/>
        </w:rPr>
      </w:pPr>
      <w:r>
        <w:rPr>
          <w:rFonts w:ascii="Times New Roman" w:hAnsi="Times New Roman"/>
          <w:b/>
          <w:i/>
          <w:noProof/>
          <w:sz w:val="24"/>
          <w:szCs w:val="24"/>
        </w:rPr>
        <w:t>Следващи стъпки</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Постепенната замяна на денталната амалгама с безживачни материали се осъществява и без политическа намеса, тъй като пациентите като цяло, а все по-често и зъболекарите, предпочитат безживачните пломби. Независимо от това, без законодателни действия се очаква значителни количества дентална амалгама да продължат да се използват през следващите години. Това би удължило свързаните с околната среда и здравето проблеми, породени от сегашната употреба на дентална амалгама, включително значителните емисии на живак във въздуха.</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Както постепенното намаляване, така и постепенното прекратяване на употребата на дентална амалгама, изискват да се обърне внимание на редица въпроси, включително подобряване на разбирането за конкретни медицински състояния, при които денталната амалгама следва да продължи да бъде разрешена, увеличаване на информацията относно наличните безживачни материали и събиране на допълнителни данни относно емисиите на живак, свързани с използването на дентална амалгама.</w:t>
      </w:r>
    </w:p>
    <w:p>
      <w:pPr>
        <w:pStyle w:val="ListParagraph"/>
        <w:spacing w:after="0" w:line="240" w:lineRule="auto"/>
        <w:ind w:left="360"/>
        <w:jc w:val="both"/>
        <w:rPr>
          <w:rFonts w:ascii="Times New Roman" w:hAnsi="Times New Roman"/>
          <w:b/>
          <w:noProof/>
          <w:sz w:val="24"/>
          <w:szCs w:val="24"/>
        </w:rPr>
      </w:pPr>
    </w:p>
    <w:p>
      <w:pPr>
        <w:pStyle w:val="ListParagraph"/>
        <w:numPr>
          <w:ilvl w:val="1"/>
          <w:numId w:val="4"/>
        </w:numPr>
        <w:spacing w:after="0" w:line="240" w:lineRule="auto"/>
        <w:jc w:val="both"/>
        <w:rPr>
          <w:rFonts w:ascii="Times New Roman" w:hAnsi="Times New Roman"/>
          <w:b/>
          <w:noProof/>
          <w:sz w:val="24"/>
          <w:szCs w:val="24"/>
        </w:rPr>
      </w:pPr>
      <w:r>
        <w:rPr>
          <w:rFonts w:ascii="Times New Roman" w:hAnsi="Times New Roman"/>
          <w:b/>
          <w:noProof/>
          <w:sz w:val="24"/>
          <w:szCs w:val="24"/>
        </w:rPr>
        <w:t>Продукти с добавен живак</w:t>
      </w:r>
    </w:p>
    <w:p>
      <w:pPr>
        <w:spacing w:after="0" w:line="240" w:lineRule="auto"/>
        <w:contextualSpacing/>
        <w:jc w:val="both"/>
        <w:rPr>
          <w:rFonts w:ascii="Times New Roman" w:hAnsi="Times New Roman"/>
          <w:b/>
          <w:noProof/>
          <w:sz w:val="24"/>
          <w:szCs w:val="24"/>
        </w:rPr>
      </w:pPr>
    </w:p>
    <w:p>
      <w:pPr>
        <w:spacing w:after="0" w:line="240" w:lineRule="auto"/>
        <w:jc w:val="both"/>
        <w:rPr>
          <w:rFonts w:ascii="Times New Roman" w:hAnsi="Times New Roman" w:cs="Times New Roman"/>
          <w:b/>
          <w:i/>
          <w:noProof/>
          <w:sz w:val="24"/>
          <w:szCs w:val="24"/>
        </w:rPr>
      </w:pPr>
      <w:r>
        <w:rPr>
          <w:rFonts w:ascii="Times New Roman" w:hAnsi="Times New Roman"/>
          <w:b/>
          <w:i/>
          <w:noProof/>
          <w:sz w:val="24"/>
          <w:szCs w:val="24"/>
        </w:rPr>
        <w:t>ЕС и международното право относно пускането на пазара и търговията с продукти с добавен живак</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ЕС прие един от най-всеобхватните законодателни пакети в целия свят за регламентиране на съдържанието на живак в продуктите, които се пускат на пазара, включително чрез внос</w:t>
      </w:r>
      <w:r>
        <w:rPr>
          <w:rStyle w:val="FootnoteReference"/>
          <w:rFonts w:ascii="Times New Roman" w:hAnsi="Times New Roman" w:cs="Times New Roman"/>
          <w:noProof/>
          <w:sz w:val="24"/>
          <w:szCs w:val="24"/>
        </w:rPr>
        <w:footnoteReference w:id="20"/>
      </w:r>
      <w:r>
        <w:rPr>
          <w:noProof/>
        </w:rPr>
        <w:t>.</w:t>
      </w:r>
      <w:r>
        <w:rPr>
          <w:rFonts w:ascii="Times New Roman" w:hAnsi="Times New Roman"/>
          <w:noProof/>
          <w:sz w:val="24"/>
          <w:szCs w:val="24"/>
        </w:rPr>
        <w:t xml:space="preserve"> Целта беше двустранна — гарантиране на здравето на хората и състоянието на околната среда, и гарантиране на доброто функциониране на вътрешния пазар.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Това включва Директива 2011/65/ЕС, с която се ограничава съдържанието на живак в електрическото и електронното оборудване,</w:t>
      </w:r>
      <w:r>
        <w:rPr>
          <w:rFonts w:ascii="Times New Roman" w:hAnsi="Times New Roman"/>
          <w:noProof/>
          <w:sz w:val="24"/>
          <w:szCs w:val="24"/>
          <w:vertAlign w:val="superscript"/>
        </w:rPr>
        <w:footnoteReference w:id="21"/>
      </w:r>
      <w:r>
        <w:rPr>
          <w:rFonts w:ascii="Times New Roman" w:hAnsi="Times New Roman"/>
          <w:noProof/>
          <w:sz w:val="24"/>
          <w:szCs w:val="24"/>
        </w:rPr>
        <w:t xml:space="preserve"> Директива 2006/66/ЕО, с която се регламентира съдържанието на живак в батериите,</w:t>
      </w:r>
      <w:r>
        <w:rPr>
          <w:rFonts w:ascii="Times New Roman" w:hAnsi="Times New Roman"/>
          <w:noProof/>
          <w:sz w:val="24"/>
          <w:szCs w:val="24"/>
          <w:vertAlign w:val="superscript"/>
        </w:rPr>
        <w:footnoteReference w:id="22"/>
      </w:r>
      <w:r>
        <w:rPr>
          <w:rFonts w:ascii="Times New Roman" w:hAnsi="Times New Roman"/>
          <w:noProof/>
          <w:sz w:val="24"/>
          <w:szCs w:val="24"/>
        </w:rPr>
        <w:t xml:space="preserve"> и Регламент (ЕО) № 1907/2006, с който се забранява пускането на вътрешния пазар на ЕС на определени неелектронни измервателни устройства с добавен живак, независимо от конкретното съдържание на живак</w:t>
      </w:r>
      <w:r>
        <w:rPr>
          <w:rFonts w:ascii="Times New Roman" w:hAnsi="Times New Roman"/>
          <w:noProof/>
          <w:sz w:val="24"/>
          <w:szCs w:val="24"/>
          <w:vertAlign w:val="superscript"/>
        </w:rPr>
        <w:footnoteReference w:id="23"/>
      </w:r>
      <w:r>
        <w:rPr>
          <w:rFonts w:ascii="Times New Roman" w:hAnsi="Times New Roman"/>
          <w:noProof/>
          <w:sz w:val="24"/>
          <w:szCs w:val="24"/>
        </w:rPr>
        <w:t>. Пълният списък на съответното законодателство е наличен в доклада за оценка на въздействието</w:t>
      </w:r>
      <w:r>
        <w:rPr>
          <w:rFonts w:ascii="Times New Roman" w:hAnsi="Times New Roman" w:cs="Times New Roman"/>
          <w:noProof/>
          <w:sz w:val="24"/>
          <w:szCs w:val="24"/>
          <w:vertAlign w:val="superscript"/>
        </w:rPr>
        <w:footnoteReference w:id="24"/>
      </w:r>
      <w:r>
        <w:rPr>
          <w:rFonts w:ascii="Times New Roman" w:hAnsi="Times New Roman"/>
          <w:noProof/>
          <w:sz w:val="24"/>
          <w:szCs w:val="24"/>
        </w:rPr>
        <w:t>, финализиран от Европейската комисия през 2016 г. като част от подготовката на нейното законодателно предложение за Регламента.</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На международно равнище Конвенцията забранява производството, вноса и износа на продуктите с добавен живак, изброени в нейното приложение А, част I.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Следователно, докато законодателството на ЕС относно вътрешния пазар като цяло забранява пускането на пазара на ЕС само на продукти с добавен живак, то Конвенцията забранява и тяхното производство, внос и износ. В тази връзка, за да може ЕС да спази Конвенцията, с Регламента се допълва законодателството на ЕС относно вътрешния пазар, като се забранява и производството и износа на продуктите, изброени в Конвенцията.</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Това различно третиране на продуктите с добавен живак съгласно правото на ЕС и съгласно международното право е причината, поради която законодателят на ЕС е изискал от Комисията да извърши настоящия преглед.</w:t>
      </w:r>
    </w:p>
    <w:p>
      <w:pPr>
        <w:spacing w:after="0" w:line="240" w:lineRule="auto"/>
        <w:jc w:val="both"/>
        <w:rPr>
          <w:rFonts w:ascii="Times New Roman" w:hAnsi="Times New Roman"/>
          <w:b/>
          <w:i/>
          <w:noProof/>
          <w:sz w:val="24"/>
          <w:szCs w:val="24"/>
        </w:rPr>
      </w:pPr>
    </w:p>
    <w:p>
      <w:pPr>
        <w:spacing w:after="0" w:line="240" w:lineRule="auto"/>
        <w:jc w:val="both"/>
        <w:rPr>
          <w:rFonts w:ascii="Times New Roman" w:hAnsi="Times New Roman"/>
          <w:b/>
          <w:i/>
          <w:noProof/>
          <w:sz w:val="24"/>
          <w:szCs w:val="24"/>
        </w:rPr>
      </w:pPr>
      <w:r>
        <w:rPr>
          <w:rFonts w:ascii="Times New Roman" w:hAnsi="Times New Roman"/>
          <w:b/>
          <w:i/>
          <w:noProof/>
          <w:sz w:val="24"/>
          <w:szCs w:val="24"/>
        </w:rPr>
        <w:t>Цел на прегледа</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Този преглед е насочен към идентифициране на най-ефективния от екологична и икономическа гледна точка начин за намаляване и отстраняване на наличието на продукти с добавен живак на международния пазар.</w:t>
      </w:r>
    </w:p>
    <w:p>
      <w:pPr>
        <w:spacing w:after="0" w:line="240" w:lineRule="auto"/>
        <w:jc w:val="both"/>
        <w:rPr>
          <w:rFonts w:ascii="Times New Roman" w:hAnsi="Times New Roman"/>
          <w:noProof/>
          <w:sz w:val="24"/>
          <w:szCs w:val="24"/>
        </w:rPr>
      </w:pPr>
      <w:r>
        <w:rPr>
          <w:rFonts w:ascii="Times New Roman" w:hAnsi="Times New Roman"/>
          <w:noProof/>
          <w:sz w:val="24"/>
          <w:szCs w:val="24"/>
        </w:rPr>
        <w:t>Налични са два основни подхода:</w:t>
      </w:r>
    </w:p>
    <w:p>
      <w:pPr>
        <w:spacing w:after="0" w:line="240" w:lineRule="auto"/>
        <w:jc w:val="both"/>
        <w:rPr>
          <w:rFonts w:ascii="Times New Roman" w:hAnsi="Times New Roman"/>
          <w:noProof/>
          <w:sz w:val="24"/>
          <w:szCs w:val="24"/>
        </w:rPr>
      </w:pPr>
    </w:p>
    <w:p>
      <w:pPr>
        <w:numPr>
          <w:ilvl w:val="0"/>
          <w:numId w:val="2"/>
        </w:numPr>
        <w:spacing w:after="0" w:line="240" w:lineRule="auto"/>
        <w:contextualSpacing/>
        <w:jc w:val="both"/>
        <w:rPr>
          <w:rFonts w:ascii="Times New Roman" w:hAnsi="Times New Roman"/>
          <w:noProof/>
          <w:sz w:val="24"/>
          <w:szCs w:val="24"/>
        </w:rPr>
      </w:pPr>
      <w:r>
        <w:rPr>
          <w:rFonts w:ascii="Times New Roman" w:hAnsi="Times New Roman"/>
          <w:noProof/>
          <w:sz w:val="24"/>
          <w:szCs w:val="24"/>
        </w:rPr>
        <w:t xml:space="preserve">Едностранна забрана на производството и износа от ЕС на всички продукти с добавен живак, за които има забрана за пускане на пазара на ЕС. Това може да се постигне чрез добавянето на тези продукти в приложение II към Регламента; </w:t>
      </w:r>
    </w:p>
    <w:p>
      <w:pPr>
        <w:pStyle w:val="ListParagraph"/>
        <w:numPr>
          <w:ilvl w:val="0"/>
          <w:numId w:val="2"/>
        </w:numPr>
        <w:spacing w:after="0" w:line="240" w:lineRule="auto"/>
        <w:ind w:left="714" w:hanging="357"/>
        <w:jc w:val="both"/>
        <w:rPr>
          <w:rFonts w:ascii="Times New Roman" w:hAnsi="Times New Roman"/>
          <w:noProof/>
          <w:sz w:val="24"/>
          <w:szCs w:val="24"/>
        </w:rPr>
      </w:pPr>
      <w:r>
        <w:rPr>
          <w:rFonts w:ascii="Times New Roman" w:hAnsi="Times New Roman"/>
          <w:noProof/>
          <w:sz w:val="24"/>
          <w:szCs w:val="24"/>
        </w:rPr>
        <w:t xml:space="preserve">Постигане на споразумение на световно равнище относно забраната на допълнителни продукти. Това би могло да се постигне в две стъпки, чрез i) разширяване на списъка на продуктите с добавен живак, поместени в приложение А към Конвенцията, и ii) прилагане на такова разширение в приложение II към Регламента.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 xml:space="preserve">Потенциалните ползи за околната среда от тези подходи са разгледани по-долу.   </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b/>
          <w:i/>
          <w:noProof/>
          <w:sz w:val="24"/>
          <w:szCs w:val="24"/>
        </w:rPr>
      </w:pPr>
      <w:r>
        <w:rPr>
          <w:noProof/>
          <w:lang w:val="en-GB" w:eastAsia="en-GB"/>
        </w:rPr>
        <mc:AlternateContent>
          <mc:Choice Requires="wpc">
            <w:drawing>
              <wp:anchor distT="0" distB="0" distL="114300" distR="114300" simplePos="0" relativeHeight="251657728" behindDoc="0" locked="0" layoutInCell="1" allowOverlap="1">
                <wp:simplePos x="0" y="0"/>
                <wp:positionH relativeFrom="column">
                  <wp:posOffset>-914400</wp:posOffset>
                </wp:positionH>
                <wp:positionV relativeFrom="paragraph">
                  <wp:posOffset>-87601425</wp:posOffset>
                </wp:positionV>
                <wp:extent cx="7560310" cy="4638040"/>
                <wp:effectExtent l="0" t="0" r="2540" b="0"/>
                <wp:wrapNone/>
                <wp:docPr id="35" name="Canvas 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Rectangle 5"/>
                        <wps:cNvSpPr>
                          <a:spLocks noChangeArrowheads="1"/>
                        </wps:cNvSpPr>
                        <wps:spPr bwMode="auto">
                          <a:xfrm>
                            <a:off x="8890" y="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000000"/>
                                  <w:sz w:val="24"/>
                                  <w:szCs w:val="24"/>
                                </w:rPr>
                                <w:t xml:space="preserve"> </w:t>
                              </w:r>
                            </w:p>
                          </w:txbxContent>
                        </wps:txbx>
                        <wps:bodyPr rot="0" vert="horz" wrap="none" lIns="0" tIns="0" rIns="0" bIns="0" anchor="t" anchorCtr="0">
                          <a:spAutoFit/>
                        </wps:bodyPr>
                      </wps:wsp>
                      <wps:wsp>
                        <wps:cNvPr id="4" name="Rectangle 6"/>
                        <wps:cNvSpPr>
                          <a:spLocks noChangeArrowheads="1"/>
                        </wps:cNvSpPr>
                        <wps:spPr bwMode="auto">
                          <a:xfrm>
                            <a:off x="8890" y="194310"/>
                            <a:ext cx="425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Arial" w:hAnsi="Arial"/>
                                  <w:color w:val="000000"/>
                                  <w:sz w:val="24"/>
                                  <w:szCs w:val="24"/>
                                </w:rPr>
                                <w:t xml:space="preserve"> </w:t>
                              </w:r>
                            </w:p>
                          </w:txbxContent>
                        </wps:txbx>
                        <wps:bodyPr rot="0" vert="horz" wrap="none" lIns="0" tIns="0" rIns="0" bIns="0" anchor="t" anchorCtr="0">
                          <a:spAutoFit/>
                        </wps:bodyPr>
                      </wps:wsp>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8890" y="408305"/>
                            <a:ext cx="1576070" cy="77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Rectangle 8"/>
                        <wps:cNvSpPr>
                          <a:spLocks noChangeArrowheads="1"/>
                        </wps:cNvSpPr>
                        <wps:spPr bwMode="auto">
                          <a:xfrm>
                            <a:off x="1584960" y="1046480"/>
                            <a:ext cx="425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Arial" w:hAnsi="Arial"/>
                                  <w:color w:val="000000"/>
                                  <w:sz w:val="24"/>
                                  <w:szCs w:val="24"/>
                                </w:rPr>
                                <w:t xml:space="preserve"> </w:t>
                              </w:r>
                            </w:p>
                          </w:txbxContent>
                        </wps:txbx>
                        <wps:bodyPr rot="0" vert="horz" wrap="none" lIns="0" tIns="0" rIns="0" bIns="0" anchor="t" anchorCtr="0">
                          <a:spAutoFit/>
                        </wps:bodyPr>
                      </wps:wsp>
                      <wps:wsp>
                        <wps:cNvPr id="9" name="Rectangle 9"/>
                        <wps:cNvSpPr>
                          <a:spLocks noChangeArrowheads="1"/>
                        </wps:cNvSpPr>
                        <wps:spPr bwMode="auto">
                          <a:xfrm>
                            <a:off x="1681480" y="879475"/>
                            <a:ext cx="95821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Arial" w:hAnsi="Arial"/>
                                  <w:color w:val="000000"/>
                                </w:rPr>
                                <w:t>ЕВРОПЕЙСКА</w:t>
                              </w:r>
                            </w:p>
                          </w:txbxContent>
                        </wps:txbx>
                        <wps:bodyPr rot="0" vert="horz" wrap="none" lIns="0" tIns="0" rIns="0" bIns="0" anchor="t" anchorCtr="0">
                          <a:spAutoFit/>
                        </wps:bodyPr>
                      </wps:wsp>
                      <wps:wsp>
                        <wps:cNvPr id="10" name="Rectangle 10"/>
                        <wps:cNvSpPr>
                          <a:spLocks noChangeArrowheads="1"/>
                        </wps:cNvSpPr>
                        <wps:spPr bwMode="auto">
                          <a:xfrm>
                            <a:off x="2493645" y="873125"/>
                            <a:ext cx="4254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Arial" w:hAnsi="Arial"/>
                                  <w:color w:val="000000"/>
                                  <w:sz w:val="24"/>
                                  <w:szCs w:val="24"/>
                                </w:rPr>
                                <w:t xml:space="preserve"> </w:t>
                              </w:r>
                            </w:p>
                          </w:txbxContent>
                        </wps:txbx>
                        <wps:bodyPr rot="0" vert="horz" wrap="none" lIns="0" tIns="0" rIns="0" bIns="0" anchor="t" anchorCtr="0">
                          <a:spAutoFit/>
                        </wps:bodyPr>
                      </wps:wsp>
                      <wps:wsp>
                        <wps:cNvPr id="11" name="Rectangle 11"/>
                        <wps:cNvSpPr>
                          <a:spLocks noChangeArrowheads="1"/>
                        </wps:cNvSpPr>
                        <wps:spPr bwMode="auto">
                          <a:xfrm>
                            <a:off x="1681480" y="1047115"/>
                            <a:ext cx="70929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Arial" w:hAnsi="Arial"/>
                                  <w:color w:val="000000"/>
                                </w:rPr>
                                <w:t>КОМИСИЯ</w:t>
                              </w:r>
                            </w:p>
                          </w:txbxContent>
                        </wps:txbx>
                        <wps:bodyPr rot="0" vert="horz" wrap="none" lIns="0" tIns="0" rIns="0" bIns="0" anchor="t" anchorCtr="0">
                          <a:spAutoFit/>
                        </wps:bodyPr>
                      </wps:wsp>
                      <wps:wsp>
                        <wps:cNvPr id="12" name="Rectangle 12"/>
                        <wps:cNvSpPr>
                          <a:spLocks noChangeArrowheads="1"/>
                        </wps:cNvSpPr>
                        <wps:spPr bwMode="auto">
                          <a:xfrm>
                            <a:off x="2629535" y="1047115"/>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Arial" w:hAnsi="Arial"/>
                                  <w:color w:val="000000"/>
                                </w:rPr>
                                <w:t xml:space="preserve"> </w:t>
                              </w:r>
                            </w:p>
                          </w:txbxContent>
                        </wps:txbx>
                        <wps:bodyPr rot="0" vert="horz" wrap="none" lIns="0" tIns="0" rIns="0" bIns="0" anchor="t" anchorCtr="0">
                          <a:spAutoFit/>
                        </wps:bodyPr>
                      </wps:wsp>
                      <wps:wsp>
                        <wps:cNvPr id="13" name="Rectangle 13"/>
                        <wps:cNvSpPr>
                          <a:spLocks noChangeArrowheads="1"/>
                        </wps:cNvSpPr>
                        <wps:spPr bwMode="auto">
                          <a:xfrm>
                            <a:off x="5652135" y="1047115"/>
                            <a:ext cx="3937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Arial" w:hAnsi="Arial"/>
                                  <w:color w:val="000000"/>
                                </w:rPr>
                                <w:t xml:space="preserve"> </w:t>
                              </w:r>
                            </w:p>
                          </w:txbxContent>
                        </wps:txbx>
                        <wps:bodyPr rot="0" vert="horz" wrap="none" lIns="0" tIns="0" rIns="0" bIns="0" anchor="t" anchorCtr="0">
                          <a:spAutoFit/>
                        </wps:bodyPr>
                      </wps:wsp>
                      <wps:wsp>
                        <wps:cNvPr id="14" name="Rectangle 14"/>
                        <wps:cNvSpPr>
                          <a:spLocks noChangeArrowheads="1"/>
                        </wps:cNvSpPr>
                        <wps:spPr bwMode="auto">
                          <a:xfrm>
                            <a:off x="3218180" y="1861185"/>
                            <a:ext cx="6013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000000"/>
                                  <w:sz w:val="24"/>
                                  <w:szCs w:val="24"/>
                                </w:rPr>
                                <w:t xml:space="preserve">Брюксел, </w:t>
                              </w:r>
                            </w:p>
                          </w:txbxContent>
                        </wps:txbx>
                        <wps:bodyPr rot="0" vert="horz" wrap="none" lIns="0" tIns="0" rIns="0" bIns="0" anchor="t" anchorCtr="0">
                          <a:spAutoFit/>
                        </wps:bodyPr>
                      </wps:wsp>
                      <wps:wsp>
                        <wps:cNvPr id="15" name="Rectangle 15"/>
                        <wps:cNvSpPr>
                          <a:spLocks noChangeArrowheads="1"/>
                        </wps:cNvSpPr>
                        <wps:spPr bwMode="auto">
                          <a:xfrm>
                            <a:off x="3804285" y="1861185"/>
                            <a:ext cx="3302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FF0000"/>
                                  <w:sz w:val="24"/>
                                  <w:szCs w:val="24"/>
                                </w:rPr>
                                <w:t>XXX</w:t>
                              </w:r>
                            </w:p>
                          </w:txbxContent>
                        </wps:txbx>
                        <wps:bodyPr rot="0" vert="horz" wrap="none" lIns="0" tIns="0" rIns="0" bIns="0" anchor="t" anchorCtr="0">
                          <a:spAutoFit/>
                        </wps:bodyPr>
                      </wps:wsp>
                      <wps:wsp>
                        <wps:cNvPr id="16" name="Rectangle 16"/>
                        <wps:cNvSpPr>
                          <a:spLocks noChangeArrowheads="1"/>
                        </wps:cNvSpPr>
                        <wps:spPr bwMode="auto">
                          <a:xfrm>
                            <a:off x="4131945" y="1861185"/>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000000"/>
                                  <w:sz w:val="24"/>
                                  <w:szCs w:val="24"/>
                                </w:rPr>
                                <w:t xml:space="preserve"> </w:t>
                              </w:r>
                            </w:p>
                          </w:txbxContent>
                        </wps:txbx>
                        <wps:bodyPr rot="0" vert="horz" wrap="none" lIns="0" tIns="0" rIns="0" bIns="0" anchor="t" anchorCtr="0">
                          <a:spAutoFit/>
                        </wps:bodyPr>
                      </wps:wsp>
                      <wps:wsp>
                        <wps:cNvPr id="17" name="Rectangle 17"/>
                        <wps:cNvSpPr>
                          <a:spLocks noChangeArrowheads="1"/>
                        </wps:cNvSpPr>
                        <wps:spPr bwMode="auto">
                          <a:xfrm>
                            <a:off x="4171315" y="1861185"/>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000000"/>
                                  <w:sz w:val="24"/>
                                  <w:szCs w:val="24"/>
                                </w:rPr>
                                <w:t xml:space="preserve"> </w:t>
                              </w:r>
                            </w:p>
                          </w:txbxContent>
                        </wps:txbx>
                        <wps:bodyPr rot="0" vert="horz" wrap="none" lIns="0" tIns="0" rIns="0" bIns="0" anchor="t" anchorCtr="0">
                          <a:spAutoFit/>
                        </wps:bodyPr>
                      </wps:wsp>
                      <wps:wsp>
                        <wps:cNvPr id="18" name="Rectangle 18"/>
                        <wps:cNvSpPr>
                          <a:spLocks noChangeArrowheads="1"/>
                        </wps:cNvSpPr>
                        <wps:spPr bwMode="auto">
                          <a:xfrm>
                            <a:off x="3218180" y="2034540"/>
                            <a:ext cx="2540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FF0000"/>
                                  <w:sz w:val="24"/>
                                  <w:szCs w:val="24"/>
                                </w:rPr>
                                <w:t>[…]</w:t>
                              </w:r>
                            </w:p>
                          </w:txbxContent>
                        </wps:txbx>
                        <wps:bodyPr rot="0" vert="horz" wrap="none" lIns="0" tIns="0" rIns="0" bIns="0" anchor="t" anchorCtr="0">
                          <a:spAutoFit/>
                        </wps:bodyPr>
                      </wps:wsp>
                      <wps:wsp>
                        <wps:cNvPr id="19" name="Rectangle 19"/>
                        <wps:cNvSpPr>
                          <a:spLocks noChangeArrowheads="1"/>
                        </wps:cNvSpPr>
                        <wps:spPr bwMode="auto">
                          <a:xfrm>
                            <a:off x="3472180" y="2034540"/>
                            <a:ext cx="54546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000000"/>
                                  <w:sz w:val="24"/>
                                  <w:szCs w:val="24"/>
                                </w:rPr>
                                <w:t xml:space="preserve">(2020 г.) </w:t>
                              </w:r>
                            </w:p>
                          </w:txbxContent>
                        </wps:txbx>
                        <wps:bodyPr rot="0" vert="horz" wrap="none" lIns="0" tIns="0" rIns="0" bIns="0" anchor="t" anchorCtr="0">
                          <a:spAutoFit/>
                        </wps:bodyPr>
                      </wps:wsp>
                      <wps:wsp>
                        <wps:cNvPr id="20" name="Rectangle 20"/>
                        <wps:cNvSpPr>
                          <a:spLocks noChangeArrowheads="1"/>
                        </wps:cNvSpPr>
                        <wps:spPr bwMode="auto">
                          <a:xfrm>
                            <a:off x="3911600" y="2034540"/>
                            <a:ext cx="3302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FF0000"/>
                                  <w:sz w:val="24"/>
                                  <w:szCs w:val="24"/>
                                </w:rPr>
                                <w:t>XXX</w:t>
                              </w:r>
                            </w:p>
                          </w:txbxContent>
                        </wps:txbx>
                        <wps:bodyPr rot="0" vert="horz" wrap="none" lIns="0" tIns="0" rIns="0" bIns="0" anchor="t" anchorCtr="0">
                          <a:spAutoFit/>
                        </wps:bodyPr>
                      </wps:wsp>
                      <wps:wsp>
                        <wps:cNvPr id="21" name="Rectangle 21"/>
                        <wps:cNvSpPr>
                          <a:spLocks noChangeArrowheads="1"/>
                        </wps:cNvSpPr>
                        <wps:spPr bwMode="auto">
                          <a:xfrm>
                            <a:off x="4237355" y="203454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000000"/>
                                  <w:sz w:val="24"/>
                                  <w:szCs w:val="24"/>
                                </w:rPr>
                                <w:t xml:space="preserve"> </w:t>
                              </w:r>
                            </w:p>
                          </w:txbxContent>
                        </wps:txbx>
                        <wps:bodyPr rot="0" vert="horz" wrap="none" lIns="0" tIns="0" rIns="0" bIns="0" anchor="t" anchorCtr="0">
                          <a:spAutoFit/>
                        </wps:bodyPr>
                      </wps:wsp>
                      <wps:wsp>
                        <wps:cNvPr id="22" name="Rectangle 22"/>
                        <wps:cNvSpPr>
                          <a:spLocks noChangeArrowheads="1"/>
                        </wps:cNvSpPr>
                        <wps:spPr bwMode="auto">
                          <a:xfrm>
                            <a:off x="4275455" y="2034540"/>
                            <a:ext cx="65849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000000"/>
                                  <w:sz w:val="24"/>
                                  <w:szCs w:val="24"/>
                                </w:rPr>
                                <w:t>Проект на</w:t>
                              </w:r>
                            </w:p>
                          </w:txbxContent>
                        </wps:txbx>
                        <wps:bodyPr rot="0" vert="horz" wrap="none" lIns="0" tIns="0" rIns="0" bIns="0" anchor="t" anchorCtr="0">
                          <a:spAutoFit/>
                        </wps:bodyPr>
                      </wps:wsp>
                      <wps:wsp>
                        <wps:cNvPr id="23" name="Rectangle 23"/>
                        <wps:cNvSpPr>
                          <a:spLocks noChangeArrowheads="1"/>
                        </wps:cNvSpPr>
                        <wps:spPr bwMode="auto">
                          <a:xfrm>
                            <a:off x="4560570" y="203454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color w:val="000000"/>
                                  <w:sz w:val="24"/>
                                  <w:szCs w:val="24"/>
                                </w:rPr>
                                <w:t xml:space="preserve"> </w:t>
                              </w:r>
                            </w:p>
                          </w:txbxContent>
                        </wps:txbx>
                        <wps:bodyPr rot="0" vert="horz" wrap="none" lIns="0" tIns="0" rIns="0" bIns="0" anchor="t" anchorCtr="0">
                          <a:spAutoFit/>
                        </wps:bodyPr>
                      </wps:wsp>
                      <wps:wsp>
                        <wps:cNvPr id="24" name="Rectangle 24"/>
                        <wps:cNvSpPr>
                          <a:spLocks noChangeArrowheads="1"/>
                        </wps:cNvSpPr>
                        <wps:spPr bwMode="auto">
                          <a:xfrm>
                            <a:off x="3218180" y="2511425"/>
                            <a:ext cx="514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i/>
                                  <w:iCs/>
                                  <w:color w:val="000000"/>
                                  <w:sz w:val="32"/>
                                  <w:szCs w:val="32"/>
                                </w:rPr>
                                <w:t xml:space="preserve"> </w:t>
                              </w:r>
                            </w:p>
                          </w:txbxContent>
                        </wps:txbx>
                        <wps:bodyPr rot="0" vert="horz" wrap="none" lIns="0" tIns="0" rIns="0" bIns="0" anchor="t" anchorCtr="0">
                          <a:spAutoFit/>
                        </wps:bodyPr>
                      </wps:wsp>
                      <wps:wsp>
                        <wps:cNvPr id="25" name="Rectangle 25"/>
                        <wps:cNvSpPr>
                          <a:spLocks noChangeArrowheads="1"/>
                        </wps:cNvSpPr>
                        <wps:spPr bwMode="auto">
                          <a:xfrm>
                            <a:off x="51435" y="2791951"/>
                            <a:ext cx="7487966"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jc w:val="center"/>
                              </w:pPr>
                              <w:r>
                                <w:rPr>
                                  <w:rFonts w:ascii="Times New Roman" w:hAnsi="Times New Roman"/>
                                  <w:b/>
                                  <w:bCs/>
                                  <w:color w:val="000000"/>
                                  <w:sz w:val="24"/>
                                  <w:szCs w:val="24"/>
                                </w:rPr>
                                <w:t>ДОКЛАД НА КОМИСИЯТА ДО ЕВРОПЕЙСКИЯ ПАРЛАМЕНТ И СЪВЕТА</w:t>
                              </w:r>
                            </w:p>
                          </w:txbxContent>
                        </wps:txbx>
                        <wps:bodyPr rot="0" vert="horz" wrap="square" lIns="0" tIns="0" rIns="0" bIns="0" anchor="t" anchorCtr="0">
                          <a:spAutoFit/>
                        </wps:bodyPr>
                      </wps:wsp>
                      <wps:wsp>
                        <wps:cNvPr id="26" name="Rectangle 26"/>
                        <wps:cNvSpPr>
                          <a:spLocks noChangeArrowheads="1"/>
                        </wps:cNvSpPr>
                        <wps:spPr bwMode="auto">
                          <a:xfrm>
                            <a:off x="2327910" y="329311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none" lIns="0" tIns="0" rIns="0" bIns="0" anchor="t" anchorCtr="0">
                          <a:spAutoFit/>
                        </wps:bodyPr>
                      </wps:wsp>
                      <wps:wsp>
                        <wps:cNvPr id="27" name="Rectangle 27"/>
                        <wps:cNvSpPr>
                          <a:spLocks noChangeArrowheads="1"/>
                        </wps:cNvSpPr>
                        <wps:spPr bwMode="auto">
                          <a:xfrm>
                            <a:off x="3396615" y="329311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b/>
                                  <w:bCs/>
                                  <w:color w:val="000000"/>
                                  <w:sz w:val="24"/>
                                  <w:szCs w:val="24"/>
                                </w:rPr>
                                <w:t xml:space="preserve"> </w:t>
                              </w:r>
                            </w:p>
                          </w:txbxContent>
                        </wps:txbx>
                        <wps:bodyPr rot="0" vert="horz" wrap="none" lIns="0" tIns="0" rIns="0" bIns="0" anchor="t" anchorCtr="0">
                          <a:spAutoFit/>
                        </wps:bodyPr>
                      </wps:wsp>
                      <wps:wsp>
                        <wps:cNvPr id="28" name="Rectangle 28"/>
                        <wps:cNvSpPr>
                          <a:spLocks noChangeArrowheads="1"/>
                        </wps:cNvSpPr>
                        <wps:spPr bwMode="auto">
                          <a:xfrm>
                            <a:off x="22860" y="3689985"/>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txbxContent>
                        </wps:txbx>
                        <wps:bodyPr rot="0" vert="horz" wrap="none" lIns="0" tIns="0" rIns="0" bIns="0" anchor="t" anchorCtr="0">
                          <a:spAutoFit/>
                        </wps:bodyPr>
                      </wps:wsp>
                      <wps:wsp>
                        <wps:cNvPr id="29" name="Rectangle 29"/>
                        <wps:cNvSpPr>
                          <a:spLocks noChangeArrowheads="1"/>
                        </wps:cNvSpPr>
                        <wps:spPr bwMode="auto">
                          <a:xfrm>
                            <a:off x="1752600" y="3689985"/>
                            <a:ext cx="4699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Calibri" w:hAnsi="Calibri"/>
                                  <w:b/>
                                  <w:bCs/>
                                  <w:color w:val="000000"/>
                                  <w:sz w:val="24"/>
                                  <w:szCs w:val="24"/>
                                </w:rPr>
                                <w:t>-</w:t>
                              </w:r>
                            </w:p>
                          </w:txbxContent>
                        </wps:txbx>
                        <wps:bodyPr rot="0" vert="horz" wrap="none" lIns="0" tIns="0" rIns="0" bIns="0" anchor="t" anchorCtr="0">
                          <a:spAutoFit/>
                        </wps:bodyPr>
                      </wps:wsp>
                      <wps:wsp>
                        <wps:cNvPr id="30" name="Rectangle 30"/>
                        <wps:cNvSpPr>
                          <a:spLocks noChangeArrowheads="1"/>
                        </wps:cNvSpPr>
                        <wps:spPr bwMode="auto">
                          <a:xfrm>
                            <a:off x="695409" y="3586468"/>
                            <a:ext cx="5731510" cy="848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after="0" w:line="240" w:lineRule="auto"/>
                                <w:jc w:val="center"/>
                                <w:rPr>
                                  <w:rFonts w:ascii="Times New Roman" w:hAnsi="Times New Roman"/>
                                  <w:b/>
                                  <w:sz w:val="24"/>
                                  <w:szCs w:val="24"/>
                                </w:rPr>
                              </w:pPr>
                              <w:r>
                                <w:rPr>
                                  <w:rFonts w:ascii="Times New Roman" w:hAnsi="Times New Roman"/>
                                  <w:b/>
                                  <w:sz w:val="24"/>
                                  <w:szCs w:val="24"/>
                                </w:rPr>
                                <w:t>относно прегледите, които се изискват съгласно член 19, параграф 1 от Регламент 2017/852, във връзка с използването на живак в денталната амалгама и денталните продукти</w:t>
                              </w:r>
                            </w:p>
                            <w:p/>
                          </w:txbxContent>
                        </wps:txbx>
                        <wps:bodyPr rot="0" vert="horz" wrap="none" lIns="0" tIns="0" rIns="0" bIns="0" anchor="t" anchorCtr="0">
                          <a:spAutoFit/>
                        </wps:bodyPr>
                      </wps:wsp>
                      <wps:wsp>
                        <wps:cNvPr id="32" name="Rectangle 32"/>
                        <wps:cNvSpPr>
                          <a:spLocks noChangeArrowheads="1"/>
                        </wps:cNvSpPr>
                        <wps:spPr bwMode="auto">
                          <a:xfrm>
                            <a:off x="4352290" y="387985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b/>
                                  <w:bCs/>
                                  <w:color w:val="000000"/>
                                  <w:sz w:val="24"/>
                                  <w:szCs w:val="24"/>
                                </w:rPr>
                                <w:t xml:space="preserve"> </w:t>
                              </w:r>
                            </w:p>
                          </w:txbxContent>
                        </wps:txbx>
                        <wps:bodyPr rot="0" vert="horz" wrap="none" lIns="0" tIns="0" rIns="0" bIns="0" anchor="t" anchorCtr="0">
                          <a:spAutoFit/>
                        </wps:bodyPr>
                      </wps:wsp>
                      <wps:wsp>
                        <wps:cNvPr id="33" name="Rectangle 33"/>
                        <wps:cNvSpPr>
                          <a:spLocks noChangeArrowheads="1"/>
                        </wps:cNvSpPr>
                        <wps:spPr bwMode="auto">
                          <a:xfrm>
                            <a:off x="2861945" y="406146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b/>
                                  <w:bCs/>
                                  <w:color w:val="000000"/>
                                  <w:sz w:val="24"/>
                                  <w:szCs w:val="24"/>
                                </w:rPr>
                                <w:t xml:space="preserve"> </w:t>
                              </w:r>
                            </w:p>
                          </w:txbxContent>
                        </wps:txbx>
                        <wps:bodyPr rot="0" vert="horz" wrap="none" lIns="0" tIns="0" rIns="0" bIns="0" anchor="t" anchorCtr="0">
                          <a:spAutoFit/>
                        </wps:bodyPr>
                      </wps:wsp>
                      <wps:wsp>
                        <wps:cNvPr id="34" name="Rectangle 34"/>
                        <wps:cNvSpPr>
                          <a:spLocks noChangeArrowheads="1"/>
                        </wps:cNvSpPr>
                        <wps:spPr bwMode="auto">
                          <a:xfrm>
                            <a:off x="2861945" y="4234815"/>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
                                <w:rPr>
                                  <w:rFonts w:ascii="Times New Roman" w:hAnsi="Times New Roman"/>
                                  <w:b/>
                                  <w:bCs/>
                                  <w:color w:val="000000"/>
                                  <w:sz w:val="24"/>
                                  <w:szCs w:val="24"/>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Canvas 35" o:spid="_x0000_s1027" editas="canvas" style="position:absolute;left:0;text-align:left;margin-left:-1in;margin-top:-6897.75pt;width:595.3pt;height:365.2pt;z-index:251657728" coordsize="75603,46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">
                <v:shape id="_x0000_s1028" type="#_x0000_t75" style="position:absolute;width:75603;height:46380;visibility:visible;mso-wrap-style:square">
                  <v:fill o:detectmouseclick="t"/>
                  <v:path o:connecttype="none"/>
                </v:shape>
                <v:rect id="Rectangle 5" o:spid="_x0000_s1029" style="position:absolute;left:88;width:38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
                          <w:rPr>
                            <w:rFonts w:ascii="Times New Roman" w:hAnsi="Times New Roman"/>
                            <w:color w:val="000000"/>
                            <w:sz w:val="24"/>
                            <w:szCs w:val="24"/>
                          </w:rPr>
                          <w:t xml:space="preserve"> </w:t>
                        </w:r>
                      </w:p>
                    </w:txbxContent>
                  </v:textbox>
                </v:rect>
                <v:rect id="Rectangle 6" o:spid="_x0000_s1030" style="position:absolute;left:88;top:1943;width:426;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
                          <w:rPr>
                            <w:rFonts w:ascii="Arial" w:hAnsi="Arial"/>
                            <w:color w:val="000000"/>
                            <w:sz w:val="24"/>
                            <w:szCs w:val="24"/>
                          </w:rPr>
                          <w:t xml:space="preserve"> </w:t>
                        </w:r>
                      </w:p>
                    </w:txbxContent>
                  </v:textbox>
                </v:rect>
                <v:shape id="Picture 7" o:spid="_x0000_s1031" type="#_x0000_t75" style="position:absolute;left:88;top:4083;width:15761;height:77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87DTGAAAA2gAAAA8AAABkcnMvZG93bnJldi54bWxEj09rwkAUxO9Cv8PyCl6kbmrAltQ1tIIg&#10;BfFPe+jxkX1N0mTfxuxqUj+9Kwgeh5n5DTNLe1OLE7WutKzgeRyBIM6sLjlX8P21fHoF4Tyyxtoy&#10;KfgnB+n8YTDDRNuOd3Ta+1wECLsEFRTeN4mULivIoBvbhjh4v7Y16INsc6lb7ALc1HISRVNpsOSw&#10;UGBDi4Kyan80CrabtRl9nqe7nz9X9YcPyiZx7JQaPvbvbyA89f4evrVXWsELXK+EGyD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oHzsNMYAAADaAAAADwAAAAAAAAAAAAAA&#10;AACfAgAAZHJzL2Rvd25yZXYueG1sUEsFBgAAAAAEAAQA9wAAAJIDAAAAAA==&#10;">
                  <v:imagedata r:id="rId17" o:title=""/>
                </v:shape>
                <v:rect id="Rectangle 8" o:spid="_x0000_s1032" style="position:absolute;left:15849;top:10464;width:426;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
                          <w:rPr>
                            <w:rFonts w:ascii="Arial" w:hAnsi="Arial"/>
                            <w:color w:val="000000"/>
                            <w:sz w:val="24"/>
                            <w:szCs w:val="24"/>
                          </w:rPr>
                          <w:t xml:space="preserve"> </w:t>
                        </w:r>
                      </w:p>
                    </w:txbxContent>
                  </v:textbox>
                </v:rect>
                <v:rect id="Rectangle 9" o:spid="_x0000_s1033" style="position:absolute;left:16814;top:8794;width:9582;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
                          <w:rPr>
                            <w:rFonts w:ascii="Arial" w:hAnsi="Arial"/>
                            <w:color w:val="000000"/>
                          </w:rPr>
                          <w:t>ЕВРОПЕЙСКА</w:t>
                        </w:r>
                      </w:p>
                    </w:txbxContent>
                  </v:textbox>
                </v:rect>
                <v:rect id="Rectangle 10" o:spid="_x0000_s1034" style="position:absolute;left:24936;top:8731;width:425;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
                          <w:rPr>
                            <w:rFonts w:ascii="Arial" w:hAnsi="Arial"/>
                            <w:color w:val="000000"/>
                            <w:sz w:val="24"/>
                            <w:szCs w:val="24"/>
                          </w:rPr>
                          <w:t xml:space="preserve"> </w:t>
                        </w:r>
                      </w:p>
                    </w:txbxContent>
                  </v:textbox>
                </v:rect>
                <v:rect id="Rectangle 11" o:spid="_x0000_s1035" style="position:absolute;left:16814;top:10471;width:7093;height:31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
                          <w:rPr>
                            <w:rFonts w:ascii="Arial" w:hAnsi="Arial"/>
                            <w:color w:val="000000"/>
                          </w:rPr>
                          <w:t>КОМИСИЯ</w:t>
                        </w:r>
                      </w:p>
                    </w:txbxContent>
                  </v:textbox>
                </v:rect>
                <v:rect id="Rectangle 12" o:spid="_x0000_s1036" style="position:absolute;left:26295;top:10471;width:39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
                          <w:rPr>
                            <w:rFonts w:ascii="Arial" w:hAnsi="Arial"/>
                            <w:color w:val="000000"/>
                          </w:rPr>
                          <w:t xml:space="preserve"> </w:t>
                        </w:r>
                      </w:p>
                    </w:txbxContent>
                  </v:textbox>
                </v:rect>
                <v:rect id="Rectangle 13" o:spid="_x0000_s1037" style="position:absolute;left:56521;top:10471;width:39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
                          <w:rPr>
                            <w:rFonts w:ascii="Arial" w:hAnsi="Arial"/>
                            <w:color w:val="000000"/>
                          </w:rPr>
                          <w:t xml:space="preserve"> </w:t>
                        </w:r>
                      </w:p>
                    </w:txbxContent>
                  </v:textbox>
                </v:rect>
                <v:rect id="Rectangle 14" o:spid="_x0000_s1038" style="position:absolute;left:32181;top:18611;width:6014;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
                          <w:rPr>
                            <w:rFonts w:ascii="Times New Roman" w:hAnsi="Times New Roman"/>
                            <w:color w:val="000000"/>
                            <w:sz w:val="24"/>
                            <w:szCs w:val="24"/>
                          </w:rPr>
                          <w:t xml:space="preserve">Брюксел, </w:t>
                        </w:r>
                      </w:p>
                    </w:txbxContent>
                  </v:textbox>
                </v:rect>
                <v:rect id="Rectangle 15" o:spid="_x0000_s1039" style="position:absolute;left:38042;top:18611;width:330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
                          <w:rPr>
                            <w:rFonts w:ascii="Times New Roman" w:hAnsi="Times New Roman"/>
                            <w:color w:val="FF0000"/>
                            <w:sz w:val="24"/>
                            <w:szCs w:val="24"/>
                          </w:rPr>
                          <w:t>XXX</w:t>
                        </w:r>
                      </w:p>
                    </w:txbxContent>
                  </v:textbox>
                </v:rect>
                <v:rect id="Rectangle 16" o:spid="_x0000_s1040" style="position:absolute;left:41319;top:18611;width:387;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
                          <w:rPr>
                            <w:rFonts w:ascii="Times New Roman" w:hAnsi="Times New Roman"/>
                            <w:color w:val="000000"/>
                            <w:sz w:val="24"/>
                            <w:szCs w:val="24"/>
                          </w:rPr>
                          <w:t xml:space="preserve"> </w:t>
                        </w:r>
                      </w:p>
                    </w:txbxContent>
                  </v:textbox>
                </v:rect>
                <v:rect id="Rectangle 17" o:spid="_x0000_s1041" style="position:absolute;left:41713;top:18611;width:387;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
                          <w:rPr>
                            <w:rFonts w:ascii="Times New Roman" w:hAnsi="Times New Roman"/>
                            <w:color w:val="000000"/>
                            <w:sz w:val="24"/>
                            <w:szCs w:val="24"/>
                          </w:rPr>
                          <w:t xml:space="preserve"> </w:t>
                        </w:r>
                      </w:p>
                    </w:txbxContent>
                  </v:textbox>
                </v:rect>
                <v:rect id="Rectangle 18" o:spid="_x0000_s1042" style="position:absolute;left:32181;top:20345;width:2540;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
                          <w:rPr>
                            <w:rFonts w:ascii="Times New Roman" w:hAnsi="Times New Roman"/>
                            <w:color w:val="FF0000"/>
                            <w:sz w:val="24"/>
                            <w:szCs w:val="24"/>
                          </w:rPr>
                          <w:t>[…]</w:t>
                        </w:r>
                      </w:p>
                    </w:txbxContent>
                  </v:textbox>
                </v:rect>
                <v:rect id="Rectangle 19" o:spid="_x0000_s1043" style="position:absolute;left:34721;top:20345;width:545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
                          <w:rPr>
                            <w:rFonts w:ascii="Times New Roman" w:hAnsi="Times New Roman"/>
                            <w:color w:val="000000"/>
                            <w:sz w:val="24"/>
                            <w:szCs w:val="24"/>
                          </w:rPr>
                          <w:t xml:space="preserve">(2020 г.) </w:t>
                        </w:r>
                      </w:p>
                    </w:txbxContent>
                  </v:textbox>
                </v:rect>
                <v:rect id="Rectangle 20" o:spid="_x0000_s1044" style="position:absolute;left:39116;top:20345;width:3302;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
                          <w:rPr>
                            <w:rFonts w:ascii="Times New Roman" w:hAnsi="Times New Roman"/>
                            <w:color w:val="FF0000"/>
                            <w:sz w:val="24"/>
                            <w:szCs w:val="24"/>
                          </w:rPr>
                          <w:t>XXX</w:t>
                        </w:r>
                      </w:p>
                    </w:txbxContent>
                  </v:textbox>
                </v:rect>
                <v:rect id="Rectangle 21" o:spid="_x0000_s1045" style="position:absolute;left:42373;top:20345;width:38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
                          <w:rPr>
                            <w:rFonts w:ascii="Times New Roman" w:hAnsi="Times New Roman"/>
                            <w:color w:val="000000"/>
                            <w:sz w:val="24"/>
                            <w:szCs w:val="24"/>
                          </w:rPr>
                          <w:t xml:space="preserve"> </w:t>
                        </w:r>
                      </w:p>
                    </w:txbxContent>
                  </v:textbox>
                </v:rect>
                <v:rect id="Rectangle 22" o:spid="_x0000_s1046" style="position:absolute;left:42754;top:20345;width:6585;height:32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
                          <w:rPr>
                            <w:rFonts w:ascii="Times New Roman" w:hAnsi="Times New Roman"/>
                            <w:color w:val="000000"/>
                            <w:sz w:val="24"/>
                            <w:szCs w:val="24"/>
                          </w:rPr>
                          <w:t>Проект на</w:t>
                        </w:r>
                      </w:p>
                    </w:txbxContent>
                  </v:textbox>
                </v:rect>
                <v:rect id="Rectangle 23" o:spid="_x0000_s1047" style="position:absolute;left:45605;top:20345;width:38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
                          <w:rPr>
                            <w:rFonts w:ascii="Times New Roman" w:hAnsi="Times New Roman"/>
                            <w:color w:val="000000"/>
                            <w:sz w:val="24"/>
                            <w:szCs w:val="24"/>
                          </w:rPr>
                          <w:t xml:space="preserve"> </w:t>
                        </w:r>
                      </w:p>
                    </w:txbxContent>
                  </v:textbox>
                </v:rect>
                <v:rect id="Rectangle 24" o:spid="_x0000_s1048" style="position:absolute;left:32181;top:25114;width:515;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
                          <w:rPr>
                            <w:rFonts w:ascii="Times New Roman" w:hAnsi="Times New Roman"/>
                            <w:i/>
                            <w:iCs/>
                            <w:color w:val="000000"/>
                            <w:sz w:val="32"/>
                            <w:szCs w:val="32"/>
                          </w:rPr>
                          <w:t xml:space="preserve"> </w:t>
                        </w:r>
                      </w:p>
                    </w:txbxContent>
                  </v:textbox>
                </v:rect>
                <v:rect id="Rectangle 25" o:spid="_x0000_s1049" style="position:absolute;left:514;top:27919;width:74880;height:3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P7cUA&#10;AADbAAAADwAAAGRycy9kb3ducmV2LnhtbESPQWvCQBSE7wX/w/IEL0U3Blo0zUZEEDwIxbQHvT2y&#10;r9m02bchu5rYX98tFHocZuYbJt+MthU36n3jWMFykYAgrpxuuFbw/rafr0D4gKyxdUwK7uRhU0we&#10;csy0G/hEtzLUIkLYZ6jAhNBlUvrKkEW/cB1x9D5cbzFE2ddS9zhEuG1lmiTP0mLDccFgRztD1Vd5&#10;tQr2r+eG+FueHterwX1W6aU0x06p2XTcvoAINIb/8F/7oBWkT/D7Jf4AW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D8/txQAAANsAAAAPAAAAAAAAAAAAAAAAAJgCAABkcnMv&#10;ZG93bnJldi54bWxQSwUGAAAAAAQABAD1AAAAigMAAAAA&#10;" filled="f" stroked="f">
                  <v:textbox style="mso-fit-shape-to-text:t" inset="0,0,0,0">
                    <w:txbxContent>
                      <w:p>
                        <w:pPr>
                          <w:jc w:val="center"/>
                        </w:pPr>
                        <w:r>
                          <w:rPr>
                            <w:rFonts w:ascii="Times New Roman" w:hAnsi="Times New Roman"/>
                            <w:b/>
                            <w:bCs/>
                            <w:color w:val="000000"/>
                            <w:sz w:val="24"/>
                            <w:szCs w:val="24"/>
                          </w:rPr>
                          <w:t>ДОКЛАД НА КОМИСИЯТА ДО ЕВРОПЕЙСКИЯ ПАРЛАМЕНТ И СЪВЕТА</w:t>
                        </w:r>
                      </w:p>
                    </w:txbxContent>
                  </v:textbox>
                </v:rect>
                <v:rect id="Rectangle 26" o:spid="_x0000_s1050" style="position:absolute;left:23279;top:3293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txbxContent>
                  </v:textbox>
                </v:rect>
                <v:rect id="Rectangle 27" o:spid="_x0000_s1051" style="position:absolute;left:33966;top:32931;width:38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
                          <w:rPr>
                            <w:rFonts w:ascii="Times New Roman" w:hAnsi="Times New Roman"/>
                            <w:b/>
                            <w:bCs/>
                            <w:color w:val="000000"/>
                            <w:sz w:val="24"/>
                            <w:szCs w:val="24"/>
                          </w:rPr>
                          <w:t xml:space="preserve"> </w:t>
                        </w:r>
                      </w:p>
                    </w:txbxContent>
                  </v:textbox>
                </v:rect>
                <v:rect id="Rectangle 28" o:spid="_x0000_s1052" style="position:absolute;left:228;top:36899;width:8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txbxContent>
                  </v:textbox>
                </v:rect>
                <v:rect id="Rectangle 29" o:spid="_x0000_s1053" style="position:absolute;left:17526;top:36899;width:469;height:34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
                          <w:rPr>
                            <w:rFonts w:ascii="Calibri" w:hAnsi="Calibri"/>
                            <w:b/>
                            <w:bCs/>
                            <w:color w:val="000000"/>
                            <w:sz w:val="24"/>
                            <w:szCs w:val="24"/>
                          </w:rPr>
                          <w:t>-</w:t>
                        </w:r>
                      </w:p>
                    </w:txbxContent>
                  </v:textbox>
                </v:rect>
                <v:rect id="Rectangle 30" o:spid="_x0000_s1054" style="position:absolute;left:6954;top:35864;width:57315;height:84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pPr>
                          <w:spacing w:after="0" w:line="240" w:lineRule="auto"/>
                          <w:jc w:val="center"/>
                          <w:rPr>
                            <w:rFonts w:ascii="Times New Roman" w:hAnsi="Times New Roman"/>
                            <w:b/>
                            <w:sz w:val="24"/>
                            <w:szCs w:val="24"/>
                          </w:rPr>
                        </w:pPr>
                        <w:r>
                          <w:rPr>
                            <w:rFonts w:ascii="Times New Roman" w:hAnsi="Times New Roman"/>
                            <w:b/>
                            <w:sz w:val="24"/>
                            <w:szCs w:val="24"/>
                          </w:rPr>
                          <w:t>относно прегледите, които се изискват съгласно член 19, параграф 1 от Регламент 2017/852, във връзка с използването на живак в денталната амалгама и денталните продукти</w:t>
                        </w:r>
                      </w:p>
                      <w:p/>
                    </w:txbxContent>
                  </v:textbox>
                </v:rect>
                <v:rect id="Rectangle 32" o:spid="_x0000_s1055" style="position:absolute;left:43522;top:38798;width:388;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
                          <w:rPr>
                            <w:rFonts w:ascii="Times New Roman" w:hAnsi="Times New Roman"/>
                            <w:b/>
                            <w:bCs/>
                            <w:color w:val="000000"/>
                            <w:sz w:val="24"/>
                            <w:szCs w:val="24"/>
                          </w:rPr>
                          <w:t xml:space="preserve"> </w:t>
                        </w:r>
                      </w:p>
                    </w:txbxContent>
                  </v:textbox>
                </v:rect>
                <v:rect id="Rectangle 33" o:spid="_x0000_s1056" style="position:absolute;left:28619;top:40614;width:38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
                          <w:rPr>
                            <w:rFonts w:ascii="Times New Roman" w:hAnsi="Times New Roman"/>
                            <w:b/>
                            <w:bCs/>
                            <w:color w:val="000000"/>
                            <w:sz w:val="24"/>
                            <w:szCs w:val="24"/>
                          </w:rPr>
                          <w:t xml:space="preserve"> </w:t>
                        </w:r>
                      </w:p>
                    </w:txbxContent>
                  </v:textbox>
                </v:rect>
                <v:rect id="Rectangle 34" o:spid="_x0000_s1057" style="position:absolute;left:28619;top:42348;width:387;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
                          <w:rPr>
                            <w:rFonts w:ascii="Times New Roman" w:hAnsi="Times New Roman"/>
                            <w:b/>
                            <w:bCs/>
                            <w:color w:val="000000"/>
                            <w:sz w:val="24"/>
                            <w:szCs w:val="24"/>
                          </w:rPr>
                          <w:t xml:space="preserve"> </w:t>
                        </w:r>
                      </w:p>
                    </w:txbxContent>
                  </v:textbox>
                </v:rect>
              </v:group>
            </w:pict>
          </mc:Fallback>
        </mc:AlternateContent>
      </w:r>
      <w:r>
        <w:rPr>
          <w:rFonts w:ascii="Times New Roman" w:hAnsi="Times New Roman"/>
          <w:b/>
          <w:i/>
          <w:noProof/>
          <w:sz w:val="24"/>
          <w:szCs w:val="24"/>
        </w:rPr>
        <w:t>Едностранна забрана за ЕС на производството и износа</w:t>
      </w:r>
    </w:p>
    <w:p>
      <w:pPr>
        <w:spacing w:after="0" w:line="240" w:lineRule="auto"/>
        <w:jc w:val="both"/>
        <w:rPr>
          <w:rFonts w:ascii="Times New Roman" w:hAnsi="Times New Roman" w:cs="Times New Roman"/>
          <w:b/>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Потенциалното въздействие на по-широка забрана за ЕС на производството и износа беше обсъдено по време на процедурата за съвместно вземане на решение относно Регламента. Комисията представи своята първоначална оценка в рамките на гореспоменатия доклад за оценка, придружаващ нейното предложение. Тя беше допълнена по време на процедурата за съвместно вземане на решение с информационен документ, обобщаващ допълнителната оценка, която е била направена с помощта на консултант</w:t>
      </w:r>
      <w:r>
        <w:rPr>
          <w:rFonts w:ascii="Times New Roman" w:hAnsi="Times New Roman" w:cs="Times New Roman"/>
          <w:noProof/>
          <w:sz w:val="24"/>
          <w:szCs w:val="24"/>
          <w:vertAlign w:val="superscript"/>
        </w:rPr>
        <w:footnoteReference w:id="25"/>
      </w:r>
      <w:r>
        <w:rPr>
          <w:rFonts w:ascii="Times New Roman" w:hAnsi="Times New Roman"/>
          <w:noProof/>
          <w:sz w:val="24"/>
          <w:szCs w:val="24"/>
        </w:rPr>
        <w:t>, относно някои батерии, неелектронни измервателни устройства и лампи. Комисията представи този информационен документ пред Европейския парламент и Съвета и го направи публично достояние. Заключенията бяха следните:</w:t>
      </w:r>
    </w:p>
    <w:p>
      <w:pPr>
        <w:spacing w:after="0" w:line="240" w:lineRule="auto"/>
        <w:jc w:val="both"/>
        <w:rPr>
          <w:rFonts w:ascii="Times New Roman" w:hAnsi="Times New Roman" w:cs="Times New Roman"/>
          <w:noProof/>
          <w:sz w:val="24"/>
          <w:szCs w:val="24"/>
        </w:rPr>
      </w:pPr>
    </w:p>
    <w:p>
      <w:pPr>
        <w:numPr>
          <w:ilvl w:val="0"/>
          <w:numId w:val="3"/>
        </w:numPr>
        <w:spacing w:after="0" w:line="240" w:lineRule="auto"/>
        <w:contextualSpacing/>
        <w:jc w:val="both"/>
        <w:rPr>
          <w:rFonts w:ascii="Times New Roman" w:hAnsi="Times New Roman" w:cs="Times New Roman"/>
          <w:noProof/>
          <w:sz w:val="24"/>
          <w:szCs w:val="24"/>
        </w:rPr>
      </w:pPr>
      <w:r>
        <w:rPr>
          <w:rFonts w:ascii="Times New Roman" w:hAnsi="Times New Roman"/>
          <w:noProof/>
          <w:sz w:val="24"/>
          <w:szCs w:val="24"/>
        </w:rPr>
        <w:t>По отношение на батериите и неелектронните измервателни устройства, чието пускане на пазара на ЕС не е разрешено, в ЕС има ограничено или почти несъществуващо производство. Следователно прилагането на предлаганата забрана за производство и износ на тези продукти не би оказало преки ползи за околната среда, нито икономическо въздействие;</w:t>
      </w:r>
    </w:p>
    <w:p>
      <w:pPr>
        <w:spacing w:after="0" w:line="240" w:lineRule="auto"/>
        <w:ind w:left="720"/>
        <w:contextualSpacing/>
        <w:jc w:val="both"/>
        <w:rPr>
          <w:rFonts w:ascii="Times New Roman" w:eastAsia="Times New Roman" w:hAnsi="Times New Roman" w:cs="Times New Roman"/>
          <w:noProof/>
          <w:sz w:val="24"/>
          <w:szCs w:val="24"/>
        </w:rPr>
      </w:pPr>
    </w:p>
    <w:p>
      <w:pPr>
        <w:numPr>
          <w:ilvl w:val="0"/>
          <w:numId w:val="3"/>
        </w:numPr>
        <w:spacing w:after="0" w:line="240" w:lineRule="auto"/>
        <w:contextualSpacing/>
        <w:jc w:val="both"/>
        <w:rPr>
          <w:rFonts w:ascii="Times New Roman" w:eastAsia="Times New Roman" w:hAnsi="Times New Roman" w:cs="Times New Roman"/>
          <w:noProof/>
          <w:sz w:val="24"/>
          <w:szCs w:val="24"/>
        </w:rPr>
      </w:pPr>
      <w:r>
        <w:rPr>
          <w:rFonts w:ascii="Times New Roman" w:hAnsi="Times New Roman"/>
          <w:noProof/>
          <w:sz w:val="24"/>
          <w:szCs w:val="24"/>
        </w:rPr>
        <w:t xml:space="preserve">Положението е различно при някои живачни лампи, които са предмет на производство или износ от ЕС, по-специално халофосфатни лампи. При липса на износ от ЕС търсенето в трети държави би останало без промяна, заради ценовите разлики между живачните лампи и безживачните алтернативи. Освен това производителите, които са локализирани в трети държави, биха увеличили своето предлагане, за да отговорят на търсенето. Следователно прилагането на предложената забрана за износ спрямо тези живачни лампи (1) може да доведе до неблагоприятно въздействие върху околната среда поради повишаването на глобалните емисии на живак от трети държави производители, които не биха били обект на толкова строг контрол на замърсяването, както в ЕС, и (2) би засегнало около 8 % от промишлеността за производство на лампи в ЕС, което би се отразило върху работните места и приходите. </w:t>
      </w:r>
    </w:p>
    <w:p>
      <w:pPr>
        <w:spacing w:after="0" w:line="240" w:lineRule="auto"/>
        <w:ind w:left="360"/>
        <w:jc w:val="both"/>
        <w:rPr>
          <w:rFonts w:ascii="Times New Roman" w:hAnsi="Times New Roman" w:cs="Times New Roman"/>
          <w:noProof/>
          <w:sz w:val="24"/>
          <w:szCs w:val="24"/>
        </w:rPr>
      </w:pPr>
    </w:p>
    <w:p>
      <w:pPr>
        <w:spacing w:after="0" w:line="240" w:lineRule="auto"/>
        <w:jc w:val="both"/>
        <w:rPr>
          <w:rFonts w:ascii="Times New Roman" w:hAnsi="Times New Roman" w:cs="Times New Roman"/>
          <w:b/>
          <w:bCs/>
          <w:noProof/>
          <w:sz w:val="24"/>
          <w:szCs w:val="24"/>
        </w:rPr>
      </w:pPr>
      <w:r>
        <w:rPr>
          <w:rFonts w:ascii="Times New Roman" w:hAnsi="Times New Roman"/>
          <w:noProof/>
          <w:sz w:val="24"/>
          <w:szCs w:val="24"/>
        </w:rPr>
        <w:t xml:space="preserve">Въз основа на тази оценка законодателят включи в Регламента забрана за износ, която е в сила за съответните батерии, неелектронни измервателни уреди и няколко вида лампи, в които не се включват халофосфатните лампи. Комисията поръча извършване на проучване относно </w:t>
      </w:r>
      <w:hyperlink r:id="rId18" w:tgtFrame="_blank" w:history="1">
        <w:r>
          <w:rPr>
            <w:rStyle w:val="Hyperlink"/>
            <w:rFonts w:ascii="Times New Roman" w:hAnsi="Times New Roman"/>
            <w:bCs/>
            <w:noProof/>
            <w:color w:val="auto"/>
            <w:sz w:val="24"/>
            <w:szCs w:val="24"/>
          </w:rPr>
          <w:t>продуктите с добавен живак и техните алтернативи</w:t>
        </w:r>
      </w:hyperlink>
      <w:r>
        <w:rPr>
          <w:rStyle w:val="FootnoteReference"/>
          <w:rFonts w:ascii="Times New Roman" w:hAnsi="Times New Roman"/>
          <w:noProof/>
          <w:sz w:val="24"/>
          <w:szCs w:val="24"/>
        </w:rPr>
        <w:footnoteReference w:id="26"/>
      </w:r>
      <w:r>
        <w:rPr>
          <w:rFonts w:ascii="Times New Roman" w:hAnsi="Times New Roman"/>
          <w:noProof/>
          <w:sz w:val="24"/>
          <w:szCs w:val="24"/>
        </w:rPr>
        <w:t>.</w:t>
      </w:r>
    </w:p>
    <w:p>
      <w:pPr>
        <w:spacing w:after="0" w:line="240" w:lineRule="auto"/>
        <w:contextualSpacing/>
        <w:jc w:val="both"/>
        <w:rPr>
          <w:rFonts w:ascii="Times New Roman" w:hAnsi="Times New Roman" w:cs="Times New Roman"/>
          <w:noProof/>
          <w:sz w:val="24"/>
          <w:szCs w:val="24"/>
        </w:rPr>
      </w:pPr>
    </w:p>
    <w:p>
      <w:pPr>
        <w:spacing w:after="0" w:line="240"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Основно предизвикателство, с което се сблъска изпълнителят, беше недостигът на информация относно пазарите на продукти с добавен живак в трети държави. Това ограничава този преглед до качествена оценка на ползите за околната среда, изготвена въз основа на същите съображения както тези в гореспоменатия информационен документ на Комисията. Докато съществува международно търсене, има вероятност производителите в трети държави да увеличат производството, за да отговорят на търсенето, което вече не се задоволява от износа от ЕС. Следователно въздействието върху околната среда от едностранна забрана в ЕС е неопределено. То би могло да е положително, ако доведе до намалена употреба на живака в световен мащаб. Въпреки това въздействието би могло да е отрицателно, ако емисиите от вероятно по-слабо контролирани производствени мощности, разположени в трети държави, се увеличат. </w:t>
      </w:r>
    </w:p>
    <w:p>
      <w:pPr>
        <w:spacing w:after="0" w:line="240" w:lineRule="auto"/>
        <w:contextualSpacing/>
        <w:jc w:val="both"/>
        <w:rPr>
          <w:rFonts w:ascii="Times New Roman" w:hAnsi="Times New Roman" w:cs="Times New Roman"/>
          <w:noProof/>
          <w:sz w:val="24"/>
          <w:szCs w:val="24"/>
        </w:rPr>
      </w:pPr>
    </w:p>
    <w:p>
      <w:pPr>
        <w:spacing w:after="0" w:line="240" w:lineRule="auto"/>
        <w:jc w:val="both"/>
        <w:rPr>
          <w:rFonts w:ascii="Times New Roman" w:eastAsia="Times New Roman" w:hAnsi="Times New Roman" w:cs="Times New Roman"/>
          <w:b/>
          <w:i/>
          <w:noProof/>
          <w:sz w:val="24"/>
          <w:szCs w:val="24"/>
        </w:rPr>
      </w:pPr>
      <w:r>
        <w:rPr>
          <w:rFonts w:ascii="Times New Roman" w:hAnsi="Times New Roman"/>
          <w:b/>
          <w:i/>
          <w:noProof/>
          <w:sz w:val="24"/>
          <w:szCs w:val="24"/>
        </w:rPr>
        <w:t>Глобална забрана съгласно Конвенцията и следващи стъпки</w:t>
      </w:r>
    </w:p>
    <w:p>
      <w:pPr>
        <w:spacing w:after="0" w:line="240" w:lineRule="auto"/>
        <w:jc w:val="both"/>
        <w:rPr>
          <w:rFonts w:ascii="Times New Roman" w:eastAsia="Times New Roman" w:hAnsi="Times New Roman" w:cs="Times New Roman"/>
          <w:b/>
          <w:noProof/>
          <w:sz w:val="24"/>
          <w:szCs w:val="24"/>
          <w:lang w:eastAsia="en-GB"/>
        </w:rPr>
      </w:pPr>
    </w:p>
    <w:p>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t>По времето на приемането на Регламента Комисията заяви, че „</w:t>
      </w:r>
      <w:r>
        <w:rPr>
          <w:rFonts w:ascii="Times New Roman" w:hAnsi="Times New Roman"/>
          <w:i/>
          <w:noProof/>
          <w:sz w:val="24"/>
          <w:szCs w:val="24"/>
        </w:rPr>
        <w:t>се ангажира да подкрепя продължаващото сътрудничество съгласно</w:t>
      </w:r>
      <w:r>
        <w:rPr>
          <w:rFonts w:ascii="Times New Roman" w:hAnsi="Times New Roman"/>
          <w:noProof/>
          <w:sz w:val="24"/>
          <w:szCs w:val="24"/>
        </w:rPr>
        <w:t xml:space="preserve"> </w:t>
      </w:r>
      <w:r>
        <w:rPr>
          <w:rFonts w:ascii="Times New Roman" w:hAnsi="Times New Roman"/>
          <w:i/>
          <w:noProof/>
          <w:sz w:val="24"/>
          <w:szCs w:val="24"/>
        </w:rPr>
        <w:t>Конвенцията и при спазване на приложимите политики, правила и процедури на ЕС, с оглед намаляване на различията между правото на ЕС и разпоредбите на Конвенцията</w:t>
      </w:r>
      <w:r>
        <w:rPr>
          <w:rFonts w:ascii="Times New Roman" w:hAnsi="Times New Roman"/>
          <w:noProof/>
          <w:sz w:val="24"/>
          <w:szCs w:val="24"/>
        </w:rPr>
        <w:t>“.</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Оттогава Комисията отбеляза напредък в преговорите относно извършване на преглед на списъка на продуктите, които подлежат на регулация съгласно Конвенцията. В член 4, параграф 8 от Конвенцията се изисква конференция на страните (COP) да преразгледа приложение А до август 2022 г. Конференцията на страните стартира този преглед по време на своето трето заседание</w:t>
      </w:r>
      <w:r>
        <w:rPr>
          <w:rFonts w:ascii="Times New Roman" w:hAnsi="Times New Roman" w:cs="Times New Roman"/>
          <w:noProof/>
          <w:sz w:val="24"/>
          <w:szCs w:val="24"/>
          <w:vertAlign w:val="superscript"/>
        </w:rPr>
        <w:footnoteReference w:id="27"/>
      </w:r>
      <w:r>
        <w:rPr>
          <w:rFonts w:ascii="Times New Roman" w:hAnsi="Times New Roman"/>
          <w:noProof/>
          <w:sz w:val="24"/>
          <w:szCs w:val="24"/>
        </w:rPr>
        <w:t xml:space="preserve"> и покани страните да представят информация, която да бъде анализирана от експертна група. Това ще послужи като основа за страните да предложат изменения на приложение А за разглеждане по време на четвъртото заседание на конференцията на страните (ноември 2021 г.).</w:t>
      </w:r>
    </w:p>
    <w:p>
      <w:pPr>
        <w:spacing w:after="0" w:line="240" w:lineRule="auto"/>
        <w:jc w:val="both"/>
        <w:rPr>
          <w:rFonts w:ascii="Times New Roman" w:hAnsi="Times New Roman" w:cs="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ЕС играе водеща роля в този преглед. Въз основа на гореспоменатото проучване относно продуктите с добавен живак и техните алтернативи ЕС направи обширно представяне пред секретариата на Конвенцията в подкрепа на процеса на преглед</w:t>
      </w:r>
      <w:r>
        <w:rPr>
          <w:rStyle w:val="FootnoteReference"/>
          <w:rFonts w:ascii="Times New Roman" w:hAnsi="Times New Roman" w:cs="Times New Roman"/>
          <w:noProof/>
          <w:sz w:val="24"/>
          <w:szCs w:val="24"/>
        </w:rPr>
        <w:footnoteReference w:id="28"/>
      </w:r>
      <w:r>
        <w:rPr>
          <w:rFonts w:ascii="Times New Roman" w:hAnsi="Times New Roman"/>
          <w:noProof/>
          <w:sz w:val="24"/>
          <w:szCs w:val="24"/>
        </w:rPr>
        <w:t xml:space="preserve">. В началото на 2021 г. Комисията ще подготви проект за изменения на приложение А към Конвенцията, които ще бъдат предложени от ЕС. Основната цел ще бъде да се намалят различията между </w:t>
      </w:r>
      <w:r>
        <w:rPr>
          <w:rFonts w:ascii="Times New Roman" w:hAnsi="Times New Roman"/>
          <w:i/>
          <w:noProof/>
          <w:sz w:val="24"/>
          <w:szCs w:val="24"/>
        </w:rPr>
        <w:t>достиженията на правото</w:t>
      </w:r>
      <w:r>
        <w:rPr>
          <w:rFonts w:ascii="Times New Roman" w:hAnsi="Times New Roman"/>
          <w:noProof/>
          <w:sz w:val="24"/>
          <w:szCs w:val="24"/>
        </w:rPr>
        <w:t xml:space="preserve"> на ЕС и Конвенцията.</w:t>
      </w: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Тази допълнителна информация, която се очаква да стане налична като част от работата на международна експертна група, не само ще позволи по-добра оценка на осъществимостта на въвеждането на забрана съгласно международното право, но също така ще подобри разбирането за въздействието на потенциална едностранна забрана от страна на ЕС на производството и износа на тези продукти.</w:t>
      </w:r>
    </w:p>
    <w:p>
      <w:pPr>
        <w:spacing w:after="0" w:line="240" w:lineRule="auto"/>
        <w:jc w:val="both"/>
        <w:rPr>
          <w:rFonts w:ascii="Times New Roman" w:hAnsi="Times New Roman" w:cs="Times New Roman"/>
          <w:noProof/>
          <w:sz w:val="24"/>
          <w:szCs w:val="24"/>
        </w:rPr>
      </w:pPr>
    </w:p>
    <w:p>
      <w:pPr>
        <w:numPr>
          <w:ilvl w:val="0"/>
          <w:numId w:val="1"/>
        </w:numPr>
        <w:spacing w:after="0" w:line="240" w:lineRule="auto"/>
        <w:contextualSpacing/>
        <w:jc w:val="both"/>
        <w:rPr>
          <w:rFonts w:ascii="Times New Roman Bold" w:hAnsi="Times New Roman Bold"/>
          <w:b/>
          <w:caps/>
          <w:noProof/>
          <w:sz w:val="24"/>
          <w:szCs w:val="24"/>
        </w:rPr>
      </w:pPr>
      <w:r>
        <w:rPr>
          <w:noProof/>
        </w:rPr>
        <w:br w:type="page"/>
      </w:r>
    </w:p>
    <w:p>
      <w:pPr>
        <w:numPr>
          <w:ilvl w:val="0"/>
          <w:numId w:val="1"/>
        </w:numPr>
        <w:spacing w:after="0" w:line="240" w:lineRule="auto"/>
        <w:contextualSpacing/>
        <w:jc w:val="both"/>
        <w:rPr>
          <w:rFonts w:ascii="Times New Roman" w:hAnsi="Times New Roman"/>
          <w:noProof/>
          <w:sz w:val="24"/>
          <w:szCs w:val="24"/>
        </w:rPr>
      </w:pPr>
      <w:r>
        <w:rPr>
          <w:rFonts w:ascii="Times New Roman Bold" w:hAnsi="Times New Roman Bold"/>
          <w:b/>
          <w:caps/>
          <w:noProof/>
          <w:sz w:val="24"/>
          <w:szCs w:val="24"/>
        </w:rPr>
        <w:t>Заключения и следващи стъпки</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Живакът все още се използва и причинява трайно замърсяване, което засяга човешкото здраве и околната среда в световен мащаб, по-специално чрез замърсяване на хранителната верига. По тази причина ЕС вече повече от десетилетие успешно се стреми, на равнище ЕС и на международно равнище, към преустановяване на използването на живак и намаляване на неговите емисии в околната среда.</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noProof/>
          <w:sz w:val="24"/>
          <w:szCs w:val="24"/>
        </w:rPr>
      </w:pPr>
      <w:r>
        <w:rPr>
          <w:rFonts w:ascii="Times New Roman" w:hAnsi="Times New Roman"/>
          <w:noProof/>
          <w:sz w:val="24"/>
          <w:szCs w:val="24"/>
        </w:rPr>
        <w:t>Направеният преглед ясно показва, че постепенното прекратяване на употребата на дентална амалгама – последната останала най-значима употреба на живак в ЕС, е технически и икономически осъществимо преди 2030 г. Следователно през 2022 г. Комисията ще представи на Европейския парламент и на Комисията законодателно предложение за постепенно прекратяване на употребата на дентална амалгама. Подготвителната работа ще включва оценка на необходимостта от съпътстващи мерки, като намаляване на емисиите на живак, свързани с използването на дентална амалгама, и подобряване на наличността на информация относно безживачните зъбни пломби.</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В допълнение към продължаващата работа за постепенното прекратяване на употребата на продукти с добавен живак на вътрешния пазар на ЕС</w:t>
      </w:r>
      <w:r>
        <w:rPr>
          <w:rFonts w:ascii="Times New Roman" w:hAnsi="Times New Roman"/>
          <w:i/>
          <w:noProof/>
          <w:sz w:val="24"/>
          <w:szCs w:val="24"/>
        </w:rPr>
        <w:t xml:space="preserve">, </w:t>
      </w:r>
      <w:r>
        <w:rPr>
          <w:rFonts w:ascii="Times New Roman" w:hAnsi="Times New Roman"/>
          <w:noProof/>
          <w:sz w:val="24"/>
          <w:szCs w:val="24"/>
        </w:rPr>
        <w:t>ЕС ще взема активно участие в международните преговори за разширяване на списъка на продуктите с добавен живак, които подлежат на регулация съгласно Конвенцията. Основната цел ще бъде да се добавят в нейното приложение А продуктите с добавен живак, чието пускане на вътрешния пазар на ЕС е забранено.</w:t>
      </w:r>
      <w:r>
        <w:rPr>
          <w:noProof/>
          <w:sz w:val="24"/>
          <w:szCs w:val="24"/>
        </w:rPr>
        <w:t xml:space="preserve"> </w:t>
      </w:r>
      <w:r>
        <w:rPr>
          <w:rFonts w:ascii="Times New Roman" w:hAnsi="Times New Roman"/>
          <w:noProof/>
          <w:sz w:val="24"/>
          <w:szCs w:val="24"/>
        </w:rPr>
        <w:t>В контекста на постигнатия напредък Комисията ще направи оценка на необходимостта от по-нататъшната работа на равнище ЕС за забрана не само на пускането на пазара, но и на производството и износа на определени продукти с добавен живак, чрез изменение на приложение II към Регламента.</w:t>
      </w:r>
    </w:p>
    <w:p>
      <w:pPr>
        <w:spacing w:after="0" w:line="240" w:lineRule="auto"/>
        <w:jc w:val="both"/>
        <w:rPr>
          <w:rFonts w:ascii="Times New Roman" w:hAnsi="Times New Roman"/>
          <w:noProof/>
          <w:sz w:val="24"/>
          <w:szCs w:val="24"/>
        </w:rPr>
      </w:pPr>
    </w:p>
    <w:p>
      <w:pPr>
        <w:spacing w:after="0" w:line="240" w:lineRule="auto"/>
        <w:jc w:val="both"/>
        <w:rPr>
          <w:rFonts w:ascii="Times New Roman" w:hAnsi="Times New Roman" w:cs="Times New Roman"/>
          <w:noProof/>
          <w:sz w:val="24"/>
          <w:szCs w:val="24"/>
        </w:rPr>
      </w:pPr>
      <w:r>
        <w:rPr>
          <w:rFonts w:ascii="Times New Roman" w:hAnsi="Times New Roman"/>
          <w:noProof/>
          <w:sz w:val="24"/>
          <w:szCs w:val="24"/>
        </w:rPr>
        <w:t>Тези инициативи ще допринесат за осъществяването на амбицията на Европейския зелен пакт за нулево замърсяване, насочена към постигане на нетоксична околна среда.</w:t>
      </w:r>
    </w:p>
    <w:p>
      <w:pPr>
        <w:rPr>
          <w:noProof/>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40924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CoverPage"/>
      <w:rPr>
        <w:rFonts w:ascii="Arial" w:hAnsi="Arial" w:cs="Arial"/>
        <w:b/>
        <w:sz w:val="4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szCs w:val="48"/>
      </w:rPr>
    </w:pPr>
    <w:r>
      <w:rPr>
        <w:rFonts w:ascii="Arial" w:hAnsi="Arial"/>
        <w:b/>
        <w:sz w:val="48"/>
        <w:szCs w:val="48"/>
      </w:rPr>
      <w:t xml:space="preserve"> BG</w:t>
    </w:r>
    <w:r>
      <w:tab/>
    </w:r>
    <w:r>
      <w:tab/>
    </w:r>
    <w:r>
      <w:rPr>
        <w:rFonts w:ascii="Arial" w:hAnsi="Arial"/>
        <w:b/>
        <w:sz w:val="48"/>
        <w:szCs w:val="48"/>
      </w:rPr>
      <w:t>BG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w:t>
      </w:r>
      <w:r>
        <w:rPr>
          <w:rFonts w:ascii="Times New Roman" w:hAnsi="Times New Roman"/>
          <w:color w:val="444444"/>
          <w:sz w:val="20"/>
          <w:szCs w:val="20"/>
        </w:rPr>
        <w:t>COM/2005/20 и COM/2010/723.</w:t>
      </w:r>
    </w:p>
  </w:footnote>
  <w:footnote w:id="2">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Регламент (ЕС) 2017/852 на Европейския парламент и на Съвета от 17 май 2017 г. относно живака и за отмяна на Регламент (ЕО) № 1102/2008 (ОВ L 137, 24.5.2017 г., стр. 1).</w:t>
      </w:r>
    </w:p>
  </w:footnote>
  <w:footnote w:id="3">
    <w:p>
      <w:pPr>
        <w:pStyle w:val="FootnoteText"/>
      </w:pPr>
      <w:r>
        <w:rPr>
          <w:rStyle w:val="FootnoteReference"/>
          <w:rFonts w:ascii="Times New Roman" w:hAnsi="Times New Roman"/>
        </w:rPr>
        <w:footnoteRef/>
      </w:r>
      <w:r>
        <w:rPr>
          <w:rFonts w:ascii="Times New Roman" w:hAnsi="Times New Roman"/>
        </w:rPr>
        <w:t xml:space="preserve"> За целите на настоящия доклад и в съответствие с разпоредбите на приложимите инструменти на ЕС: „пускане на пазара“ означава доставяне или предоставяне на разположение, срещу заплащане или безплатно, на трета страна. Вносът се счита за пускане на пазара.</w:t>
      </w:r>
    </w:p>
  </w:footnote>
  <w:footnote w:id="4">
    <w:p>
      <w:pPr>
        <w:pStyle w:val="FootnoteText"/>
        <w:rPr>
          <w:rFonts w:ascii="Times New Roman" w:eastAsiaTheme="minorHAnsi" w:hAnsi="Times New Roman"/>
          <w:color w:val="auto"/>
        </w:rPr>
      </w:pPr>
      <w:r>
        <w:rPr>
          <w:rStyle w:val="FootnoteReference"/>
          <w:rFonts w:ascii="Times New Roman" w:hAnsi="Times New Roman"/>
          <w:color w:val="auto"/>
        </w:rPr>
        <w:footnoteRef/>
      </w:r>
      <w:r>
        <w:rPr>
          <w:rFonts w:ascii="Times New Roman" w:hAnsi="Times New Roman"/>
          <w:color w:val="auto"/>
        </w:rPr>
        <w:t xml:space="preserve"> </w:t>
      </w:r>
      <w:hyperlink r:id="rId1" w:history="1">
        <w:r>
          <w:rPr>
            <w:rStyle w:val="Hyperlink"/>
            <w:rFonts w:ascii="Times New Roman" w:hAnsi="Times New Roman"/>
            <w:color w:val="auto"/>
          </w:rPr>
          <w:t>Текст на Конвенцията Минамата</w:t>
        </w:r>
      </w:hyperlink>
      <w:r>
        <w:rPr>
          <w:rFonts w:ascii="Times New Roman" w:hAnsi="Times New Roman"/>
          <w:color w:val="auto"/>
        </w:rPr>
        <w:t>.</w:t>
      </w:r>
    </w:p>
  </w:footnote>
  <w:footnote w:id="5">
    <w:p>
      <w:pPr>
        <w:pStyle w:val="FootnoteText"/>
        <w:rPr>
          <w:rFonts w:ascii="Times New Roman" w:hAnsi="Times New Roman"/>
          <w:color w:val="auto"/>
        </w:rPr>
      </w:pPr>
      <w:r>
        <w:rPr>
          <w:rStyle w:val="FootnoteReference"/>
          <w:rFonts w:ascii="Times New Roman" w:hAnsi="Times New Roman"/>
          <w:color w:val="auto"/>
        </w:rPr>
        <w:footnoteRef/>
      </w:r>
      <w:r>
        <w:rPr>
          <w:rFonts w:ascii="Times New Roman" w:hAnsi="Times New Roman"/>
          <w:color w:val="auto"/>
        </w:rPr>
        <w:t xml:space="preserve"> Решение (ЕС) 2017/939 на Съвета от 11 май 2017 г. за сключване от името на Европейския съюз на Конвенцията Минамата относно живака (ОВ L 142, 02.06.2017 г., стр. 4).</w:t>
      </w:r>
    </w:p>
  </w:footnote>
  <w:footnote w:id="6">
    <w:p>
      <w:pPr>
        <w:spacing w:after="0" w:line="240" w:lineRule="auto"/>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sz w:val="20"/>
          <w:szCs w:val="20"/>
        </w:rPr>
        <w:t xml:space="preserve"> Съобщение от Комисията до Европейския парламент и Съвета от 11 декември 2019 г., </w:t>
      </w:r>
      <w:r>
        <w:rPr>
          <w:rFonts w:ascii="Times New Roman" w:hAnsi="Times New Roman"/>
          <w:i/>
          <w:sz w:val="20"/>
          <w:szCs w:val="20"/>
        </w:rPr>
        <w:t>Европейски зелен пакт</w:t>
      </w:r>
      <w:r>
        <w:rPr>
          <w:rFonts w:ascii="Times New Roman" w:hAnsi="Times New Roman"/>
          <w:sz w:val="20"/>
          <w:szCs w:val="20"/>
        </w:rPr>
        <w:t xml:space="preserve">, COM(2019) 640 final. </w:t>
      </w:r>
    </w:p>
  </w:footnote>
  <w:footnote w:id="7">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Връзка към </w:t>
      </w:r>
      <w:hyperlink r:id="rId2" w:history="1">
        <w:r>
          <w:rPr>
            <w:rStyle w:val="Hyperlink"/>
            <w:rFonts w:ascii="Times New Roman" w:hAnsi="Times New Roman"/>
          </w:rPr>
          <w:t>проучването за оценка на осъществимостта на постепенното прекратяване на употребата на дентална амалгама</w:t>
        </w:r>
      </w:hyperlink>
      <w:r>
        <w:rPr>
          <w:rFonts w:ascii="Times New Roman" w:hAnsi="Times New Roman"/>
        </w:rPr>
        <w:t>.</w:t>
      </w:r>
    </w:p>
  </w:footnote>
  <w:footnote w:id="8">
    <w:p>
      <w:pPr>
        <w:pStyle w:val="FootnoteText"/>
        <w:rPr>
          <w:rFonts w:ascii="Times New Roman" w:hAnsi="Times New Roman"/>
          <w:color w:val="auto"/>
        </w:rPr>
      </w:pPr>
      <w:r>
        <w:rPr>
          <w:rStyle w:val="FootnoteReference"/>
          <w:rFonts w:ascii="Times New Roman" w:hAnsi="Times New Roman"/>
        </w:rPr>
        <w:footnoteRef/>
      </w:r>
      <w:r>
        <w:rPr>
          <w:rFonts w:ascii="Times New Roman" w:hAnsi="Times New Roman"/>
        </w:rPr>
        <w:t xml:space="preserve"> </w:t>
      </w:r>
      <w:hyperlink r:id="rId3" w:history="1">
        <w:r>
          <w:rPr>
            <w:rStyle w:val="Hyperlink"/>
            <w:rFonts w:ascii="Times New Roman" w:hAnsi="Times New Roman"/>
            <w:color w:val="auto"/>
          </w:rPr>
          <w:t>Bio Intelligence Service (2012 г.), Проучване относно потенциала за намаляване на живачното замърсяване от дентална амалгама и батерии</w:t>
        </w:r>
      </w:hyperlink>
      <w:r>
        <w:rPr>
          <w:rFonts w:ascii="Times New Roman" w:hAnsi="Times New Roman"/>
          <w:color w:val="auto"/>
        </w:rPr>
        <w:t>.</w:t>
      </w:r>
    </w:p>
  </w:footnote>
  <w:footnote w:id="9">
    <w:p>
      <w:pPr>
        <w:pStyle w:val="FootnoteText"/>
      </w:pPr>
      <w:r>
        <w:rPr>
          <w:rStyle w:val="FootnoteReference"/>
          <w:rFonts w:ascii="Times New Roman" w:hAnsi="Times New Roman"/>
          <w:color w:val="auto"/>
        </w:rPr>
        <w:footnoteRef/>
      </w:r>
      <w:r>
        <w:rPr>
          <w:rFonts w:ascii="Times New Roman" w:hAnsi="Times New Roman"/>
          <w:color w:val="auto"/>
        </w:rPr>
        <w:t>Вж. бележка под линия № 7 за информация относно, inter alia, изчисляването на броя на възстановяванията според използвания материал за пломби във всяка държава членка, цените на безживачните материали и др.</w:t>
      </w:r>
    </w:p>
  </w:footnote>
  <w:footnote w:id="10">
    <w:p>
      <w:pPr>
        <w:pStyle w:val="FootnoteText"/>
        <w:rPr>
          <w:rFonts w:ascii="Times New Roman" w:hAnsi="Times New Roman"/>
          <w:color w:val="auto"/>
        </w:rPr>
      </w:pPr>
      <w:r>
        <w:rPr>
          <w:rStyle w:val="FootnoteReference"/>
          <w:rFonts w:ascii="Times New Roman" w:hAnsi="Times New Roman"/>
          <w:color w:val="auto"/>
        </w:rPr>
        <w:footnoteRef/>
      </w:r>
      <w:r>
        <w:rPr>
          <w:rFonts w:ascii="Times New Roman" w:hAnsi="Times New Roman"/>
          <w:color w:val="auto"/>
        </w:rPr>
        <w:t xml:space="preserve"> Mulligan, S., et al. „Въздействие върху околната среда на денталната амалгама и композитните материали на базата на смоли.“ </w:t>
      </w:r>
      <w:r>
        <w:rPr>
          <w:rFonts w:ascii="Times New Roman" w:hAnsi="Times New Roman"/>
          <w:i/>
          <w:iCs/>
          <w:color w:val="auto"/>
        </w:rPr>
        <w:t>British Dental Journal</w:t>
      </w:r>
      <w:r>
        <w:rPr>
          <w:rFonts w:ascii="Times New Roman" w:hAnsi="Times New Roman"/>
          <w:color w:val="auto"/>
        </w:rPr>
        <w:t xml:space="preserve"> 224.7 (2018 г.): 542.</w:t>
      </w:r>
    </w:p>
  </w:footnote>
  <w:footnote w:id="11">
    <w:p>
      <w:pPr>
        <w:pStyle w:val="FootnoteText"/>
        <w:rPr>
          <w:rFonts w:ascii="Times New Roman" w:hAnsi="Times New Roman"/>
          <w:color w:val="auto"/>
        </w:rPr>
      </w:pPr>
      <w:r>
        <w:rPr>
          <w:rStyle w:val="FootnoteReference"/>
          <w:rFonts w:ascii="Times New Roman" w:hAnsi="Times New Roman"/>
          <w:color w:val="auto"/>
        </w:rPr>
        <w:footnoteRef/>
      </w:r>
      <w:r>
        <w:rPr>
          <w:rFonts w:ascii="Times New Roman" w:hAnsi="Times New Roman"/>
          <w:color w:val="auto"/>
        </w:rPr>
        <w:t xml:space="preserve"> Milosevic, Milos. „Полимеризационна механика на денталните композити — предимства и недостатъци.“ Procedia Engineering 149 (2016 г.): 313—320.</w:t>
      </w:r>
    </w:p>
  </w:footnote>
  <w:footnote w:id="12">
    <w:p>
      <w:pPr>
        <w:pStyle w:val="FootnoteText"/>
        <w:rPr>
          <w:rFonts w:ascii="Times New Roman" w:hAnsi="Times New Roman"/>
          <w:color w:val="auto"/>
        </w:rPr>
      </w:pPr>
      <w:r>
        <w:rPr>
          <w:rStyle w:val="FootnoteReference"/>
          <w:rFonts w:ascii="Times New Roman" w:hAnsi="Times New Roman"/>
          <w:color w:val="auto"/>
        </w:rPr>
        <w:footnoteRef/>
      </w:r>
      <w:r>
        <w:rPr>
          <w:rFonts w:ascii="Times New Roman" w:hAnsi="Times New Roman"/>
          <w:color w:val="auto"/>
        </w:rPr>
        <w:t xml:space="preserve"> </w:t>
      </w:r>
      <w:hyperlink r:id="rId4" w:history="1">
        <w:r>
          <w:rPr>
            <w:rStyle w:val="Hyperlink"/>
            <w:rFonts w:ascii="Times New Roman" w:hAnsi="Times New Roman"/>
            <w:color w:val="auto"/>
          </w:rPr>
          <w:t>SCENIHR, 2015 г.</w:t>
        </w:r>
      </w:hyperlink>
      <w:hyperlink r:id="rId5" w:history="1">
        <w:r>
          <w:rPr>
            <w:rStyle w:val="Hyperlink"/>
            <w:rFonts w:ascii="Times New Roman" w:hAnsi="Times New Roman"/>
            <w:color w:val="auto"/>
          </w:rPr>
          <w:t xml:space="preserve"> Научно становище относно безопасността на денталната амалгама и на алтернативните дентални материали за възстановяване за пациентите и ползвателите</w:t>
        </w:r>
      </w:hyperlink>
      <w:r>
        <w:rPr>
          <w:rFonts w:ascii="Times New Roman" w:hAnsi="Times New Roman"/>
          <w:color w:val="auto"/>
        </w:rPr>
        <w:t>.</w:t>
      </w:r>
    </w:p>
  </w:footnote>
  <w:footnote w:id="13">
    <w:p>
      <w:pPr>
        <w:pStyle w:val="FootnoteText"/>
        <w:rPr>
          <w:rFonts w:ascii="Times New Roman" w:hAnsi="Times New Roman"/>
          <w:color w:val="auto"/>
        </w:rPr>
      </w:pPr>
      <w:r>
        <w:rPr>
          <w:rStyle w:val="FootnoteReference"/>
          <w:rFonts w:ascii="Times New Roman" w:hAnsi="Times New Roman"/>
          <w:color w:val="auto"/>
        </w:rPr>
        <w:footnoteRef/>
      </w:r>
      <w:r>
        <w:rPr>
          <w:rFonts w:ascii="Times New Roman" w:hAnsi="Times New Roman"/>
          <w:color w:val="auto"/>
        </w:rPr>
        <w:t xml:space="preserve"> Bisfenol a i dentala material socialstyrelsen, 2015 г.</w:t>
      </w:r>
    </w:p>
  </w:footnote>
  <w:footnote w:id="14">
    <w:p>
      <w:pPr>
        <w:pStyle w:val="FootnoteText"/>
        <w:rPr>
          <w:rFonts w:ascii="Times New Roman" w:hAnsi="Times New Roman"/>
          <w:color w:val="auto"/>
        </w:rPr>
      </w:pPr>
      <w:r>
        <w:rPr>
          <w:rStyle w:val="FootnoteReference"/>
          <w:rFonts w:ascii="Times New Roman" w:hAnsi="Times New Roman"/>
          <w:color w:val="auto"/>
        </w:rPr>
        <w:footnoteRef/>
      </w:r>
      <w:r>
        <w:rPr>
          <w:rFonts w:ascii="Times New Roman" w:hAnsi="Times New Roman"/>
          <w:color w:val="auto"/>
        </w:rPr>
        <w:t xml:space="preserve"> </w:t>
      </w:r>
      <w:hyperlink r:id="rId6" w:history="1">
        <w:r>
          <w:rPr>
            <w:rStyle w:val="Hyperlink"/>
            <w:rFonts w:ascii="Times New Roman" w:hAnsi="Times New Roman"/>
            <w:color w:val="auto"/>
          </w:rPr>
          <w:t>BIO Intelligence Service (2012 г.), Проучване относно потенциала за намаляване на живачното замърсяване от дентална амалгама и батерии</w:t>
        </w:r>
      </w:hyperlink>
      <w:r>
        <w:rPr>
          <w:rFonts w:ascii="Times New Roman" w:hAnsi="Times New Roman"/>
          <w:color w:val="auto"/>
        </w:rPr>
        <w:t>.</w:t>
      </w:r>
    </w:p>
  </w:footnote>
  <w:footnote w:id="15">
    <w:p>
      <w:pPr>
        <w:pStyle w:val="FootnoteText"/>
        <w:rPr>
          <w:rFonts w:ascii="Times New Roman" w:hAnsi="Times New Roman"/>
        </w:rPr>
      </w:pPr>
      <w:r>
        <w:rPr>
          <w:rStyle w:val="FootnoteReference"/>
          <w:rFonts w:ascii="Times New Roman" w:hAnsi="Times New Roman"/>
          <w:color w:val="auto"/>
        </w:rPr>
        <w:footnoteRef/>
      </w:r>
      <w:r>
        <w:rPr>
          <w:rFonts w:ascii="Times New Roman" w:hAnsi="Times New Roman"/>
          <w:color w:val="auto"/>
        </w:rPr>
        <w:t xml:space="preserve"> Не включва Хърватия, която се присъедини към ЕС през 2013 г.</w:t>
      </w:r>
    </w:p>
  </w:footnote>
  <w:footnote w:id="16">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Живакът преминава от денталните клиники чрез пречиствателните станции за отпадъчни води. Използваните технологии за обработка достигат до различни равнища на ефективност, като живакът, също като другите тежки метали, има склонност да не се разгражда, а вместо това да се адсорбира в утайката. (Pistocchi et al. 2019 г.; Hargraeves et al. 2016 г.).</w:t>
      </w:r>
    </w:p>
  </w:footnote>
  <w:footnote w:id="17">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Директива 86/278/ЕИО на Съвета от 12 юни 1986 г. за опазване на околната среда, и по-специално на почвата, при използване на утайки от отпадъчни води в земеделието (ОВ L 181, 4.7.1986 г., стр. 6).</w:t>
      </w:r>
    </w:p>
  </w:footnote>
  <w:footnote w:id="18">
    <w:p>
      <w:pPr>
        <w:pStyle w:val="FootnoteText"/>
        <w:rPr>
          <w:rFonts w:ascii="Times New Roman" w:hAnsi="Times New Roman"/>
          <w:i/>
        </w:rPr>
      </w:pPr>
      <w:r>
        <w:rPr>
          <w:rStyle w:val="FootnoteReference"/>
          <w:rFonts w:ascii="Times New Roman" w:hAnsi="Times New Roman"/>
        </w:rPr>
        <w:footnoteRef/>
      </w:r>
      <w:r>
        <w:rPr>
          <w:rFonts w:ascii="Times New Roman" w:hAnsi="Times New Roman"/>
        </w:rPr>
        <w:t xml:space="preserve"> Съобщение на Комисията: </w:t>
      </w:r>
      <w:r>
        <w:rPr>
          <w:rFonts w:ascii="Times New Roman" w:hAnsi="Times New Roman"/>
          <w:i/>
        </w:rPr>
        <w:t xml:space="preserve">Нов план за действие относно кръговата икономика: За по-чиста и по-конкурентоспособна Европа, </w:t>
      </w:r>
      <w:r>
        <w:rPr>
          <w:rFonts w:ascii="Times New Roman" w:hAnsi="Times New Roman"/>
        </w:rPr>
        <w:t>COM(2020) 98 final от 11.3.2020 г.</w:t>
      </w:r>
    </w:p>
  </w:footnote>
  <w:footnote w:id="19">
    <w:p>
      <w:pPr>
        <w:pStyle w:val="FootnoteText"/>
      </w:pPr>
      <w:r>
        <w:rPr>
          <w:rStyle w:val="FootnoteReference"/>
          <w:rFonts w:ascii="Times New Roman" w:hAnsi="Times New Roman"/>
        </w:rPr>
        <w:footnoteRef/>
      </w:r>
      <w:r>
        <w:rPr>
          <w:rFonts w:ascii="Times New Roman" w:hAnsi="Times New Roman"/>
        </w:rPr>
        <w:t xml:space="preserve"> Конвенция за защита на морската среда на Североизточния Атлантически океан (OSPAR).</w:t>
      </w:r>
    </w:p>
  </w:footnote>
  <w:footnote w:id="20">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color w:val="auto"/>
        </w:rPr>
        <w:t>Вж. бележка под линия № 3.</w:t>
      </w:r>
    </w:p>
  </w:footnote>
  <w:footnote w:id="21">
    <w:p>
      <w:pPr>
        <w:pStyle w:val="FootnoteText"/>
        <w:rPr>
          <w:rFonts w:ascii="Times New Roman" w:hAnsi="Times New Roman"/>
        </w:rPr>
      </w:pPr>
      <w:r>
        <w:rPr>
          <w:rFonts w:ascii="Times New Roman" w:eastAsiaTheme="minorHAnsi" w:hAnsi="Times New Roman"/>
          <w:color w:val="auto"/>
          <w:vertAlign w:val="superscript"/>
          <w:lang w:eastAsia="en-US"/>
        </w:rPr>
        <w:footnoteRef/>
      </w:r>
      <w:r>
        <w:rPr>
          <w:rFonts w:ascii="Times New Roman" w:hAnsi="Times New Roman"/>
          <w:i/>
          <w:color w:val="auto"/>
        </w:rPr>
        <w:t xml:space="preserve"> </w:t>
      </w:r>
      <w:r>
        <w:rPr>
          <w:rFonts w:ascii="Times New Roman" w:hAnsi="Times New Roman"/>
          <w:color w:val="auto"/>
        </w:rPr>
        <w:t>Директива 2011/65/ЕС на Европейския парламент и на Съвета от 8 юни 2011 г. относно ограничението за употребата на определени опасни вещества в електрическото и електронното оборудване (ОВ L 174, 1.7.2011 г., стр. 88)</w:t>
      </w:r>
    </w:p>
  </w:footnote>
  <w:footnote w:id="22">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Директива 2006/66/ЕО на Европейския парламент и на Съвета от 6 септември 2006 г. относно батерии и акумулатори и отпадъци от батерии и акумулатори и за отмяна на Директива 91/157/ЕИО (ОВ L 266, 26.9.2006 г., стр. 1).</w:t>
      </w:r>
    </w:p>
  </w:footnote>
  <w:footnote w:id="23">
    <w:p>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szCs w:val="20"/>
        </w:rPr>
        <w:t xml:space="preserve"> Регламент (ЕО) № 1907/2006 на Европейския парламент и на Съвета от 18 декември 2006 година относно регистрацията, оценката, разрешаването и ограничаването на химикали (REACH), за създаване на Европейска агенция по химикали, за изменение на Директива 1999/45/ЕО и за отмяна на Регламент (ЕИО) № 793/93 на Съвета и Регламент (ЕО) № 1488/94 на Комисията, както и на Директива 76/769/ЕИО на Съвета и директиви 91/155/ЕИО, 93/67/ЕИО, 93/105/ЕО и 2000/21/ЕО на Комисията (ОВ L 396 г., 30.12.2006 г., стр. 1).</w:t>
      </w:r>
    </w:p>
  </w:footnote>
  <w:footnote w:id="24">
    <w:p>
      <w:pPr>
        <w:spacing w:after="0" w:line="240" w:lineRule="auto"/>
        <w:jc w:val="both"/>
      </w:pPr>
      <w:r>
        <w:rPr>
          <w:rStyle w:val="FootnoteReference"/>
          <w:rFonts w:ascii="Times New Roman" w:hAnsi="Times New Roman" w:cs="Times New Roman"/>
          <w:sz w:val="20"/>
          <w:szCs w:val="20"/>
        </w:rPr>
        <w:footnoteRef/>
      </w:r>
      <w:r>
        <w:rPr>
          <w:rFonts w:ascii="Times New Roman" w:hAnsi="Times New Roman"/>
          <w:sz w:val="20"/>
          <w:szCs w:val="20"/>
        </w:rPr>
        <w:t xml:space="preserve"> SWD(2016) 17, вж. приложение VI.</w:t>
      </w:r>
    </w:p>
  </w:footnote>
  <w:footnote w:id="25">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7" w:history="1">
        <w:r>
          <w:rPr>
            <w:rStyle w:val="Hyperlink"/>
            <w:rFonts w:ascii="Times New Roman" w:hAnsi="Times New Roman"/>
            <w:color w:val="auto"/>
          </w:rPr>
          <w:t>COWI &amp; ICF (2017 г.)</w:t>
        </w:r>
      </w:hyperlink>
    </w:p>
  </w:footnote>
  <w:footnote w:id="26">
    <w:p>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8" w:history="1">
        <w:r>
          <w:rPr>
            <w:rStyle w:val="Hyperlink"/>
            <w:rFonts w:ascii="Times New Roman" w:hAnsi="Times New Roman"/>
          </w:rPr>
          <w:t>Връзка към окончателния доклад</w:t>
        </w:r>
      </w:hyperlink>
    </w:p>
  </w:footnote>
  <w:footnote w:id="27">
    <w:p>
      <w:pPr>
        <w:pStyle w:val="FootnoteText"/>
        <w:jc w:val="left"/>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9" w:history="1">
        <w:r>
          <w:rPr>
            <w:rFonts w:ascii="Times New Roman" w:hAnsi="Times New Roman"/>
          </w:rPr>
          <w:t>Решение MC-3/1</w:t>
        </w:r>
      </w:hyperlink>
      <w:r>
        <w:rPr>
          <w:rFonts w:ascii="Times New Roman" w:hAnsi="Times New Roman"/>
        </w:rPr>
        <w:t xml:space="preserve"> </w:t>
      </w:r>
    </w:p>
  </w:footnote>
  <w:footnote w:id="28">
    <w:p>
      <w:pPr>
        <w:pStyle w:val="FootnoteText"/>
      </w:pPr>
      <w:r>
        <w:rPr>
          <w:rStyle w:val="FootnoteReference"/>
          <w:rFonts w:ascii="Times New Roman" w:hAnsi="Times New Roman"/>
        </w:rPr>
        <w:footnoteRef/>
      </w:r>
      <w:r>
        <w:rPr>
          <w:rFonts w:ascii="Times New Roman" w:hAnsi="Times New Roman"/>
        </w:rPr>
        <w:t xml:space="preserve"> </w:t>
      </w:r>
      <w:hyperlink r:id="rId10" w:history="1">
        <w:r>
          <w:rPr>
            <w:rFonts w:ascii="Times New Roman" w:hAnsi="Times New Roman"/>
          </w:rPr>
          <w:t>Представяне от страна на ЕС на приложения А и Б за четвъртото заседание на конференцията на страните (2020 г.)</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02DA"/>
    <w:multiLevelType w:val="multilevel"/>
    <w:tmpl w:val="22C2C0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cstheme="minorBidi" w:hint="default"/>
      </w:rPr>
    </w:lvl>
    <w:lvl w:ilvl="2">
      <w:start w:val="1"/>
      <w:numFmt w:val="decimal"/>
      <w:isLgl/>
      <w:lvlText w:val="%1.%2.%3."/>
      <w:lvlJc w:val="left"/>
      <w:pPr>
        <w:ind w:left="1080" w:hanging="720"/>
      </w:pPr>
      <w:rPr>
        <w:rFonts w:cstheme="minorBidi"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2160" w:hanging="1800"/>
      </w:pPr>
      <w:rPr>
        <w:rFonts w:cstheme="minorBidi" w:hint="default"/>
      </w:rPr>
    </w:lvl>
  </w:abstractNum>
  <w:abstractNum w:abstractNumId="1">
    <w:nsid w:val="1BF83DAD"/>
    <w:multiLevelType w:val="hybridMultilevel"/>
    <w:tmpl w:val="0D7C935E"/>
    <w:lvl w:ilvl="0" w:tplc="091A95AE">
      <w:start w:val="1"/>
      <mc:AlternateContent>
        <mc:Choice Requires="w14">
          <w:numFmt w:val="custom" w:format="а, й, к, ..."/>
        </mc:Choice>
        <mc:Fallback>
          <w:numFmt w:val="decimal"/>
        </mc:Fallback>
      </mc:AlternateContent>
      <w:lvlText w:val="%1)"/>
      <w:lvlJc w:val="left"/>
      <w:pPr>
        <w:ind w:left="720" w:hanging="36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492D0D49"/>
    <w:multiLevelType w:val="hybridMultilevel"/>
    <w:tmpl w:val="E2687240"/>
    <w:lvl w:ilvl="0" w:tplc="841C9054">
      <w:start w:val="1"/>
      <mc:AlternateContent>
        <mc:Choice Requires="w14">
          <w:numFmt w:val="custom" w:format="а, й, к, ..."/>
        </mc:Choice>
        <mc:Fallback>
          <w:numFmt w:val="decimal"/>
        </mc:Fallback>
      </mc:AlternateContent>
      <w:lvlText w:val="%1)"/>
      <w:lvlJc w:val="left"/>
      <w:pPr>
        <w:ind w:left="720" w:hanging="360"/>
      </w:pPr>
      <w:rPr>
        <w:rFonts w:ascii="Times New Roman" w:hAnsi="Times New Roman" w:cs="Times New Roman" w:hint="default"/>
        <w:caps w:val="0"/>
        <w:smallCaps w:val="0"/>
        <w:strike w:val="0"/>
        <w:dstrike w:val="0"/>
        <w:outline w:val="0"/>
        <w:emboss w:val="0"/>
        <w:imprint w:val="0"/>
        <w:spacing w:val="0"/>
        <w:w w:val="100"/>
        <w:kern w:val="0"/>
        <w:position w:val="0"/>
        <w:sz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56902345"/>
    <w:multiLevelType w:val="hybridMultilevel"/>
    <w:tmpl w:val="95D80CE4"/>
    <w:lvl w:ilvl="0" w:tplc="FF8AF3C2">
      <w:start w:val="1"/>
      <mc:AlternateContent>
        <mc:Choice Requires="w14">
          <w:numFmt w:val="custom" w:format="а, й, к, ..."/>
        </mc:Choice>
        <mc:Fallback>
          <w:numFmt w:val="decimal"/>
        </mc:Fallback>
      </mc:AlternateContent>
      <w:lvlText w:val="%1)"/>
      <w:lvlJc w:val="left"/>
      <w:pPr>
        <w:ind w:left="720" w:hanging="360"/>
      </w:pPr>
      <w:rPr>
        <w:rFonts w:ascii="Times New Roman" w:hAnsi="Times New Roman" w:cs="Times New Roman" w:hint="default"/>
        <w:caps w:val="0"/>
        <w:smallCaps w:val="0"/>
        <w:strike w:val="0"/>
        <w:dstrike w:val="0"/>
        <w:outline w:val="0"/>
        <w:emboss w:val="0"/>
        <w:imprint w:val="0"/>
        <w:spacing w:val="0"/>
        <w:w w:val="100"/>
        <w:kern w:val="0"/>
        <w:position w:val="0"/>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7BF5289B"/>
    <w:multiLevelType w:val="multilevel"/>
    <w:tmpl w:val="1D6AE0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revisionView w:markup="0"/>
  <w:defaultTabStop w:val="720"/>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84D67A8-64FD-4A2E-858E-0C942F7A48DA"/>
    <w:docVar w:name="LW_COVERPAGE_TYPE" w:val="1"/>
    <w:docVar w:name="LW_CROSSREFERENCE" w:val="&lt;UNUSED&gt;"/>
    <w:docVar w:name="LW_DocType" w:val="NORMAL"/>
    <w:docVar w:name="LW_EMISSION" w:val="17.8.2020"/>
    <w:docVar w:name="LW_EMISSION_ISODATE" w:val="2020-08-17"/>
    <w:docVar w:name="LW_EMISSION_LOCATION" w:val="BRX"/>
    <w:docVar w:name="LW_EMISSION_PREFIX" w:val="Брюксел, "/>
    <w:docVar w:name="LW_EMISSION_SUFFIX" w:val=" \u1075?."/>
    <w:docVar w:name="LW_ID_DOCTYPE_NONLW" w:val="CP-006"/>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0) 37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u1086?\u1090?\u1085?\u1086?\u1089?\u1085?\u1086? \u1087?\u1088?\u1077?\u1075?\u1083?\u1077?\u1076?\u1080?\u1090?\u1077?, \u1082?\u1086?\u1080?\u1090?\u1086? \u1089?\u1077? \u1080?\u1079?\u1080?\u1089?\u1082?\u1074?\u1072?\u1090? \u1089?\u1098?\u1075?\u1083?\u1072?\u1089?\u1085?\u1086? \u1095?\u1083?\u1077?\u1085? 19, \u1087?\u1072?\u1088?\u1072?\u1075?\u1088?\u1072?\u1092? 1 \u1086?\u1090? \u1056?\u1077?\u1075?\u1083?\u1072?\u1084?\u1077?\u1085?\u1090? 2017/852, \u1074?\u1098?\u1074? \u1074?\u1088?\u1098?\u1079?\u1082?\u1072? \u1089? \u1080?\u1079?\u1087?\u1086?\u1083?\u1079?\u1074?\u1072?\u1085?\u1077?\u1090?\u1086? \u1085?\u1072? \u1078?\u1080?\u1074?\u1072?\u1082? \u1074? \u1076?\u1077?\u1085?\u1090?\u1072?\u1083?\u1085?\u1072?\u1090?\u1072? \u1072?\u1084?\u1072?\u1083?\u1075?\u1072?\u1084?\u1072? \u1080? \u1076?\u1077?\u1085?\u1090?\u1072?\u1083?\u1085?\u1080?\u1090?\u1077? \u1087?\u1088?\u1086?\u1076?\u1091?\u1082?\u1090?\u1080?&lt;/FMT&gt;_x000d__x000d__x000d__x000d__x000d__x000b_"/>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Hyperlink">
    <w:name w:val="Hyperlink"/>
    <w:uiPriority w:val="99"/>
    <w:rPr>
      <w:rFonts w:ascii="Verdana" w:hAnsi="Verdana"/>
      <w:color w:val="1A3F7C"/>
      <w:sz w:val="20"/>
      <w:u w:val="none"/>
    </w:rPr>
  </w:style>
  <w:style w:type="paragraph" w:styleId="FootnoteText">
    <w:name w:val="footnote text"/>
    <w:aliases w:val="Footnote text,Geneva 9,Font: Geneva 9,Boston 10,f,Footnote Text Char Char,Footnote Text Char Char Char Char,Footnote Text1,Footnote Text Char Char Char,Footnote,Fußnote,Fußnote Char Char Char,Fußnote Char Char,Reference"/>
    <w:basedOn w:val="Normal"/>
    <w:link w:val="FootnoteTextChar"/>
    <w:qFormat/>
    <w:pPr>
      <w:spacing w:after="0" w:line="240" w:lineRule="auto"/>
      <w:jc w:val="both"/>
    </w:pPr>
    <w:rPr>
      <w:rFonts w:ascii="Verdana" w:eastAsia="Times New Roman" w:hAnsi="Verdana" w:cs="Times New Roman"/>
      <w:color w:val="333333"/>
      <w:sz w:val="20"/>
      <w:szCs w:val="20"/>
      <w:lang w:eastAsia="en-GB"/>
    </w:rPr>
  </w:style>
  <w:style w:type="character" w:customStyle="1" w:styleId="FootnoteTextChar">
    <w:name w:val="Footnote Text Char"/>
    <w:aliases w:val="Footnote text Char,Geneva 9 Char,Font: Geneva 9 Char,Boston 10 Char,f Char,Footnote Text Char Char Char1,Footnote Text Char Char Char Char Char,Footnote Text1 Char,Footnote Text Char Char Char Char1,Footnote Char,Fußnote Char"/>
    <w:basedOn w:val="DefaultParagraphFont"/>
    <w:link w:val="FootnoteText"/>
    <w:rPr>
      <w:rFonts w:ascii="Verdana" w:eastAsia="Times New Roman" w:hAnsi="Verdana" w:cs="Times New Roman"/>
      <w:color w:val="333333"/>
      <w:sz w:val="20"/>
      <w:szCs w:val="20"/>
      <w:lang w:eastAsia="en-GB"/>
    </w:rPr>
  </w:style>
  <w:style w:type="character" w:styleId="FootnoteReference">
    <w:name w:val="footnote reference"/>
    <w:aliases w:val="number,SUPERS,Footnote Reference Superscript,stylish,Footnote symbol,Footnote number,-E Fußnotenzeichen,(Diplomarbeit FZ),(Diplomarbeit FZ)1,(Diplomarbeit FZ)2,(Diplomarbeit FZ)3,(Diplomarbeit FZ)4,(Diplomarbeit FZ)5,16 Point,BVI fnr"/>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e24kjd">
    <w:name w:val="e24kjd"/>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Hyperlink">
    <w:name w:val="Hyperlink"/>
    <w:uiPriority w:val="99"/>
    <w:rPr>
      <w:rFonts w:ascii="Verdana" w:hAnsi="Verdana"/>
      <w:color w:val="1A3F7C"/>
      <w:sz w:val="20"/>
      <w:u w:val="none"/>
    </w:rPr>
  </w:style>
  <w:style w:type="paragraph" w:styleId="FootnoteText">
    <w:name w:val="footnote text"/>
    <w:aliases w:val="Footnote text,Geneva 9,Font: Geneva 9,Boston 10,f,Footnote Text Char Char,Footnote Text Char Char Char Char,Footnote Text1,Footnote Text Char Char Char,Footnote,Fußnote,Fußnote Char Char Char,Fußnote Char Char,Reference"/>
    <w:basedOn w:val="Normal"/>
    <w:link w:val="FootnoteTextChar"/>
    <w:qFormat/>
    <w:pPr>
      <w:spacing w:after="0" w:line="240" w:lineRule="auto"/>
      <w:jc w:val="both"/>
    </w:pPr>
    <w:rPr>
      <w:rFonts w:ascii="Verdana" w:eastAsia="Times New Roman" w:hAnsi="Verdana" w:cs="Times New Roman"/>
      <w:color w:val="333333"/>
      <w:sz w:val="20"/>
      <w:szCs w:val="20"/>
      <w:lang w:eastAsia="en-GB"/>
    </w:rPr>
  </w:style>
  <w:style w:type="character" w:customStyle="1" w:styleId="FootnoteTextChar">
    <w:name w:val="Footnote Text Char"/>
    <w:aliases w:val="Footnote text Char,Geneva 9 Char,Font: Geneva 9 Char,Boston 10 Char,f Char,Footnote Text Char Char Char1,Footnote Text Char Char Char Char Char,Footnote Text1 Char,Footnote Text Char Char Char Char1,Footnote Char,Fußnote Char"/>
    <w:basedOn w:val="DefaultParagraphFont"/>
    <w:link w:val="FootnoteText"/>
    <w:rPr>
      <w:rFonts w:ascii="Verdana" w:eastAsia="Times New Roman" w:hAnsi="Verdana" w:cs="Times New Roman"/>
      <w:color w:val="333333"/>
      <w:sz w:val="20"/>
      <w:szCs w:val="20"/>
      <w:lang w:eastAsia="en-GB"/>
    </w:rPr>
  </w:style>
  <w:style w:type="character" w:styleId="FootnoteReference">
    <w:name w:val="footnote reference"/>
    <w:aliases w:val="number,SUPERS,Footnote Reference Superscript,stylish,Footnote symbol,Footnote number,-E Fußnotenzeichen,(Diplomarbeit FZ),(Diplomarbeit FZ)1,(Diplomarbeit FZ)2,(Diplomarbeit FZ)3,(Diplomarbeit FZ)4,(Diplomarbeit FZ)5,16 Point,BVI fnr"/>
    <w:basedOn w:val="DefaultParagraphFont"/>
    <w:uiPriority w:val="99"/>
    <w:unhideWhenUsed/>
    <w:rPr>
      <w:vertAlign w:val="superscript"/>
    </w:rPr>
  </w:style>
  <w:style w:type="paragraph" w:styleId="ListParagraph">
    <w:name w:val="List Paragraph"/>
    <w:basedOn w:val="Normal"/>
    <w:uiPriority w:val="34"/>
    <w:qFormat/>
    <w:pPr>
      <w:ind w:left="720"/>
      <w:contextualSpacing/>
    </w:pPr>
  </w:style>
  <w:style w:type="paragraph" w:styleId="Caption">
    <w:name w:val="caption"/>
    <w:basedOn w:val="Normal"/>
    <w:next w:val="Normal"/>
    <w:uiPriority w:val="35"/>
    <w:unhideWhenUsed/>
    <w:qFormat/>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Pr>
      <w:color w:val="800080"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e24kjd">
    <w:name w:val="e24kjd"/>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24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ec.europa.eu/environment/chemicals/mercury/pdf/ToR_MAPs_ARES_2019_688017.pd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circabc.europa.eu/ui/group/19e66753-84ca-4e4e-a4a1-73befb368fc2/library/267dcf75-d336-46d3-bb21-d2640e6191e7?p=1&amp;n=10&amp;sort=modified_DESC" TargetMode="External"/><Relationship Id="rId3" Type="http://schemas.openxmlformats.org/officeDocument/2006/relationships/hyperlink" Target="http://ec.europa.eu/emvironment/chemicals/mercury/pdf/review_mercury_strategy2010.pdf" TargetMode="External"/><Relationship Id="rId7" Type="http://schemas.openxmlformats.org/officeDocument/2006/relationships/hyperlink" Target="https://ec.europa.eu/environment/chemicals/mercury/pdf/Final%20Report_KH0617141ENN.pdf" TargetMode="External"/><Relationship Id="rId2" Type="http://schemas.openxmlformats.org/officeDocument/2006/relationships/hyperlink" Target="https://circabc.europa.eu/ui/group/19e66753-84ca-4e4e-a4a1-73befb368fc2/library/d862c135-5602-4f21-9abf-4bb26fc024b2?p=1&amp;n=10&amp;sort=modified_DESC" TargetMode="External"/><Relationship Id="rId1" Type="http://schemas.openxmlformats.org/officeDocument/2006/relationships/hyperlink" Target="http://www.mercuryconvention.org." TargetMode="External"/><Relationship Id="rId6" Type="http://schemas.openxmlformats.org/officeDocument/2006/relationships/hyperlink" Target="http://ec.europa.eu/environment/chemicals/mercury/pdf/review_mercury_strategy2010.pdf" TargetMode="External"/><Relationship Id="rId5" Type="http://schemas.openxmlformats.org/officeDocument/2006/relationships/hyperlink" Target="https://ec.europa.eu/health/scientific_committees/emerging/docs/scenihr_o_046.pdf" TargetMode="External"/><Relationship Id="rId10" Type="http://schemas.openxmlformats.org/officeDocument/2006/relationships/hyperlink" Target="http://www.mercuryconvention.org/Portals/11/documents/meetings/COP4/submissions/EU_AnnexAB.pdf" TargetMode="External"/><Relationship Id="rId4" Type="http://schemas.openxmlformats.org/officeDocument/2006/relationships/hyperlink" Target="https://ec.europa.eu/health/scientific_committees/emerging/docs/scenihr_o_046.pdf" TargetMode="External"/><Relationship Id="rId9" Type="http://schemas.openxmlformats.org/officeDocument/2006/relationships/hyperlink" Target="http://www.mercuryconvention.org/Portals/11/documents/meetings/COP3/English/UNEP-MC-COP-3-23-Report_Advance.Eng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12</Pages>
  <Words>3478</Words>
  <Characters>20525</Characters>
  <Application>Microsoft Office Word</Application>
  <DocSecurity>0</DocSecurity>
  <Lines>410</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23</cp:revision>
  <dcterms:created xsi:type="dcterms:W3CDTF">2020-07-23T07:34:00Z</dcterms:created>
  <dcterms:modified xsi:type="dcterms:W3CDTF">2020-08-10T07:50:00Z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7.0, Build 20190717</vt:lpwstr>
  </property>
  <property fmtid="{D5CDD505-2E9C-101B-9397-08002B2CF9AE}" pid="8" name="Created using">
    <vt:lpwstr>LW 7.0, Build 20190717</vt:lpwstr>
  </property>
</Properties>
</file>