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1.xml" ContentType="application/vnd.openxmlformats-officedocument.drawingml.chart+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508973885"/>
      <w:bookmarkStart w:id="1" w:name="_Toc508973599"/>
      <w:bookmarkStart w:id="2" w:name="_Toc508973545"/>
      <w:bookmarkStart w:id="3" w:name="_Toc477531487"/>
      <w:bookmarkStart w:id="4"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9388492D-C268-491A-8683-CFB449D424B3" style="width:450.75pt;height:367.5pt">
            <v:imagedata r:id="rId12" o:title=""/>
          </v:shape>
        </w:pict>
      </w:r>
    </w:p>
    <w:bookmarkEnd w:id="4"/>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1"/>
          <w:cols w:space="720"/>
          <w:docGrid w:linePitch="360"/>
        </w:sectPr>
      </w:pPr>
    </w:p>
    <w:bookmarkStart w:id="5" w:name="_GoBack" w:displacedByCustomXml="next"/>
    <w:bookmarkEnd w:id="5" w:displacedByCustomXml="next"/>
    <w:sdt>
      <w:sdtPr>
        <w:rPr>
          <w:rFonts w:ascii="Times New Roman" w:eastAsia="Times New Roman" w:hAnsi="Times New Roman" w:cs="Times New Roman"/>
          <w:b w:val="0"/>
          <w:bCs w:val="0"/>
          <w:smallCaps w:val="0"/>
          <w:color w:val="auto"/>
          <w:sz w:val="20"/>
          <w:szCs w:val="20"/>
          <w:lang w:val="en-GB" w:eastAsia="en-GB"/>
        </w:rPr>
        <w:id w:val="-1811482188"/>
        <w:docPartObj>
          <w:docPartGallery w:val="Table of Contents"/>
          <w:docPartUnique/>
        </w:docPartObj>
      </w:sdtPr>
      <w:sdtContent>
        <w:p>
          <w:pPr>
            <w:pStyle w:val="TOCHeading"/>
          </w:pPr>
          <w:r>
            <w:t>Table of Contents</w:t>
          </w:r>
        </w:p>
        <w:p>
          <w:pPr>
            <w:pStyle w:val="TOC1"/>
            <w:tabs>
              <w:tab w:val="left" w:pos="400"/>
              <w:tab w:val="right" w:leader="dot" w:pos="9062"/>
            </w:tabs>
            <w:rPr>
              <w:rFonts w:asciiTheme="minorHAnsi" w:eastAsiaTheme="minorEastAsia" w:hAnsiTheme="minorHAnsi" w:cstheme="minorBidi"/>
              <w:noProof/>
              <w:sz w:val="22"/>
              <w:szCs w:val="22"/>
            </w:rPr>
          </w:pPr>
          <w:r>
            <w:rPr>
              <w:noProof/>
            </w:rPr>
            <w:fldChar w:fldCharType="begin"/>
          </w:r>
          <w:r>
            <w:rPr>
              <w:noProof/>
            </w:rPr>
            <w:instrText xml:space="preserve"> TOC \o "1-3" \h \z \u </w:instrText>
          </w:r>
          <w:r>
            <w:rPr>
              <w:noProof/>
            </w:rPr>
            <w:fldChar w:fldCharType="separate"/>
          </w:r>
          <w:hyperlink w:anchor="_Toc7791282" w:history="1">
            <w:r>
              <w:rPr>
                <w:rStyle w:val="Hyperlink"/>
                <w:noProof/>
              </w:rPr>
              <w:t>1.</w:t>
            </w:r>
            <w:r>
              <w:rPr>
                <w:rFonts w:asciiTheme="minorHAnsi" w:eastAsiaTheme="minorEastAsia" w:hAnsiTheme="minorHAnsi" w:cstheme="minorBidi"/>
                <w:noProof/>
                <w:sz w:val="22"/>
                <w:szCs w:val="22"/>
              </w:rPr>
              <w:tab/>
            </w:r>
            <w:r>
              <w:rPr>
                <w:rStyle w:val="Hyperlink"/>
                <w:noProof/>
              </w:rPr>
              <w:t>INTRODUCTION</w:t>
            </w:r>
            <w:r>
              <w:rPr>
                <w:noProof/>
                <w:webHidden/>
              </w:rPr>
              <w:tab/>
            </w:r>
            <w:r>
              <w:rPr>
                <w:noProof/>
                <w:webHidden/>
              </w:rPr>
              <w:fldChar w:fldCharType="begin"/>
            </w:r>
            <w:r>
              <w:rPr>
                <w:noProof/>
                <w:webHidden/>
              </w:rPr>
              <w:instrText xml:space="preserve"> PAGEREF _Toc7791282 \h </w:instrText>
            </w:r>
            <w:r>
              <w:rPr>
                <w:noProof/>
                <w:webHidden/>
              </w:rPr>
            </w:r>
            <w:r>
              <w:rPr>
                <w:noProof/>
                <w:webHidden/>
              </w:rPr>
              <w:fldChar w:fldCharType="separate"/>
            </w:r>
            <w:r>
              <w:rPr>
                <w:noProof/>
                <w:webHidden/>
              </w:rPr>
              <w:t>2</w:t>
            </w:r>
            <w:r>
              <w:rPr>
                <w:noProof/>
                <w:webHidden/>
              </w:rPr>
              <w:fldChar w:fldCharType="end"/>
            </w:r>
          </w:hyperlink>
        </w:p>
        <w:p>
          <w:pPr>
            <w:pStyle w:val="TOC1"/>
            <w:tabs>
              <w:tab w:val="left" w:pos="400"/>
              <w:tab w:val="right" w:leader="dot" w:pos="9062"/>
            </w:tabs>
            <w:rPr>
              <w:rFonts w:asciiTheme="minorHAnsi" w:eastAsiaTheme="minorEastAsia" w:hAnsiTheme="minorHAnsi" w:cstheme="minorBidi"/>
              <w:noProof/>
              <w:sz w:val="22"/>
              <w:szCs w:val="22"/>
            </w:rPr>
          </w:pPr>
          <w:hyperlink w:anchor="_Toc7791283" w:history="1">
            <w:r>
              <w:rPr>
                <w:rStyle w:val="Hyperlink"/>
                <w:noProof/>
              </w:rPr>
              <w:t>2.</w:t>
            </w:r>
            <w:r>
              <w:rPr>
                <w:rFonts w:asciiTheme="minorHAnsi" w:eastAsiaTheme="minorEastAsia" w:hAnsiTheme="minorHAnsi" w:cstheme="minorBidi"/>
                <w:noProof/>
                <w:sz w:val="22"/>
                <w:szCs w:val="22"/>
              </w:rPr>
              <w:tab/>
            </w:r>
            <w:r>
              <w:rPr>
                <w:rStyle w:val="Hyperlink"/>
                <w:noProof/>
              </w:rPr>
              <w:t>EFSI OPERATIONS SUPPORTED BY THE EU GUARANTEE</w:t>
            </w:r>
            <w:r>
              <w:rPr>
                <w:noProof/>
                <w:webHidden/>
              </w:rPr>
              <w:tab/>
            </w:r>
            <w:r>
              <w:rPr>
                <w:noProof/>
                <w:webHidden/>
              </w:rPr>
              <w:fldChar w:fldCharType="begin"/>
            </w:r>
            <w:r>
              <w:rPr>
                <w:noProof/>
                <w:webHidden/>
              </w:rPr>
              <w:instrText xml:space="preserve"> PAGEREF _Toc7791283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szCs w:val="22"/>
            </w:rPr>
          </w:pPr>
          <w:hyperlink w:anchor="_Toc7791284" w:history="1">
            <w:r>
              <w:rPr>
                <w:rStyle w:val="Hyperlink"/>
                <w:noProof/>
              </w:rPr>
              <w:t>2.1</w:t>
            </w:r>
            <w:r>
              <w:rPr>
                <w:rFonts w:asciiTheme="minorHAnsi" w:eastAsiaTheme="minorEastAsia" w:hAnsiTheme="minorHAnsi" w:cstheme="minorBidi"/>
                <w:noProof/>
                <w:sz w:val="22"/>
                <w:szCs w:val="22"/>
              </w:rPr>
              <w:tab/>
            </w:r>
            <w:r>
              <w:rPr>
                <w:rStyle w:val="Hyperlink"/>
                <w:noProof/>
              </w:rPr>
              <w:t>IIW OPERATIONS</w:t>
            </w:r>
            <w:r>
              <w:rPr>
                <w:noProof/>
                <w:webHidden/>
              </w:rPr>
              <w:tab/>
            </w:r>
            <w:r>
              <w:rPr>
                <w:noProof/>
                <w:webHidden/>
              </w:rPr>
              <w:fldChar w:fldCharType="begin"/>
            </w:r>
            <w:r>
              <w:rPr>
                <w:noProof/>
                <w:webHidden/>
              </w:rPr>
              <w:instrText xml:space="preserve"> PAGEREF _Toc7791284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szCs w:val="22"/>
            </w:rPr>
          </w:pPr>
          <w:hyperlink w:anchor="_Toc7791285" w:history="1">
            <w:r>
              <w:rPr>
                <w:rStyle w:val="Hyperlink"/>
                <w:noProof/>
              </w:rPr>
              <w:t>2.2</w:t>
            </w:r>
            <w:r>
              <w:rPr>
                <w:rFonts w:asciiTheme="minorHAnsi" w:eastAsiaTheme="minorEastAsia" w:hAnsiTheme="minorHAnsi" w:cstheme="minorBidi"/>
                <w:noProof/>
                <w:sz w:val="22"/>
                <w:szCs w:val="22"/>
              </w:rPr>
              <w:tab/>
            </w:r>
            <w:r>
              <w:rPr>
                <w:rStyle w:val="Hyperlink"/>
                <w:noProof/>
              </w:rPr>
              <w:t>SMEW OPERATIONS</w:t>
            </w:r>
            <w:r>
              <w:rPr>
                <w:noProof/>
                <w:webHidden/>
              </w:rPr>
              <w:tab/>
            </w:r>
            <w:r>
              <w:rPr>
                <w:noProof/>
                <w:webHidden/>
              </w:rPr>
              <w:fldChar w:fldCharType="begin"/>
            </w:r>
            <w:r>
              <w:rPr>
                <w:noProof/>
                <w:webHidden/>
              </w:rPr>
              <w:instrText xml:space="preserve"> PAGEREF _Toc7791285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szCs w:val="22"/>
            </w:rPr>
          </w:pPr>
          <w:hyperlink w:anchor="_Toc7791286" w:history="1">
            <w:r>
              <w:rPr>
                <w:rStyle w:val="Hyperlink"/>
                <w:noProof/>
              </w:rPr>
              <w:t>2.3</w:t>
            </w:r>
            <w:r>
              <w:rPr>
                <w:rFonts w:asciiTheme="minorHAnsi" w:eastAsiaTheme="minorEastAsia" w:hAnsiTheme="minorHAnsi" w:cstheme="minorBidi"/>
                <w:noProof/>
                <w:sz w:val="22"/>
                <w:szCs w:val="22"/>
              </w:rPr>
              <w:tab/>
            </w:r>
            <w:r>
              <w:rPr>
                <w:rStyle w:val="Hyperlink"/>
                <w:noProof/>
              </w:rPr>
              <w:t>BREAKDOWN OF EFSI OPERATIONS BY SECTOR AND COUNTRY</w:t>
            </w:r>
            <w:r>
              <w:rPr>
                <w:noProof/>
                <w:webHidden/>
              </w:rPr>
              <w:tab/>
            </w:r>
            <w:r>
              <w:rPr>
                <w:noProof/>
                <w:webHidden/>
              </w:rPr>
              <w:fldChar w:fldCharType="begin"/>
            </w:r>
            <w:r>
              <w:rPr>
                <w:noProof/>
                <w:webHidden/>
              </w:rPr>
              <w:instrText xml:space="preserve"> PAGEREF _Toc7791286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00"/>
              <w:tab w:val="right" w:leader="dot" w:pos="9062"/>
            </w:tabs>
            <w:rPr>
              <w:rFonts w:asciiTheme="minorHAnsi" w:eastAsiaTheme="minorEastAsia" w:hAnsiTheme="minorHAnsi" w:cstheme="minorBidi"/>
              <w:noProof/>
              <w:sz w:val="22"/>
              <w:szCs w:val="22"/>
            </w:rPr>
          </w:pPr>
          <w:hyperlink w:anchor="_Toc7791287" w:history="1">
            <w:r>
              <w:rPr>
                <w:rStyle w:val="Hyperlink"/>
                <w:noProof/>
              </w:rPr>
              <w:t>3.</w:t>
            </w:r>
            <w:r>
              <w:rPr>
                <w:rFonts w:asciiTheme="minorHAnsi" w:eastAsiaTheme="minorEastAsia" w:hAnsiTheme="minorHAnsi" w:cstheme="minorBidi"/>
                <w:noProof/>
                <w:sz w:val="22"/>
                <w:szCs w:val="22"/>
              </w:rPr>
              <w:tab/>
            </w:r>
            <w:r>
              <w:rPr>
                <w:rStyle w:val="Hyperlink"/>
                <w:noProof/>
              </w:rPr>
              <w:t>EFSI GF FINANCIAL STATEMENTS</w:t>
            </w:r>
            <w:r>
              <w:rPr>
                <w:noProof/>
                <w:webHidden/>
              </w:rPr>
              <w:tab/>
            </w:r>
            <w:r>
              <w:rPr>
                <w:noProof/>
                <w:webHidden/>
              </w:rPr>
              <w:fldChar w:fldCharType="begin"/>
            </w:r>
            <w:r>
              <w:rPr>
                <w:noProof/>
                <w:webHidden/>
              </w:rPr>
              <w:instrText xml:space="preserve"> PAGEREF _Toc7791287 \h </w:instrText>
            </w:r>
            <w:r>
              <w:rPr>
                <w:noProof/>
                <w:webHidden/>
              </w:rPr>
            </w:r>
            <w:r>
              <w:rPr>
                <w:noProof/>
                <w:webHidden/>
              </w:rPr>
              <w:fldChar w:fldCharType="separate"/>
            </w:r>
            <w:r>
              <w:rPr>
                <w:noProof/>
                <w:webHidden/>
              </w:rPr>
              <w:t>5</w:t>
            </w:r>
            <w:r>
              <w:rPr>
                <w:noProof/>
                <w:webHidden/>
              </w:rPr>
              <w:fldChar w:fldCharType="end"/>
            </w:r>
          </w:hyperlink>
        </w:p>
        <w:p>
          <w:pPr>
            <w:pStyle w:val="TOC1"/>
            <w:tabs>
              <w:tab w:val="left" w:pos="400"/>
              <w:tab w:val="right" w:leader="dot" w:pos="9062"/>
            </w:tabs>
            <w:rPr>
              <w:rFonts w:asciiTheme="minorHAnsi" w:eastAsiaTheme="minorEastAsia" w:hAnsiTheme="minorHAnsi" w:cstheme="minorBidi"/>
              <w:noProof/>
              <w:sz w:val="22"/>
              <w:szCs w:val="22"/>
            </w:rPr>
          </w:pPr>
          <w:hyperlink w:anchor="_Toc7791288" w:history="1">
            <w:r>
              <w:rPr>
                <w:rStyle w:val="Hyperlink"/>
                <w:noProof/>
              </w:rPr>
              <w:t>4.</w:t>
            </w:r>
            <w:r>
              <w:rPr>
                <w:rFonts w:asciiTheme="minorHAnsi" w:eastAsiaTheme="minorEastAsia" w:hAnsiTheme="minorHAnsi" w:cstheme="minorBidi"/>
                <w:noProof/>
                <w:sz w:val="22"/>
                <w:szCs w:val="22"/>
              </w:rPr>
              <w:tab/>
            </w:r>
            <w:r>
              <w:rPr>
                <w:rStyle w:val="Hyperlink"/>
                <w:noProof/>
              </w:rPr>
              <w:t>PROVISIONING OF THE EFSI GF</w:t>
            </w:r>
            <w:r>
              <w:rPr>
                <w:noProof/>
                <w:webHidden/>
              </w:rPr>
              <w:tab/>
            </w:r>
            <w:r>
              <w:rPr>
                <w:noProof/>
                <w:webHidden/>
              </w:rPr>
              <w:fldChar w:fldCharType="begin"/>
            </w:r>
            <w:r>
              <w:rPr>
                <w:noProof/>
                <w:webHidden/>
              </w:rPr>
              <w:instrText xml:space="preserve"> PAGEREF _Toc7791288 \h </w:instrText>
            </w:r>
            <w:r>
              <w:rPr>
                <w:noProof/>
                <w:webHidden/>
              </w:rPr>
            </w:r>
            <w:r>
              <w:rPr>
                <w:noProof/>
                <w:webHidden/>
              </w:rPr>
              <w:fldChar w:fldCharType="separate"/>
            </w:r>
            <w:r>
              <w:rPr>
                <w:noProof/>
                <w:webHidden/>
              </w:rPr>
              <w:t>7</w:t>
            </w:r>
            <w:r>
              <w:rPr>
                <w:noProof/>
                <w:webHidden/>
              </w:rPr>
              <w:fldChar w:fldCharType="end"/>
            </w:r>
          </w:hyperlink>
        </w:p>
        <w:p>
          <w:pPr>
            <w:pStyle w:val="TOC1"/>
            <w:tabs>
              <w:tab w:val="left" w:pos="400"/>
              <w:tab w:val="right" w:leader="dot" w:pos="9062"/>
            </w:tabs>
            <w:rPr>
              <w:rFonts w:asciiTheme="minorHAnsi" w:eastAsiaTheme="minorEastAsia" w:hAnsiTheme="minorHAnsi" w:cstheme="minorBidi"/>
              <w:noProof/>
              <w:sz w:val="22"/>
              <w:szCs w:val="22"/>
            </w:rPr>
          </w:pPr>
          <w:hyperlink w:anchor="_Toc7791289" w:history="1">
            <w:r>
              <w:rPr>
                <w:rStyle w:val="Hyperlink"/>
                <w:noProof/>
              </w:rPr>
              <w:t>5.</w:t>
            </w:r>
            <w:r>
              <w:rPr>
                <w:rFonts w:asciiTheme="minorHAnsi" w:eastAsiaTheme="minorEastAsia" w:hAnsiTheme="minorHAnsi" w:cstheme="minorBidi"/>
                <w:noProof/>
                <w:sz w:val="22"/>
                <w:szCs w:val="22"/>
              </w:rPr>
              <w:tab/>
            </w:r>
            <w:r>
              <w:rPr>
                <w:rStyle w:val="Hyperlink"/>
                <w:noProof/>
              </w:rPr>
              <w:t>ASSET MANAGEMENT</w:t>
            </w:r>
            <w:r>
              <w:rPr>
                <w:noProof/>
                <w:webHidden/>
              </w:rPr>
              <w:tab/>
            </w:r>
            <w:r>
              <w:rPr>
                <w:noProof/>
                <w:webHidden/>
              </w:rPr>
              <w:fldChar w:fldCharType="begin"/>
            </w:r>
            <w:r>
              <w:rPr>
                <w:noProof/>
                <w:webHidden/>
              </w:rPr>
              <w:instrText xml:space="preserve"> PAGEREF _Toc7791289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szCs w:val="22"/>
            </w:rPr>
          </w:pPr>
          <w:hyperlink w:anchor="_Toc7791290" w:history="1">
            <w:r>
              <w:rPr>
                <w:rStyle w:val="Hyperlink"/>
                <w:noProof/>
              </w:rPr>
              <w:t>5.1</w:t>
            </w:r>
            <w:r>
              <w:rPr>
                <w:rFonts w:asciiTheme="minorHAnsi" w:eastAsiaTheme="minorEastAsia" w:hAnsiTheme="minorHAnsi" w:cstheme="minorBidi"/>
                <w:noProof/>
                <w:sz w:val="22"/>
                <w:szCs w:val="22"/>
              </w:rPr>
              <w:tab/>
            </w:r>
            <w:r>
              <w:rPr>
                <w:rStyle w:val="Hyperlink"/>
                <w:noProof/>
              </w:rPr>
              <w:t>COMPOSITION OF THE PORTFOLIO</w:t>
            </w:r>
            <w:r>
              <w:rPr>
                <w:noProof/>
                <w:webHidden/>
              </w:rPr>
              <w:tab/>
            </w:r>
            <w:r>
              <w:rPr>
                <w:noProof/>
                <w:webHidden/>
              </w:rPr>
              <w:fldChar w:fldCharType="begin"/>
            </w:r>
            <w:r>
              <w:rPr>
                <w:noProof/>
                <w:webHidden/>
              </w:rPr>
              <w:instrText xml:space="preserve"> PAGEREF _Toc7791290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szCs w:val="22"/>
            </w:rPr>
          </w:pPr>
          <w:hyperlink w:anchor="_Toc7791291" w:history="1">
            <w:r>
              <w:rPr>
                <w:rStyle w:val="Hyperlink"/>
                <w:noProof/>
              </w:rPr>
              <w:t>5.2</w:t>
            </w:r>
            <w:r>
              <w:rPr>
                <w:rFonts w:asciiTheme="minorHAnsi" w:eastAsiaTheme="minorEastAsia" w:hAnsiTheme="minorHAnsi" w:cstheme="minorBidi"/>
                <w:noProof/>
                <w:sz w:val="22"/>
                <w:szCs w:val="22"/>
              </w:rPr>
              <w:tab/>
            </w:r>
            <w:r>
              <w:rPr>
                <w:rStyle w:val="Hyperlink"/>
                <w:noProof/>
              </w:rPr>
              <w:t>KEY RISK CHARACTERISTICS OF THE PORTFOLIO</w:t>
            </w:r>
            <w:r>
              <w:rPr>
                <w:noProof/>
                <w:webHidden/>
              </w:rPr>
              <w:tab/>
            </w:r>
            <w:r>
              <w:rPr>
                <w:noProof/>
                <w:webHidden/>
              </w:rPr>
              <w:fldChar w:fldCharType="begin"/>
            </w:r>
            <w:r>
              <w:rPr>
                <w:noProof/>
                <w:webHidden/>
              </w:rPr>
              <w:instrText xml:space="preserve"> PAGEREF _Toc7791291 \h </w:instrText>
            </w:r>
            <w:r>
              <w:rPr>
                <w:noProof/>
                <w:webHidden/>
              </w:rPr>
            </w:r>
            <w:r>
              <w:rPr>
                <w:noProof/>
                <w:webHidden/>
              </w:rPr>
              <w:fldChar w:fldCharType="separate"/>
            </w:r>
            <w:r>
              <w:rPr>
                <w:noProof/>
                <w:webHidden/>
              </w:rPr>
              <w:t>9</w:t>
            </w:r>
            <w:r>
              <w:rPr>
                <w:noProof/>
                <w:webHidden/>
              </w:rPr>
              <w:fldChar w:fldCharType="end"/>
            </w:r>
          </w:hyperlink>
        </w:p>
        <w:p>
          <w:pPr>
            <w:rPr>
              <w:b/>
              <w:bCs/>
              <w:noProof/>
            </w:rPr>
          </w:pPr>
          <w:r>
            <w:rPr>
              <w:b/>
              <w:bCs/>
              <w:noProof/>
            </w:rPr>
            <w:fldChar w:fldCharType="end"/>
          </w:r>
        </w:p>
        <w:p>
          <w:pPr>
            <w:rPr>
              <w:noProof/>
            </w:rPr>
          </w:pPr>
        </w:p>
      </w:sdtContent>
    </w:sdt>
    <w:p>
      <w:pPr>
        <w:widowControl/>
        <w:autoSpaceDE/>
        <w:autoSpaceDN/>
        <w:adjustRightInd/>
        <w:spacing w:after="200" w:line="276" w:lineRule="auto"/>
        <w:rPr>
          <w:noProof/>
        </w:rPr>
        <w:sectPr>
          <w:headerReference w:type="even" r:id="rId19"/>
          <w:headerReference w:type="default" r:id="rId20"/>
          <w:footerReference w:type="even" r:id="rId21"/>
          <w:footerReference w:type="default" r:id="rId22"/>
          <w:headerReference w:type="first" r:id="rId23"/>
          <w:footerReference w:type="first" r:id="rId24"/>
          <w:pgSz w:w="11906" w:h="16838" w:code="9"/>
          <w:pgMar w:top="1134" w:right="1417" w:bottom="1134" w:left="1417" w:header="709" w:footer="709" w:gutter="0"/>
          <w:pgNumType w:start="1"/>
          <w:cols w:space="720"/>
          <w:docGrid w:linePitch="360"/>
        </w:sectPr>
      </w:pPr>
    </w:p>
    <w:p>
      <w:pPr>
        <w:pStyle w:val="Heading1"/>
      </w:pPr>
      <w:bookmarkStart w:id="6" w:name="_Toc7791282"/>
      <w:r>
        <w:t>INTRODUCTION</w:t>
      </w:r>
      <w:bookmarkEnd w:id="0"/>
      <w:bookmarkEnd w:id="1"/>
      <w:bookmarkEnd w:id="2"/>
      <w:bookmarkEnd w:id="3"/>
      <w:bookmarkEnd w:id="6"/>
    </w:p>
    <w:p>
      <w:pPr>
        <w:spacing w:before="240" w:after="240"/>
        <w:jc w:val="both"/>
        <w:rPr>
          <w:noProof/>
          <w:sz w:val="24"/>
          <w:szCs w:val="24"/>
        </w:rPr>
      </w:pPr>
      <w:r>
        <w:rPr>
          <w:noProof/>
          <w:sz w:val="24"/>
          <w:szCs w:val="24"/>
        </w:rPr>
        <w:t>This Staff Working Document (SWD) accompanies the Report on the Management of the European Fund for Strategic Investments Guarantee Fund (EFSI GF) in 2019. The SWD provides further information and tables on (2) operations under the IIW and SMEW (signatures and disbursed amounts, breakdown by sector and country), (3) financial statements, (4) provisioning of the EFSI GF and (5) asset management.</w:t>
      </w:r>
    </w:p>
    <w:p>
      <w:pPr>
        <w:pStyle w:val="Heading1"/>
      </w:pPr>
      <w:bookmarkStart w:id="7" w:name="_Toc477531488"/>
      <w:bookmarkStart w:id="8" w:name="_Toc508973546"/>
      <w:bookmarkStart w:id="9" w:name="_Toc508973600"/>
      <w:bookmarkStart w:id="10" w:name="_Toc508973886"/>
      <w:bookmarkStart w:id="11" w:name="_Toc7791283"/>
      <w:r>
        <w:t>EFSI OPERATIONS</w:t>
      </w:r>
      <w:bookmarkEnd w:id="7"/>
      <w:r>
        <w:t xml:space="preserve"> SUPPORTED BY THE EU GUARANTEE</w:t>
      </w:r>
      <w:bookmarkEnd w:id="8"/>
      <w:bookmarkEnd w:id="9"/>
      <w:bookmarkEnd w:id="10"/>
      <w:bookmarkEnd w:id="11"/>
    </w:p>
    <w:p>
      <w:pPr>
        <w:spacing w:before="240" w:after="240"/>
        <w:jc w:val="both"/>
        <w:rPr>
          <w:noProof/>
          <w:sz w:val="24"/>
          <w:szCs w:val="24"/>
        </w:rPr>
      </w:pPr>
      <w:r>
        <w:rPr>
          <w:noProof/>
          <w:sz w:val="24"/>
          <w:szCs w:val="24"/>
        </w:rPr>
        <w:t>This section provides a breakdown of the EFSI operations supported by the EU Guarantee in terms of number of operations, investment volume (signature and investment mobilised) as well sector and country breakdown.</w:t>
      </w:r>
    </w:p>
    <w:p>
      <w:pPr>
        <w:pStyle w:val="Heading2"/>
        <w:ind w:left="1440" w:hanging="720"/>
        <w:rPr>
          <w:noProof/>
        </w:rPr>
      </w:pPr>
      <w:bookmarkStart w:id="12" w:name="_Toc508973547"/>
      <w:bookmarkStart w:id="13" w:name="_Toc508973601"/>
      <w:bookmarkStart w:id="14" w:name="_Toc508973887"/>
      <w:bookmarkStart w:id="15" w:name="_Toc7791284"/>
      <w:r>
        <w:rPr>
          <w:noProof/>
        </w:rPr>
        <w:t>IIW OPERATIONS</w:t>
      </w:r>
      <w:bookmarkEnd w:id="12"/>
      <w:bookmarkEnd w:id="13"/>
      <w:bookmarkEnd w:id="14"/>
      <w:bookmarkEnd w:id="15"/>
    </w:p>
    <w:p>
      <w:pPr>
        <w:spacing w:before="240" w:after="240"/>
        <w:jc w:val="both"/>
        <w:rPr>
          <w:noProof/>
          <w:sz w:val="24"/>
          <w:szCs w:val="24"/>
        </w:rPr>
      </w:pPr>
      <w:r>
        <w:rPr>
          <w:noProof/>
          <w:sz w:val="24"/>
          <w:szCs w:val="24"/>
        </w:rPr>
        <w:t>As at 31 December 2019, 532 operations in 28 Member States were signed under the IIW. The total signatures amount to EUR 49.2 billion which is expected to mobilise investments of EUR 244.4 billion. Half of the signed operations in terms of volume were in the energy (26%) and research sector (21%), followed by the provision of financial support to SMEs and small Mid-Cap companies (18%) and transport (15%).</w:t>
      </w:r>
    </w:p>
    <w:p>
      <w:pPr>
        <w:pStyle w:val="Heading2"/>
        <w:ind w:left="1440" w:hanging="720"/>
        <w:rPr>
          <w:noProof/>
        </w:rPr>
      </w:pPr>
      <w:bookmarkStart w:id="16" w:name="_Toc508973548"/>
      <w:bookmarkStart w:id="17" w:name="_Toc508973602"/>
      <w:bookmarkStart w:id="18" w:name="_Toc508973888"/>
      <w:bookmarkStart w:id="19" w:name="_Toc7791285"/>
      <w:r>
        <w:rPr>
          <w:noProof/>
        </w:rPr>
        <w:t>SMEW OPERATIONS</w:t>
      </w:r>
      <w:bookmarkEnd w:id="16"/>
      <w:bookmarkEnd w:id="17"/>
      <w:bookmarkEnd w:id="18"/>
      <w:bookmarkEnd w:id="19"/>
    </w:p>
    <w:p>
      <w:pPr>
        <w:spacing w:before="240" w:after="240"/>
        <w:jc w:val="both"/>
        <w:rPr>
          <w:noProof/>
          <w:sz w:val="24"/>
          <w:szCs w:val="24"/>
        </w:rPr>
      </w:pPr>
      <w:r>
        <w:rPr>
          <w:noProof/>
          <w:sz w:val="24"/>
          <w:szCs w:val="24"/>
        </w:rPr>
        <w:t>As at 31 December 2019, 630 operations in 28 Member States were signed under the SMEW. The total financing of EUR 19.5 billion is expected to mobilise investments of EUR 156.3 billion. The most important sectors in terms of volume were research and development (69%) and digital (17%).</w:t>
      </w:r>
    </w:p>
    <w:p>
      <w:pPr>
        <w:spacing w:before="240" w:after="240"/>
        <w:jc w:val="both"/>
        <w:rPr>
          <w:noProof/>
          <w:sz w:val="24"/>
          <w:szCs w:val="24"/>
        </w:rPr>
      </w:pPr>
    </w:p>
    <w:p>
      <w:pPr>
        <w:rPr>
          <w:noProof/>
          <w:sz w:val="24"/>
          <w:szCs w:val="24"/>
        </w:rPr>
      </w:pPr>
    </w:p>
    <w:p>
      <w:pPr>
        <w:rPr>
          <w:noProof/>
          <w:sz w:val="24"/>
          <w:szCs w:val="24"/>
        </w:rPr>
      </w:pPr>
    </w:p>
    <w:p>
      <w:pPr>
        <w:rPr>
          <w:noProof/>
          <w:sz w:val="24"/>
          <w:szCs w:val="24"/>
        </w:rPr>
      </w:pPr>
    </w:p>
    <w:p>
      <w:pPr>
        <w:rPr>
          <w:noProof/>
          <w:sz w:val="24"/>
          <w:szCs w:val="24"/>
        </w:rPr>
      </w:pPr>
    </w:p>
    <w:p>
      <w:pPr>
        <w:tabs>
          <w:tab w:val="left" w:pos="1850"/>
        </w:tabs>
        <w:rPr>
          <w:noProof/>
          <w:sz w:val="24"/>
          <w:szCs w:val="24"/>
        </w:rPr>
        <w:sectPr>
          <w:headerReference w:type="even" r:id="rId25"/>
          <w:headerReference w:type="default" r:id="rId26"/>
          <w:footerReference w:type="even" r:id="rId27"/>
          <w:footerReference w:type="default" r:id="rId28"/>
          <w:headerReference w:type="first" r:id="rId29"/>
          <w:footerReference w:type="first" r:id="rId30"/>
          <w:pgSz w:w="11906" w:h="16838" w:code="9"/>
          <w:pgMar w:top="1134" w:right="1417" w:bottom="1134" w:left="1417" w:header="709" w:footer="709" w:gutter="0"/>
          <w:pgNumType w:start="2"/>
          <w:cols w:space="720"/>
          <w:docGrid w:linePitch="360"/>
        </w:sectPr>
      </w:pPr>
    </w:p>
    <w:p>
      <w:pPr>
        <w:pStyle w:val="Heading2"/>
        <w:ind w:left="1440" w:hanging="720"/>
        <w:rPr>
          <w:noProof/>
        </w:rPr>
      </w:pPr>
      <w:bookmarkStart w:id="20" w:name="_Toc508973549"/>
      <w:bookmarkStart w:id="21" w:name="_Toc508973603"/>
      <w:bookmarkStart w:id="22" w:name="_Toc508973889"/>
      <w:bookmarkStart w:id="23" w:name="_Toc7791286"/>
      <w:r>
        <w:rPr>
          <w:noProof/>
        </w:rPr>
        <w:t>BREAKDOWN OF EFSI OPERATIONS BY SECTOR AND COUNTRY</w:t>
      </w:r>
      <w:bookmarkEnd w:id="20"/>
      <w:bookmarkEnd w:id="21"/>
      <w:bookmarkEnd w:id="22"/>
      <w:bookmarkEnd w:id="23"/>
    </w:p>
    <w:p>
      <w:pPr>
        <w:tabs>
          <w:tab w:val="left" w:pos="-1134"/>
          <w:tab w:val="left" w:pos="993"/>
        </w:tabs>
        <w:spacing w:before="240" w:after="240"/>
        <w:ind w:left="993" w:hanging="993"/>
        <w:jc w:val="both"/>
        <w:rPr>
          <w:noProof/>
          <w:sz w:val="24"/>
          <w:szCs w:val="24"/>
        </w:rPr>
      </w:pPr>
      <w:r>
        <w:rPr>
          <w:noProof/>
          <w:sz w:val="24"/>
          <w:szCs w:val="24"/>
        </w:rPr>
        <w:t>Table 1:</w:t>
      </w:r>
      <w:r>
        <w:rPr>
          <w:noProof/>
          <w:sz w:val="24"/>
          <w:szCs w:val="24"/>
        </w:rPr>
        <w:tab/>
        <w:t>Distribution of signed EFSI IIW and SMEW operations by sector as at 31 December 2019 (EUR million).</w:t>
      </w:r>
    </w:p>
    <w:p>
      <w:pPr>
        <w:tabs>
          <w:tab w:val="left" w:pos="-1134"/>
          <w:tab w:val="left" w:pos="993"/>
        </w:tabs>
        <w:spacing w:before="240" w:after="240"/>
        <w:ind w:left="993" w:hanging="993"/>
        <w:jc w:val="both"/>
        <w:rPr>
          <w:noProof/>
          <w:sz w:val="24"/>
          <w:szCs w:val="24"/>
          <w:lang w:val="fr-BE"/>
        </w:rPr>
      </w:pPr>
      <w:r>
        <w:rPr>
          <w:noProof/>
        </w:rPr>
        <w:drawing>
          <wp:inline distT="0" distB="0" distL="0" distR="0">
            <wp:extent cx="5759450" cy="259143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9450" cy="2591435"/>
                    </a:xfrm>
                    <a:prstGeom prst="rect">
                      <a:avLst/>
                    </a:prstGeom>
                    <a:noFill/>
                    <a:ln>
                      <a:noFill/>
                    </a:ln>
                  </pic:spPr>
                </pic:pic>
              </a:graphicData>
            </a:graphic>
          </wp:inline>
        </w:drawing>
      </w:r>
    </w:p>
    <w:p>
      <w:pPr>
        <w:tabs>
          <w:tab w:val="left" w:pos="-1134"/>
          <w:tab w:val="left" w:pos="0"/>
        </w:tabs>
        <w:spacing w:before="120"/>
        <w:jc w:val="both"/>
        <w:rPr>
          <w:i/>
          <w:noProof/>
          <w:sz w:val="18"/>
          <w:szCs w:val="18"/>
        </w:rPr>
      </w:pPr>
      <w:r>
        <w:rPr>
          <w:i/>
          <w:noProof/>
          <w:sz w:val="18"/>
          <w:szCs w:val="18"/>
        </w:rPr>
        <w:t>Source: EFSI Operational Report provided by the EIB</w:t>
      </w:r>
    </w:p>
    <w:p>
      <w:pPr>
        <w:tabs>
          <w:tab w:val="left" w:pos="-1134"/>
        </w:tabs>
        <w:spacing w:before="240"/>
        <w:jc w:val="both"/>
        <w:rPr>
          <w:noProof/>
          <w:sz w:val="18"/>
          <w:szCs w:val="18"/>
        </w:rPr>
      </w:pPr>
      <w:r>
        <w:rPr>
          <w:noProof/>
          <w:sz w:val="18"/>
          <w:szCs w:val="18"/>
        </w:rPr>
        <w:t xml:space="preserve">Note: Objective and subcategory as defined in Art.9 of EFSI Regulation. Totals may not always add up exactly due to rounding. </w:t>
      </w:r>
    </w:p>
    <w:p>
      <w:pPr>
        <w:tabs>
          <w:tab w:val="left" w:pos="-1134"/>
          <w:tab w:val="left" w:pos="993"/>
        </w:tabs>
        <w:spacing w:before="240" w:after="240"/>
        <w:jc w:val="both"/>
        <w:rPr>
          <w:noProof/>
          <w:sz w:val="24"/>
          <w:szCs w:val="24"/>
        </w:rPr>
      </w:pPr>
    </w:p>
    <w:p>
      <w:pPr>
        <w:keepNext/>
        <w:keepLines/>
        <w:widowControl/>
        <w:autoSpaceDE/>
        <w:autoSpaceDN/>
        <w:adjustRightInd/>
        <w:spacing w:after="200" w:line="276" w:lineRule="auto"/>
        <w:ind w:left="826" w:hanging="826"/>
        <w:rPr>
          <w:noProof/>
          <w:sz w:val="24"/>
          <w:szCs w:val="24"/>
        </w:rPr>
      </w:pPr>
      <w:r>
        <w:rPr>
          <w:noProof/>
          <w:sz w:val="24"/>
          <w:szCs w:val="24"/>
        </w:rPr>
        <w:br w:type="page"/>
        <w:t>Table 2: Distribution of signed EFSI IIW and SMEW operations by country as at 31 December 2019 (EUR million)</w:t>
      </w:r>
    </w:p>
    <w:p>
      <w:pPr>
        <w:widowControl/>
        <w:autoSpaceDE/>
        <w:autoSpaceDN/>
        <w:adjustRightInd/>
        <w:spacing w:line="276" w:lineRule="auto"/>
        <w:rPr>
          <w:noProof/>
          <w:lang w:val="fr-BE"/>
        </w:rPr>
      </w:pPr>
      <w:bookmarkStart w:id="24" w:name="_Toc477531489"/>
      <w:r>
        <w:rPr>
          <w:noProof/>
        </w:rPr>
        <w:drawing>
          <wp:inline distT="0" distB="0" distL="0" distR="0">
            <wp:extent cx="5759450" cy="609663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9450" cy="6096635"/>
                    </a:xfrm>
                    <a:prstGeom prst="rect">
                      <a:avLst/>
                    </a:prstGeom>
                    <a:noFill/>
                    <a:ln>
                      <a:noFill/>
                    </a:ln>
                  </pic:spPr>
                </pic:pic>
              </a:graphicData>
            </a:graphic>
          </wp:inline>
        </w:drawing>
      </w:r>
    </w:p>
    <w:p>
      <w:pPr>
        <w:tabs>
          <w:tab w:val="left" w:pos="-1134"/>
          <w:tab w:val="left" w:pos="0"/>
        </w:tabs>
        <w:jc w:val="both"/>
        <w:rPr>
          <w:i/>
          <w:noProof/>
          <w:sz w:val="18"/>
          <w:szCs w:val="18"/>
        </w:rPr>
      </w:pPr>
      <w:r>
        <w:rPr>
          <w:i/>
          <w:noProof/>
          <w:sz w:val="18"/>
          <w:szCs w:val="18"/>
        </w:rPr>
        <w:t>Source: EFSI Operational Report provided by the EIB</w:t>
      </w:r>
    </w:p>
    <w:p>
      <w:pPr>
        <w:tabs>
          <w:tab w:val="left" w:pos="-1134"/>
          <w:tab w:val="left" w:pos="993"/>
        </w:tabs>
        <w:spacing w:before="240"/>
        <w:ind w:left="992" w:hanging="992"/>
        <w:jc w:val="both"/>
        <w:rPr>
          <w:noProof/>
          <w:sz w:val="18"/>
          <w:szCs w:val="18"/>
        </w:rPr>
      </w:pPr>
      <w:r>
        <w:rPr>
          <w:noProof/>
          <w:sz w:val="18"/>
          <w:szCs w:val="18"/>
        </w:rPr>
        <w:t xml:space="preserve">Note: Totals may not always add up exactly due to rounding. </w:t>
      </w:r>
    </w:p>
    <w:p>
      <w:pPr>
        <w:widowControl/>
        <w:autoSpaceDE/>
        <w:autoSpaceDN/>
        <w:adjustRightInd/>
        <w:spacing w:after="200" w:line="276" w:lineRule="auto"/>
        <w:rPr>
          <w:rFonts w:asciiTheme="majorHAnsi" w:eastAsiaTheme="majorEastAsia" w:hAnsiTheme="majorHAnsi" w:cstheme="majorBidi"/>
          <w:b/>
          <w:bCs/>
          <w:noProof/>
          <w:color w:val="000000" w:themeColor="text1"/>
          <w:sz w:val="28"/>
          <w:szCs w:val="28"/>
        </w:rPr>
      </w:pPr>
      <w:r>
        <w:rPr>
          <w:noProof/>
        </w:rPr>
        <w:br w:type="page"/>
      </w:r>
    </w:p>
    <w:p>
      <w:pPr>
        <w:pStyle w:val="Heading1"/>
      </w:pPr>
      <w:bookmarkStart w:id="25" w:name="_Toc508973550"/>
      <w:bookmarkStart w:id="26" w:name="_Toc508973604"/>
      <w:bookmarkStart w:id="27" w:name="_Toc508973890"/>
      <w:bookmarkStart w:id="28" w:name="_Toc7791287"/>
      <w:r>
        <w:t>EFSI GF FINANCIAL STATEMENTS</w:t>
      </w:r>
      <w:bookmarkEnd w:id="24"/>
      <w:bookmarkEnd w:id="25"/>
      <w:bookmarkEnd w:id="26"/>
      <w:bookmarkEnd w:id="27"/>
      <w:bookmarkEnd w:id="28"/>
    </w:p>
    <w:p>
      <w:pPr>
        <w:spacing w:before="240" w:after="240"/>
        <w:rPr>
          <w:rStyle w:val="BookTitle"/>
          <w:noProof/>
          <w:sz w:val="24"/>
          <w:szCs w:val="24"/>
        </w:rPr>
      </w:pPr>
      <w:r>
        <w:rPr>
          <w:rStyle w:val="BookTitle"/>
          <w:noProof/>
          <w:sz w:val="24"/>
          <w:szCs w:val="24"/>
        </w:rPr>
        <w:t>Statement of Financial Position as at 31 December 2019</w:t>
      </w:r>
    </w:p>
    <w:tbl>
      <w:tblPr>
        <w:tblW w:w="8931" w:type="dxa"/>
        <w:tblLayout w:type="fixed"/>
        <w:tblCellMar>
          <w:left w:w="0" w:type="dxa"/>
          <w:right w:w="0" w:type="dxa"/>
        </w:tblCellMar>
        <w:tblLook w:val="0000" w:firstRow="0" w:lastRow="0" w:firstColumn="0" w:lastColumn="0" w:noHBand="0" w:noVBand="0"/>
      </w:tblPr>
      <w:tblGrid>
        <w:gridCol w:w="5245"/>
        <w:gridCol w:w="1843"/>
        <w:gridCol w:w="1843"/>
      </w:tblGrid>
      <w:tr>
        <w:trPr>
          <w:trHeight w:hRule="exact" w:val="283"/>
        </w:trPr>
        <w:tc>
          <w:tcPr>
            <w:tcW w:w="5245" w:type="dxa"/>
            <w:tcBorders>
              <w:top w:val="nil"/>
              <w:left w:val="nil"/>
              <w:bottom w:val="nil"/>
              <w:right w:val="nil"/>
            </w:tcBorders>
            <w:noWrap/>
            <w:vAlign w:val="bottom"/>
          </w:tcPr>
          <w:p>
            <w:pPr>
              <w:rPr>
                <w:rFonts w:eastAsia="Arial Unicode MS" w:cs="Arial"/>
                <w:b/>
                <w:noProof/>
                <w:u w:val="single"/>
              </w:rPr>
            </w:pPr>
            <w:r>
              <w:rPr>
                <w:rFonts w:eastAsia="Arial Unicode MS" w:cs="Arial"/>
                <w:b/>
                <w:noProof/>
                <w:u w:val="single"/>
              </w:rPr>
              <w:t>ASSETS</w:t>
            </w:r>
          </w:p>
        </w:tc>
        <w:tc>
          <w:tcPr>
            <w:tcW w:w="1843" w:type="dxa"/>
            <w:tcBorders>
              <w:top w:val="nil"/>
              <w:left w:val="nil"/>
              <w:bottom w:val="nil"/>
              <w:right w:val="nil"/>
            </w:tcBorders>
            <w:noWrap/>
            <w:vAlign w:val="bottom"/>
          </w:tcPr>
          <w:p>
            <w:pPr>
              <w:rPr>
                <w:rFonts w:eastAsia="Arial Unicode MS" w:cs="Arial"/>
                <w:noProof/>
              </w:rPr>
            </w:pPr>
          </w:p>
        </w:tc>
        <w:tc>
          <w:tcPr>
            <w:tcW w:w="1843" w:type="dxa"/>
            <w:tcBorders>
              <w:top w:val="nil"/>
              <w:left w:val="nil"/>
              <w:bottom w:val="nil"/>
              <w:right w:val="nil"/>
            </w:tcBorders>
            <w:noWrap/>
            <w:vAlign w:val="bottom"/>
          </w:tcPr>
          <w:p>
            <w:pPr>
              <w:rPr>
                <w:rFonts w:eastAsia="Arial Unicode MS" w:cs="Arial"/>
                <w:noProof/>
              </w:rPr>
            </w:pPr>
          </w:p>
        </w:tc>
      </w:tr>
      <w:tr>
        <w:trPr>
          <w:trHeight w:hRule="exact" w:val="283"/>
        </w:trPr>
        <w:tc>
          <w:tcPr>
            <w:tcW w:w="5245" w:type="dxa"/>
            <w:tcBorders>
              <w:top w:val="nil"/>
              <w:left w:val="nil"/>
              <w:bottom w:val="single" w:sz="4" w:space="0" w:color="auto"/>
              <w:right w:val="nil"/>
            </w:tcBorders>
            <w:noWrap/>
            <w:vAlign w:val="bottom"/>
          </w:tcPr>
          <w:p>
            <w:pPr>
              <w:rPr>
                <w:rFonts w:eastAsia="Arial Unicode MS" w:cs="Arial"/>
                <w:noProof/>
                <w:u w:val="single"/>
              </w:rPr>
            </w:pPr>
          </w:p>
        </w:tc>
        <w:tc>
          <w:tcPr>
            <w:tcW w:w="1843" w:type="dxa"/>
            <w:tcBorders>
              <w:top w:val="nil"/>
              <w:left w:val="nil"/>
              <w:bottom w:val="single" w:sz="4" w:space="0" w:color="auto"/>
              <w:right w:val="nil"/>
            </w:tcBorders>
            <w:noWrap/>
            <w:vAlign w:val="bottom"/>
          </w:tcPr>
          <w:p>
            <w:pPr>
              <w:rPr>
                <w:rFonts w:eastAsia="Arial Unicode MS" w:cs="Arial"/>
                <w:noProof/>
              </w:rPr>
            </w:pPr>
          </w:p>
        </w:tc>
        <w:tc>
          <w:tcPr>
            <w:tcW w:w="1843" w:type="dxa"/>
            <w:tcBorders>
              <w:top w:val="nil"/>
              <w:left w:val="nil"/>
              <w:bottom w:val="single" w:sz="4" w:space="0" w:color="auto"/>
              <w:right w:val="nil"/>
            </w:tcBorders>
            <w:noWrap/>
            <w:vAlign w:val="bottom"/>
          </w:tcPr>
          <w:p>
            <w:pPr>
              <w:rPr>
                <w:rFonts w:eastAsia="Arial Unicode MS" w:cs="Arial"/>
                <w:noProof/>
              </w:rPr>
            </w:pPr>
          </w:p>
        </w:tc>
      </w:tr>
      <w:tr>
        <w:trPr>
          <w:trHeight w:hRule="exact" w:val="283"/>
        </w:trPr>
        <w:tc>
          <w:tcPr>
            <w:tcW w:w="5245" w:type="dxa"/>
            <w:tcBorders>
              <w:top w:val="single" w:sz="4" w:space="0" w:color="auto"/>
              <w:left w:val="single" w:sz="4" w:space="0" w:color="auto"/>
              <w:bottom w:val="single" w:sz="4" w:space="0" w:color="auto"/>
              <w:right w:val="single" w:sz="4" w:space="0" w:color="auto"/>
            </w:tcBorders>
            <w:shd w:val="clear" w:color="auto" w:fill="FFFFFF"/>
            <w:noWrap/>
            <w:vAlign w:val="bottom"/>
          </w:tcPr>
          <w:p>
            <w:pPr>
              <w:rPr>
                <w:rFonts w:eastAsia="Arial Unicode MS" w:cs="Arial"/>
                <w:noProof/>
              </w:rPr>
            </w:pPr>
            <w:r>
              <w:rPr>
                <w:rFonts w:cs="Arial"/>
                <w:noProof/>
              </w:rPr>
              <w:t> </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jc w:val="center"/>
              <w:rPr>
                <w:rFonts w:eastAsia="Arial Unicode MS" w:cs="Arial"/>
                <w:b/>
                <w:bCs/>
                <w:noProof/>
              </w:rPr>
            </w:pPr>
            <w:r>
              <w:rPr>
                <w:rFonts w:cs="Arial"/>
                <w:b/>
                <w:bCs/>
                <w:noProof/>
              </w:rPr>
              <w:t>31 December 2019</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jc w:val="center"/>
              <w:rPr>
                <w:rFonts w:eastAsia="Arial Unicode MS" w:cs="Arial"/>
                <w:b/>
                <w:bCs/>
                <w:noProof/>
              </w:rPr>
            </w:pPr>
            <w:r>
              <w:rPr>
                <w:rFonts w:cs="Arial"/>
                <w:b/>
                <w:bCs/>
                <w:noProof/>
              </w:rPr>
              <w:t>31 December 2018</w:t>
            </w:r>
          </w:p>
        </w:tc>
      </w:tr>
      <w:tr>
        <w:trPr>
          <w:trHeight w:hRule="exact" w:val="283"/>
        </w:trPr>
        <w:tc>
          <w:tcPr>
            <w:tcW w:w="5245" w:type="dxa"/>
            <w:tcBorders>
              <w:top w:val="single" w:sz="4" w:space="0" w:color="auto"/>
              <w:left w:val="single" w:sz="4" w:space="0" w:color="auto"/>
              <w:bottom w:val="single" w:sz="4" w:space="0" w:color="auto"/>
              <w:right w:val="single" w:sz="4" w:space="0" w:color="auto"/>
            </w:tcBorders>
            <w:shd w:val="clear" w:color="auto" w:fill="FFFFFF"/>
            <w:noWrap/>
            <w:vAlign w:val="bottom"/>
          </w:tcPr>
          <w:p>
            <w:pPr>
              <w:rPr>
                <w:rFonts w:cs="Arial"/>
                <w:noProof/>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jc w:val="center"/>
              <w:rPr>
                <w:rFonts w:cs="Arial"/>
                <w:b/>
                <w:bCs/>
                <w:noProof/>
                <w:lang w:val="fr-FR"/>
              </w:rPr>
            </w:pPr>
            <w:r>
              <w:rPr>
                <w:rFonts w:cs="Arial"/>
                <w:b/>
                <w:bCs/>
                <w:noProof/>
                <w:lang w:val="fr-FR"/>
              </w:rPr>
              <w:t>EUR</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jc w:val="center"/>
              <w:rPr>
                <w:rFonts w:cs="Arial"/>
                <w:b/>
                <w:bCs/>
                <w:noProof/>
                <w:lang w:val="fr-FR"/>
              </w:rPr>
            </w:pPr>
            <w:r>
              <w:rPr>
                <w:rFonts w:cs="Arial"/>
                <w:b/>
                <w:bCs/>
                <w:noProof/>
                <w:lang w:val="fr-FR"/>
              </w:rPr>
              <w:t>EUR</w:t>
            </w:r>
          </w:p>
        </w:tc>
      </w:tr>
      <w:tr>
        <w:trPr>
          <w:trHeight w:hRule="exact" w:val="283"/>
        </w:trPr>
        <w:tc>
          <w:tcPr>
            <w:tcW w:w="5245" w:type="dxa"/>
            <w:tcBorders>
              <w:top w:val="single" w:sz="4" w:space="0" w:color="auto"/>
              <w:left w:val="single" w:sz="4" w:space="0" w:color="auto"/>
              <w:bottom w:val="single" w:sz="4" w:space="0" w:color="auto"/>
              <w:right w:val="single" w:sz="4" w:space="0" w:color="auto"/>
            </w:tcBorders>
            <w:shd w:val="clear" w:color="auto" w:fill="FFFFFF"/>
            <w:noWrap/>
            <w:vAlign w:val="bottom"/>
          </w:tcPr>
          <w:p>
            <w:pPr>
              <w:rPr>
                <w:rFonts w:cs="Arial"/>
                <w:b/>
                <w:bCs/>
                <w:noProof/>
                <w:lang w:val="fr-FR"/>
              </w:rPr>
            </w:pPr>
            <w:r>
              <w:rPr>
                <w:rFonts w:cs="Arial"/>
                <w:b/>
                <w:bCs/>
                <w:noProof/>
                <w:lang w:val="fr-FR"/>
              </w:rPr>
              <w:t>NON-CURRENT ASSETS</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cs="Arial"/>
                <w:b/>
                <w:noProof/>
                <w:lang w:eastAsia="ko-KR"/>
              </w:rPr>
            </w:pPr>
            <w:r>
              <w:rPr>
                <w:rFonts w:cs="Arial"/>
                <w:b/>
                <w:noProof/>
                <w:lang w:eastAsia="ko-KR"/>
              </w:rPr>
              <w:t>5 151 007 135</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cs="Arial"/>
                <w:b/>
                <w:noProof/>
                <w:lang w:eastAsia="ko-KR"/>
              </w:rPr>
            </w:pPr>
            <w:r>
              <w:rPr>
                <w:rFonts w:cs="Arial"/>
                <w:b/>
                <w:noProof/>
                <w:lang w:eastAsia="ko-KR"/>
              </w:rPr>
              <w:t>4 233 866 211</w:t>
            </w:r>
          </w:p>
        </w:tc>
      </w:tr>
      <w:tr>
        <w:trPr>
          <w:trHeight w:hRule="exact" w:val="283"/>
        </w:trPr>
        <w:tc>
          <w:tcPr>
            <w:tcW w:w="5245" w:type="dxa"/>
            <w:tcBorders>
              <w:top w:val="single" w:sz="4" w:space="0" w:color="auto"/>
              <w:left w:val="single" w:sz="4" w:space="0" w:color="auto"/>
              <w:bottom w:val="single" w:sz="4" w:space="0" w:color="auto"/>
              <w:right w:val="single" w:sz="4" w:space="0" w:color="auto"/>
            </w:tcBorders>
            <w:shd w:val="clear" w:color="auto" w:fill="FFFFFF"/>
            <w:noWrap/>
            <w:vAlign w:val="bottom"/>
          </w:tcPr>
          <w:p>
            <w:pPr>
              <w:rPr>
                <w:rFonts w:eastAsia="Arial Unicode MS" w:cs="Arial"/>
                <w:b/>
                <w:bCs/>
                <w:noProof/>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cs="Arial"/>
                <w:b/>
                <w:noProof/>
                <w:lang w:eastAsia="ko-KR"/>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cs="Arial"/>
                <w:b/>
                <w:noProof/>
                <w:lang w:eastAsia="ko-KR"/>
              </w:rPr>
            </w:pPr>
          </w:p>
        </w:tc>
      </w:tr>
      <w:tr>
        <w:trPr>
          <w:trHeight w:hRule="exact" w:val="283"/>
        </w:trPr>
        <w:tc>
          <w:tcPr>
            <w:tcW w:w="5245" w:type="dxa"/>
            <w:tcBorders>
              <w:top w:val="single" w:sz="4" w:space="0" w:color="auto"/>
              <w:left w:val="single" w:sz="4" w:space="0" w:color="auto"/>
              <w:bottom w:val="single" w:sz="4" w:space="0" w:color="auto"/>
              <w:right w:val="single" w:sz="4" w:space="0" w:color="auto"/>
            </w:tcBorders>
            <w:shd w:val="clear" w:color="auto" w:fill="FFFFFF"/>
            <w:noWrap/>
            <w:vAlign w:val="bottom"/>
          </w:tcPr>
          <w:p>
            <w:pPr>
              <w:rPr>
                <w:rFonts w:cs="Arial"/>
                <w:bCs/>
                <w:noProof/>
              </w:rPr>
            </w:pPr>
            <w:r>
              <w:rPr>
                <w:rFonts w:eastAsia="Arial Unicode MS" w:cs="Arial"/>
                <w:bCs/>
                <w:noProof/>
              </w:rPr>
              <w:t>Available for sale financial assets</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cs="Arial"/>
                <w:noProof/>
                <w:lang w:eastAsia="ko-KR"/>
              </w:rPr>
            </w:pPr>
            <w:r>
              <w:rPr>
                <w:rFonts w:cs="Arial"/>
                <w:noProof/>
                <w:lang w:eastAsia="ko-KR"/>
              </w:rPr>
              <w:t>5 151 007 135</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cs="Arial"/>
                <w:noProof/>
                <w:lang w:eastAsia="ko-KR"/>
              </w:rPr>
            </w:pPr>
            <w:r>
              <w:rPr>
                <w:rFonts w:cs="Arial"/>
                <w:noProof/>
                <w:lang w:eastAsia="ko-KR"/>
              </w:rPr>
              <w:t>4 233 866 211</w:t>
            </w:r>
          </w:p>
        </w:tc>
      </w:tr>
      <w:tr>
        <w:trPr>
          <w:trHeight w:hRule="exact" w:val="283"/>
        </w:trPr>
        <w:tc>
          <w:tcPr>
            <w:tcW w:w="5245" w:type="dxa"/>
            <w:tcBorders>
              <w:top w:val="single" w:sz="4" w:space="0" w:color="auto"/>
              <w:left w:val="single" w:sz="4" w:space="0" w:color="auto"/>
              <w:bottom w:val="single" w:sz="4" w:space="0" w:color="auto"/>
              <w:right w:val="single" w:sz="4" w:space="0" w:color="auto"/>
            </w:tcBorders>
            <w:shd w:val="clear" w:color="auto" w:fill="FFFFFF"/>
            <w:noWrap/>
            <w:vAlign w:val="bottom"/>
          </w:tcPr>
          <w:p>
            <w:pPr>
              <w:rPr>
                <w:rFonts w:cs="Arial"/>
                <w:b/>
                <w:bCs/>
                <w:noProof/>
                <w:lang w:val="fr-FR"/>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cs="Arial"/>
                <w:b/>
                <w:noProof/>
                <w:lang w:eastAsia="ko-KR"/>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cs="Arial"/>
                <w:b/>
                <w:noProof/>
                <w:lang w:eastAsia="ko-KR"/>
              </w:rPr>
            </w:pPr>
          </w:p>
        </w:tc>
      </w:tr>
      <w:tr>
        <w:trPr>
          <w:trHeight w:hRule="exact" w:val="283"/>
        </w:trPr>
        <w:tc>
          <w:tcPr>
            <w:tcW w:w="5245" w:type="dxa"/>
            <w:tcBorders>
              <w:top w:val="single" w:sz="4" w:space="0" w:color="auto"/>
              <w:left w:val="single" w:sz="4" w:space="0" w:color="auto"/>
              <w:bottom w:val="single" w:sz="4" w:space="0" w:color="auto"/>
              <w:right w:val="single" w:sz="4" w:space="0" w:color="auto"/>
            </w:tcBorders>
            <w:shd w:val="clear" w:color="auto" w:fill="FFFFFF"/>
            <w:noWrap/>
            <w:vAlign w:val="bottom"/>
          </w:tcPr>
          <w:p>
            <w:pPr>
              <w:rPr>
                <w:rFonts w:eastAsia="Arial Unicode MS" w:cs="Arial"/>
                <w:b/>
                <w:bCs/>
                <w:noProof/>
                <w:lang w:val="fr-FR"/>
              </w:rPr>
            </w:pPr>
            <w:r>
              <w:rPr>
                <w:rFonts w:cs="Arial"/>
                <w:b/>
                <w:bCs/>
                <w:noProof/>
                <w:lang w:val="fr-FR"/>
              </w:rPr>
              <w:t>CURRENT ASSETS</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cs="Arial"/>
                <w:b/>
                <w:noProof/>
                <w:lang w:eastAsia="ko-KR"/>
              </w:rPr>
            </w:pPr>
            <w:r>
              <w:rPr>
                <w:rFonts w:cs="Arial"/>
                <w:b/>
                <w:noProof/>
                <w:lang w:eastAsia="ko-KR"/>
              </w:rPr>
              <w:t>1 536 875 909</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cs="Arial"/>
                <w:b/>
                <w:noProof/>
                <w:lang w:eastAsia="ko-KR"/>
              </w:rPr>
            </w:pPr>
            <w:r>
              <w:rPr>
                <w:rFonts w:cs="Arial"/>
                <w:b/>
                <w:noProof/>
                <w:lang w:eastAsia="ko-KR"/>
              </w:rPr>
              <w:t>1 217 907 446</w:t>
            </w:r>
          </w:p>
        </w:tc>
      </w:tr>
      <w:tr>
        <w:trPr>
          <w:trHeight w:hRule="exact" w:val="283"/>
        </w:trPr>
        <w:tc>
          <w:tcPr>
            <w:tcW w:w="5245" w:type="dxa"/>
            <w:tcBorders>
              <w:top w:val="single" w:sz="4" w:space="0" w:color="auto"/>
              <w:left w:val="single" w:sz="4" w:space="0" w:color="auto"/>
              <w:bottom w:val="single" w:sz="4" w:space="0" w:color="auto"/>
              <w:right w:val="single" w:sz="4" w:space="0" w:color="auto"/>
            </w:tcBorders>
            <w:shd w:val="clear" w:color="auto" w:fill="FFFFFF"/>
            <w:noWrap/>
            <w:vAlign w:val="bottom"/>
          </w:tcPr>
          <w:p>
            <w:pPr>
              <w:rPr>
                <w:rFonts w:eastAsia="Arial Unicode MS" w:cs="Arial"/>
                <w:b/>
                <w:bCs/>
                <w:noProof/>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jc w:val="right"/>
              <w:rPr>
                <w:rFonts w:cs="Arial"/>
                <w:b/>
                <w:noProof/>
                <w:lang w:eastAsia="ko-KR"/>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jc w:val="right"/>
              <w:rPr>
                <w:rFonts w:cs="Arial"/>
                <w:b/>
                <w:noProof/>
                <w:lang w:eastAsia="ko-KR"/>
              </w:rPr>
            </w:pPr>
          </w:p>
        </w:tc>
      </w:tr>
      <w:tr>
        <w:trPr>
          <w:trHeight w:hRule="exact" w:val="283"/>
        </w:trPr>
        <w:tc>
          <w:tcPr>
            <w:tcW w:w="5245" w:type="dxa"/>
            <w:tcBorders>
              <w:top w:val="single" w:sz="4" w:space="0" w:color="auto"/>
              <w:left w:val="single" w:sz="4" w:space="0" w:color="auto"/>
              <w:bottom w:val="single" w:sz="4" w:space="0" w:color="auto"/>
              <w:right w:val="single" w:sz="4" w:space="0" w:color="auto"/>
            </w:tcBorders>
            <w:shd w:val="clear" w:color="auto" w:fill="FFFFFF"/>
            <w:noWrap/>
            <w:vAlign w:val="bottom"/>
          </w:tcPr>
          <w:p>
            <w:pPr>
              <w:rPr>
                <w:rFonts w:eastAsia="Arial Unicode MS" w:cs="Arial"/>
                <w:bCs/>
                <w:noProof/>
              </w:rPr>
            </w:pPr>
            <w:r>
              <w:rPr>
                <w:rFonts w:eastAsia="Arial Unicode MS" w:cs="Arial"/>
                <w:bCs/>
                <w:noProof/>
              </w:rPr>
              <w:t>Available for sale financial assets</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eastAsia="Arial Unicode MS" w:cs="Arial"/>
                <w:noProof/>
              </w:rPr>
            </w:pPr>
            <w:r>
              <w:rPr>
                <w:rFonts w:eastAsia="Arial Unicode MS" w:cs="Arial"/>
                <w:noProof/>
              </w:rPr>
              <w:t>1 502 587 447</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eastAsia="Arial Unicode MS" w:cs="Arial"/>
                <w:noProof/>
              </w:rPr>
            </w:pPr>
            <w:r>
              <w:rPr>
                <w:rFonts w:eastAsia="Arial Unicode MS" w:cs="Arial"/>
                <w:noProof/>
              </w:rPr>
              <w:t>765 897 485</w:t>
            </w:r>
          </w:p>
        </w:tc>
      </w:tr>
      <w:tr>
        <w:trPr>
          <w:trHeight w:hRule="exact" w:val="283"/>
        </w:trPr>
        <w:tc>
          <w:tcPr>
            <w:tcW w:w="5245" w:type="dxa"/>
            <w:tcBorders>
              <w:top w:val="single" w:sz="4" w:space="0" w:color="auto"/>
              <w:left w:val="single" w:sz="4" w:space="0" w:color="auto"/>
              <w:bottom w:val="single" w:sz="4" w:space="0" w:color="auto"/>
              <w:right w:val="single" w:sz="4" w:space="0" w:color="auto"/>
            </w:tcBorders>
            <w:shd w:val="clear" w:color="auto" w:fill="FFFFFF"/>
            <w:vAlign w:val="bottom"/>
          </w:tcPr>
          <w:p>
            <w:pPr>
              <w:rPr>
                <w:rFonts w:cs="Arial"/>
                <w:bCs/>
                <w:noProof/>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cs="Arial"/>
                <w:noProof/>
                <w:lang w:eastAsia="ko-KR"/>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cs="Arial"/>
                <w:noProof/>
                <w:lang w:eastAsia="ko-KR"/>
              </w:rPr>
            </w:pPr>
          </w:p>
        </w:tc>
      </w:tr>
      <w:tr>
        <w:trPr>
          <w:trHeight w:hRule="exact" w:val="283"/>
        </w:trPr>
        <w:tc>
          <w:tcPr>
            <w:tcW w:w="5245" w:type="dxa"/>
            <w:tcBorders>
              <w:top w:val="single" w:sz="4" w:space="0" w:color="auto"/>
              <w:left w:val="single" w:sz="4" w:space="0" w:color="auto"/>
              <w:bottom w:val="single" w:sz="4" w:space="0" w:color="auto"/>
              <w:right w:val="single" w:sz="4" w:space="0" w:color="auto"/>
            </w:tcBorders>
            <w:shd w:val="clear" w:color="auto" w:fill="FFFFFF"/>
            <w:vAlign w:val="bottom"/>
          </w:tcPr>
          <w:p>
            <w:pPr>
              <w:rPr>
                <w:rFonts w:cs="Arial"/>
                <w:bCs/>
                <w:noProof/>
              </w:rPr>
            </w:pPr>
            <w:r>
              <w:rPr>
                <w:rFonts w:cs="Arial"/>
                <w:bCs/>
                <w:noProof/>
              </w:rPr>
              <w:t>Financial assets at fair value through surplus or deficit</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eastAsia="Arial Unicode MS" w:cs="Arial"/>
                <w:noProof/>
              </w:rPr>
            </w:pPr>
            <w:r>
              <w:rPr>
                <w:rFonts w:eastAsia="Arial Unicode MS" w:cs="Arial"/>
                <w:noProof/>
              </w:rPr>
              <w:t>2 708 066</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eastAsia="Arial Unicode MS" w:cs="Arial"/>
                <w:noProof/>
              </w:rPr>
            </w:pPr>
            <w:r>
              <w:rPr>
                <w:rFonts w:eastAsia="Arial Unicode MS" w:cs="Arial"/>
                <w:noProof/>
              </w:rPr>
              <w:t>1 923 458</w:t>
            </w:r>
          </w:p>
        </w:tc>
      </w:tr>
      <w:tr>
        <w:trPr>
          <w:trHeight w:hRule="exact" w:val="283"/>
        </w:trPr>
        <w:tc>
          <w:tcPr>
            <w:tcW w:w="5245" w:type="dxa"/>
            <w:tcBorders>
              <w:top w:val="single" w:sz="4" w:space="0" w:color="auto"/>
              <w:left w:val="single" w:sz="4" w:space="0" w:color="auto"/>
              <w:bottom w:val="single" w:sz="4" w:space="0" w:color="auto"/>
              <w:right w:val="single" w:sz="4" w:space="0" w:color="auto"/>
            </w:tcBorders>
            <w:shd w:val="clear" w:color="auto" w:fill="FFFFFF"/>
            <w:vAlign w:val="bottom"/>
          </w:tcPr>
          <w:p>
            <w:pPr>
              <w:rPr>
                <w:rFonts w:cs="Arial"/>
                <w:bCs/>
                <w:noProof/>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cs="Arial"/>
                <w:noProof/>
                <w:lang w:eastAsia="ko-KR"/>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cs="Arial"/>
                <w:noProof/>
                <w:lang w:eastAsia="ko-KR"/>
              </w:rPr>
            </w:pPr>
          </w:p>
        </w:tc>
      </w:tr>
      <w:tr>
        <w:trPr>
          <w:trHeight w:hRule="exact" w:val="572"/>
        </w:trPr>
        <w:tc>
          <w:tcPr>
            <w:tcW w:w="5245" w:type="dxa"/>
            <w:tcBorders>
              <w:top w:val="single" w:sz="4" w:space="0" w:color="auto"/>
              <w:left w:val="single" w:sz="4" w:space="0" w:color="auto"/>
              <w:bottom w:val="single" w:sz="4" w:space="0" w:color="auto"/>
              <w:right w:val="single" w:sz="4" w:space="0" w:color="auto"/>
            </w:tcBorders>
            <w:shd w:val="clear" w:color="auto" w:fill="FFFFFF"/>
            <w:vAlign w:val="bottom"/>
          </w:tcPr>
          <w:p>
            <w:pPr>
              <w:rPr>
                <w:rFonts w:cs="Arial"/>
                <w:bCs/>
                <w:noProof/>
              </w:rPr>
            </w:pPr>
            <w:r>
              <w:rPr>
                <w:rFonts w:cs="Arial"/>
                <w:bCs/>
                <w:noProof/>
              </w:rPr>
              <w:t>Short-term deposits (&gt;3 months and ≤ 1 year)</w:t>
            </w:r>
          </w:p>
          <w:p>
            <w:pPr>
              <w:rPr>
                <w:rFonts w:cs="Arial"/>
                <w:bCs/>
                <w:noProof/>
              </w:rPr>
            </w:pPr>
            <w:r>
              <w:rPr>
                <w:rFonts w:cs="Arial"/>
                <w:bCs/>
                <w:noProof/>
              </w:rPr>
              <w:t>incl. accrued negative interest</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eastAsia="Arial Unicode MS" w:cs="Arial"/>
                <w:noProof/>
              </w:rPr>
            </w:pPr>
            <w:r>
              <w:rPr>
                <w:rFonts w:eastAsia="Arial Unicode MS" w:cs="Arial"/>
                <w:noProof/>
              </w:rPr>
              <w:t>-</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eastAsia="Arial Unicode MS" w:cs="Arial"/>
                <w:noProof/>
              </w:rPr>
            </w:pPr>
            <w:r>
              <w:rPr>
                <w:rFonts w:eastAsia="Arial Unicode MS" w:cs="Arial"/>
                <w:noProof/>
              </w:rPr>
              <w:t>-</w:t>
            </w:r>
          </w:p>
        </w:tc>
      </w:tr>
      <w:tr>
        <w:trPr>
          <w:trHeight w:hRule="exact" w:val="283"/>
        </w:trPr>
        <w:tc>
          <w:tcPr>
            <w:tcW w:w="5245" w:type="dxa"/>
            <w:tcBorders>
              <w:top w:val="single" w:sz="4" w:space="0" w:color="auto"/>
              <w:left w:val="single" w:sz="4" w:space="0" w:color="auto"/>
              <w:bottom w:val="single" w:sz="4" w:space="0" w:color="auto"/>
              <w:right w:val="single" w:sz="4" w:space="0" w:color="auto"/>
            </w:tcBorders>
            <w:shd w:val="clear" w:color="auto" w:fill="FFFFFF"/>
            <w:vAlign w:val="bottom"/>
          </w:tcPr>
          <w:p>
            <w:pPr>
              <w:rPr>
                <w:rFonts w:cs="Arial"/>
                <w:bCs/>
                <w:noProof/>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eastAsia="Arial Unicode MS" w:cs="Arial"/>
                <w:noProof/>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eastAsia="Arial Unicode MS" w:cs="Arial"/>
                <w:noProof/>
              </w:rPr>
            </w:pPr>
          </w:p>
        </w:tc>
      </w:tr>
      <w:tr>
        <w:trPr>
          <w:trHeight w:hRule="exact" w:val="283"/>
        </w:trPr>
        <w:tc>
          <w:tcPr>
            <w:tcW w:w="5245" w:type="dxa"/>
            <w:tcBorders>
              <w:top w:val="single" w:sz="4" w:space="0" w:color="auto"/>
              <w:left w:val="single" w:sz="4" w:space="0" w:color="auto"/>
              <w:bottom w:val="single" w:sz="4" w:space="0" w:color="auto"/>
              <w:right w:val="single" w:sz="4" w:space="0" w:color="auto"/>
            </w:tcBorders>
            <w:shd w:val="clear" w:color="auto" w:fill="FFFFFF"/>
            <w:vAlign w:val="bottom"/>
          </w:tcPr>
          <w:p>
            <w:pPr>
              <w:rPr>
                <w:rFonts w:cs="Arial"/>
                <w:bCs/>
                <w:noProof/>
              </w:rPr>
            </w:pPr>
            <w:r>
              <w:rPr>
                <w:rFonts w:cs="Arial"/>
                <w:bCs/>
                <w:noProof/>
              </w:rPr>
              <w:t>Receivables (i.e. bond lending fees)</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eastAsia="Arial Unicode MS" w:cs="Arial"/>
                <w:noProof/>
              </w:rPr>
            </w:pPr>
            <w:r>
              <w:rPr>
                <w:rFonts w:eastAsia="Arial Unicode MS" w:cs="Arial"/>
                <w:noProof/>
              </w:rPr>
              <w:t>39 578</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eastAsia="Arial Unicode MS" w:cs="Arial"/>
                <w:noProof/>
              </w:rPr>
            </w:pPr>
            <w:r>
              <w:rPr>
                <w:rFonts w:eastAsia="Arial Unicode MS" w:cs="Arial"/>
                <w:noProof/>
              </w:rPr>
              <w:t>160 147</w:t>
            </w:r>
          </w:p>
        </w:tc>
      </w:tr>
      <w:tr>
        <w:trPr>
          <w:trHeight w:hRule="exact" w:val="283"/>
        </w:trPr>
        <w:tc>
          <w:tcPr>
            <w:tcW w:w="5245" w:type="dxa"/>
            <w:tcBorders>
              <w:top w:val="single" w:sz="4" w:space="0" w:color="auto"/>
              <w:left w:val="single" w:sz="4" w:space="0" w:color="auto"/>
              <w:bottom w:val="single" w:sz="4" w:space="0" w:color="auto"/>
              <w:right w:val="single" w:sz="4" w:space="0" w:color="auto"/>
            </w:tcBorders>
            <w:shd w:val="clear" w:color="auto" w:fill="FFFFFF"/>
            <w:vAlign w:val="bottom"/>
          </w:tcPr>
          <w:p>
            <w:pPr>
              <w:rPr>
                <w:rFonts w:eastAsia="Arial Unicode MS" w:cs="Arial"/>
                <w:bCs/>
                <w:noProof/>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eastAsia="Arial Unicode MS" w:cs="Arial"/>
                <w:noProof/>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eastAsia="Arial Unicode MS" w:cs="Arial"/>
                <w:noProof/>
              </w:rPr>
            </w:pPr>
          </w:p>
        </w:tc>
      </w:tr>
      <w:tr>
        <w:trPr>
          <w:trHeight w:hRule="exact" w:val="283"/>
        </w:trPr>
        <w:tc>
          <w:tcPr>
            <w:tcW w:w="5245" w:type="dxa"/>
            <w:tcBorders>
              <w:top w:val="single" w:sz="4" w:space="0" w:color="auto"/>
              <w:left w:val="single" w:sz="4" w:space="0" w:color="auto"/>
              <w:bottom w:val="single" w:sz="4" w:space="0" w:color="auto"/>
              <w:right w:val="single" w:sz="4" w:space="0" w:color="auto"/>
            </w:tcBorders>
            <w:shd w:val="clear" w:color="auto" w:fill="FFFFFF"/>
            <w:vAlign w:val="bottom"/>
          </w:tcPr>
          <w:p>
            <w:pPr>
              <w:rPr>
                <w:rFonts w:eastAsia="Arial Unicode MS" w:cs="Arial"/>
                <w:b/>
                <w:bCs/>
                <w:noProof/>
              </w:rPr>
            </w:pPr>
            <w:r>
              <w:rPr>
                <w:rFonts w:eastAsia="Arial Unicode MS" w:cs="Arial"/>
                <w:b/>
                <w:bCs/>
                <w:noProof/>
              </w:rPr>
              <w:t>Cash and cash equivalents</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eastAsia="Arial Unicode MS" w:cs="Arial"/>
                <w:noProof/>
              </w:rPr>
            </w:pPr>
            <w:r>
              <w:rPr>
                <w:rFonts w:eastAsia="Arial Unicode MS" w:cs="Arial"/>
                <w:noProof/>
              </w:rPr>
              <w:t>31 540 818</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eastAsia="Arial Unicode MS" w:cs="Arial"/>
                <w:noProof/>
              </w:rPr>
            </w:pPr>
            <w:r>
              <w:rPr>
                <w:rFonts w:eastAsia="Arial Unicode MS" w:cs="Arial"/>
                <w:noProof/>
              </w:rPr>
              <w:t>449 926 356</w:t>
            </w:r>
          </w:p>
        </w:tc>
      </w:tr>
      <w:tr>
        <w:trPr>
          <w:trHeight w:hRule="exact" w:val="283"/>
        </w:trPr>
        <w:tc>
          <w:tcPr>
            <w:tcW w:w="5245" w:type="dxa"/>
            <w:tcBorders>
              <w:top w:val="single" w:sz="4" w:space="0" w:color="auto"/>
              <w:left w:val="single" w:sz="4" w:space="0" w:color="auto"/>
              <w:bottom w:val="single" w:sz="4" w:space="0" w:color="auto"/>
              <w:right w:val="single" w:sz="4" w:space="0" w:color="auto"/>
            </w:tcBorders>
            <w:shd w:val="clear" w:color="auto" w:fill="FFFFFF"/>
            <w:vAlign w:val="bottom"/>
          </w:tcPr>
          <w:p>
            <w:pPr>
              <w:ind w:firstLine="142"/>
              <w:rPr>
                <w:rFonts w:eastAsia="Arial Unicode MS" w:cs="Arial"/>
                <w:bCs/>
                <w:i/>
                <w:noProof/>
              </w:rPr>
            </w:pPr>
            <w:r>
              <w:rPr>
                <w:rFonts w:eastAsia="Arial Unicode MS" w:cs="Arial"/>
                <w:bCs/>
                <w:i/>
                <w:noProof/>
              </w:rPr>
              <w:t>Current accounts</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eastAsia="Arial Unicode MS" w:cs="Arial"/>
                <w:i/>
                <w:noProof/>
              </w:rPr>
            </w:pPr>
            <w:r>
              <w:rPr>
                <w:rFonts w:eastAsia="Arial Unicode MS" w:cs="Arial"/>
                <w:i/>
                <w:noProof/>
              </w:rPr>
              <w:t>5 083 651</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eastAsia="Arial Unicode MS" w:cs="Arial"/>
                <w:i/>
                <w:noProof/>
              </w:rPr>
            </w:pPr>
            <w:r>
              <w:rPr>
                <w:rFonts w:eastAsia="Arial Unicode MS" w:cs="Arial"/>
                <w:i/>
                <w:noProof/>
              </w:rPr>
              <w:t>418 899 111</w:t>
            </w:r>
          </w:p>
        </w:tc>
      </w:tr>
      <w:tr>
        <w:trPr>
          <w:trHeight w:hRule="exact" w:val="305"/>
        </w:trPr>
        <w:tc>
          <w:tcPr>
            <w:tcW w:w="5245" w:type="dxa"/>
            <w:tcBorders>
              <w:top w:val="single" w:sz="4" w:space="0" w:color="auto"/>
              <w:left w:val="single" w:sz="4" w:space="0" w:color="auto"/>
              <w:bottom w:val="single" w:sz="4" w:space="0" w:color="auto"/>
              <w:right w:val="single" w:sz="4" w:space="0" w:color="auto"/>
            </w:tcBorders>
            <w:shd w:val="clear" w:color="auto" w:fill="FFFFFF"/>
            <w:vAlign w:val="bottom"/>
          </w:tcPr>
          <w:p>
            <w:pPr>
              <w:rPr>
                <w:rFonts w:cs="Arial"/>
                <w:bCs/>
                <w:i/>
                <w:noProof/>
              </w:rPr>
            </w:pPr>
            <w:r>
              <w:rPr>
                <w:rFonts w:cs="Arial"/>
                <w:bCs/>
                <w:i/>
                <w:noProof/>
              </w:rPr>
              <w:t xml:space="preserve">  Cash equivalents </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eastAsia="Arial Unicode MS" w:cs="Arial"/>
                <w:i/>
                <w:noProof/>
              </w:rPr>
            </w:pPr>
            <w:r>
              <w:rPr>
                <w:rFonts w:eastAsia="Arial Unicode MS" w:cs="Arial"/>
                <w:i/>
                <w:noProof/>
              </w:rPr>
              <w:t>26 462 735</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eastAsia="Arial Unicode MS" w:cs="Arial"/>
                <w:i/>
                <w:noProof/>
              </w:rPr>
            </w:pPr>
            <w:r>
              <w:rPr>
                <w:rFonts w:eastAsia="Arial Unicode MS" w:cs="Arial"/>
                <w:i/>
                <w:noProof/>
              </w:rPr>
              <w:t>31,139,540</w:t>
            </w:r>
          </w:p>
        </w:tc>
      </w:tr>
      <w:tr>
        <w:trPr>
          <w:trHeight w:hRule="exact" w:val="283"/>
        </w:trPr>
        <w:tc>
          <w:tcPr>
            <w:tcW w:w="5245" w:type="dxa"/>
            <w:tcBorders>
              <w:top w:val="single" w:sz="4" w:space="0" w:color="auto"/>
              <w:left w:val="single" w:sz="4" w:space="0" w:color="auto"/>
              <w:bottom w:val="single" w:sz="4" w:space="0" w:color="auto"/>
              <w:right w:val="single" w:sz="4" w:space="0" w:color="auto"/>
            </w:tcBorders>
            <w:shd w:val="clear" w:color="auto" w:fill="FFFFFF"/>
            <w:noWrap/>
            <w:vAlign w:val="bottom"/>
          </w:tcPr>
          <w:p>
            <w:pPr>
              <w:rPr>
                <w:rFonts w:cs="Arial"/>
                <w:bCs/>
                <w:i/>
                <w:noProof/>
              </w:rPr>
            </w:pPr>
            <w:r>
              <w:rPr>
                <w:rFonts w:cs="Arial"/>
                <w:bCs/>
                <w:i/>
                <w:noProof/>
              </w:rPr>
              <w:t xml:space="preserve">  Accrued interest on cash and cash equivalents</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eastAsia="Arial Unicode MS" w:cs="Arial"/>
                <w:i/>
                <w:noProof/>
              </w:rPr>
            </w:pPr>
            <w:r>
              <w:rPr>
                <w:rFonts w:eastAsia="Arial Unicode MS" w:cs="Arial"/>
                <w:i/>
                <w:noProof/>
              </w:rPr>
              <w:t>(5 568)</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eastAsia="Arial Unicode MS" w:cs="Arial"/>
                <w:i/>
                <w:noProof/>
              </w:rPr>
            </w:pPr>
            <w:r>
              <w:rPr>
                <w:rFonts w:eastAsia="Arial Unicode MS" w:cs="Arial"/>
                <w:i/>
                <w:noProof/>
              </w:rPr>
              <w:t>(112 295)</w:t>
            </w:r>
          </w:p>
        </w:tc>
      </w:tr>
      <w:tr>
        <w:trPr>
          <w:trHeight w:hRule="exact" w:val="283"/>
        </w:trPr>
        <w:tc>
          <w:tcPr>
            <w:tcW w:w="5245" w:type="dxa"/>
            <w:tcBorders>
              <w:top w:val="single" w:sz="4" w:space="0" w:color="auto"/>
              <w:left w:val="single" w:sz="4" w:space="0" w:color="auto"/>
              <w:bottom w:val="single" w:sz="4" w:space="0" w:color="auto"/>
              <w:right w:val="single" w:sz="4" w:space="0" w:color="auto"/>
            </w:tcBorders>
            <w:shd w:val="clear" w:color="auto" w:fill="FFFFFF"/>
            <w:noWrap/>
            <w:vAlign w:val="bottom"/>
          </w:tcPr>
          <w:p>
            <w:pPr>
              <w:rPr>
                <w:rFonts w:eastAsia="Arial Unicode MS" w:cs="Arial"/>
                <w:b/>
                <w:bCs/>
                <w:noProof/>
              </w:rPr>
            </w:pPr>
            <w:r>
              <w:rPr>
                <w:rFonts w:cs="Arial"/>
                <w:b/>
                <w:bCs/>
                <w:noProof/>
              </w:rPr>
              <w:t xml:space="preserve">TOTAL ASSETS </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eastAsia="Arial Unicode MS" w:cs="Arial"/>
                <w:b/>
                <w:bCs/>
                <w:noProof/>
              </w:rPr>
            </w:pPr>
            <w:r>
              <w:rPr>
                <w:rFonts w:eastAsia="Arial Unicode MS" w:cs="Arial"/>
                <w:b/>
                <w:bCs/>
                <w:noProof/>
              </w:rPr>
              <w:t>6 687 883 044</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eastAsia="Arial Unicode MS" w:cs="Arial"/>
                <w:b/>
                <w:bCs/>
                <w:noProof/>
              </w:rPr>
            </w:pPr>
            <w:r>
              <w:rPr>
                <w:rFonts w:eastAsia="Arial Unicode MS" w:cs="Arial"/>
                <w:b/>
                <w:bCs/>
                <w:noProof/>
              </w:rPr>
              <w:t>5 451 773 656</w:t>
            </w:r>
          </w:p>
        </w:tc>
      </w:tr>
      <w:tr>
        <w:trPr>
          <w:trHeight w:hRule="exact" w:val="283"/>
        </w:trPr>
        <w:tc>
          <w:tcPr>
            <w:tcW w:w="5245" w:type="dxa"/>
            <w:tcBorders>
              <w:top w:val="nil"/>
              <w:left w:val="nil"/>
              <w:bottom w:val="nil"/>
              <w:right w:val="nil"/>
            </w:tcBorders>
            <w:noWrap/>
            <w:vAlign w:val="bottom"/>
          </w:tcPr>
          <w:p>
            <w:pPr>
              <w:rPr>
                <w:rFonts w:eastAsia="Arial Unicode MS" w:cs="Arial"/>
                <w:noProof/>
                <w:u w:val="single"/>
              </w:rPr>
            </w:pPr>
          </w:p>
        </w:tc>
        <w:tc>
          <w:tcPr>
            <w:tcW w:w="1843" w:type="dxa"/>
            <w:tcBorders>
              <w:top w:val="nil"/>
              <w:left w:val="nil"/>
              <w:bottom w:val="nil"/>
              <w:right w:val="nil"/>
            </w:tcBorders>
            <w:noWrap/>
            <w:vAlign w:val="bottom"/>
          </w:tcPr>
          <w:p>
            <w:pPr>
              <w:rPr>
                <w:rFonts w:eastAsia="Arial Unicode MS" w:cs="Arial"/>
                <w:noProof/>
              </w:rPr>
            </w:pPr>
          </w:p>
        </w:tc>
        <w:tc>
          <w:tcPr>
            <w:tcW w:w="1843" w:type="dxa"/>
            <w:tcBorders>
              <w:top w:val="nil"/>
              <w:left w:val="nil"/>
              <w:bottom w:val="nil"/>
              <w:right w:val="nil"/>
            </w:tcBorders>
            <w:noWrap/>
            <w:vAlign w:val="bottom"/>
          </w:tcPr>
          <w:p>
            <w:pPr>
              <w:rPr>
                <w:rFonts w:eastAsia="Arial Unicode MS" w:cs="Arial"/>
                <w:noProof/>
              </w:rPr>
            </w:pPr>
          </w:p>
        </w:tc>
      </w:tr>
      <w:tr>
        <w:trPr>
          <w:trHeight w:hRule="exact" w:val="283"/>
        </w:trPr>
        <w:tc>
          <w:tcPr>
            <w:tcW w:w="5245" w:type="dxa"/>
            <w:tcBorders>
              <w:top w:val="nil"/>
              <w:left w:val="nil"/>
              <w:bottom w:val="nil"/>
              <w:right w:val="nil"/>
            </w:tcBorders>
            <w:noWrap/>
            <w:vAlign w:val="bottom"/>
          </w:tcPr>
          <w:p>
            <w:pPr>
              <w:rPr>
                <w:rFonts w:eastAsia="Arial Unicode MS" w:cs="Arial"/>
                <w:b/>
                <w:noProof/>
                <w:u w:val="single"/>
                <w:lang w:val="fr-FR"/>
              </w:rPr>
            </w:pPr>
            <w:r>
              <w:rPr>
                <w:rFonts w:eastAsia="Arial Unicode MS" w:cs="Arial"/>
                <w:b/>
                <w:noProof/>
                <w:u w:val="single"/>
              </w:rPr>
              <w:t>NET ASSETS AND LIABI</w:t>
            </w:r>
            <w:r>
              <w:rPr>
                <w:rFonts w:eastAsia="Arial Unicode MS" w:cs="Arial"/>
                <w:b/>
                <w:noProof/>
                <w:u w:val="single"/>
                <w:lang w:val="fr-FR"/>
              </w:rPr>
              <w:t>LITIES</w:t>
            </w:r>
          </w:p>
        </w:tc>
        <w:tc>
          <w:tcPr>
            <w:tcW w:w="1843" w:type="dxa"/>
            <w:tcBorders>
              <w:top w:val="nil"/>
              <w:left w:val="nil"/>
              <w:bottom w:val="nil"/>
              <w:right w:val="nil"/>
            </w:tcBorders>
            <w:noWrap/>
            <w:vAlign w:val="bottom"/>
          </w:tcPr>
          <w:p>
            <w:pPr>
              <w:rPr>
                <w:rFonts w:eastAsia="Arial Unicode MS" w:cs="Arial"/>
                <w:noProof/>
                <w:lang w:val="fr-FR"/>
              </w:rPr>
            </w:pPr>
          </w:p>
        </w:tc>
        <w:tc>
          <w:tcPr>
            <w:tcW w:w="1843" w:type="dxa"/>
            <w:tcBorders>
              <w:top w:val="nil"/>
              <w:left w:val="nil"/>
              <w:bottom w:val="nil"/>
              <w:right w:val="nil"/>
            </w:tcBorders>
            <w:noWrap/>
            <w:vAlign w:val="bottom"/>
          </w:tcPr>
          <w:p>
            <w:pPr>
              <w:rPr>
                <w:rFonts w:eastAsia="Arial Unicode MS" w:cs="Arial"/>
                <w:noProof/>
                <w:lang w:val="fr-FR"/>
              </w:rPr>
            </w:pPr>
          </w:p>
        </w:tc>
      </w:tr>
      <w:tr>
        <w:trPr>
          <w:trHeight w:hRule="exact" w:val="283"/>
        </w:trPr>
        <w:tc>
          <w:tcPr>
            <w:tcW w:w="5245" w:type="dxa"/>
            <w:tcBorders>
              <w:top w:val="nil"/>
              <w:left w:val="nil"/>
              <w:bottom w:val="single" w:sz="4" w:space="0" w:color="auto"/>
              <w:right w:val="nil"/>
            </w:tcBorders>
            <w:noWrap/>
            <w:vAlign w:val="bottom"/>
          </w:tcPr>
          <w:p>
            <w:pPr>
              <w:rPr>
                <w:rFonts w:eastAsia="Arial Unicode MS" w:cs="Arial"/>
                <w:noProof/>
                <w:u w:val="single"/>
                <w:lang w:val="fr-FR"/>
              </w:rPr>
            </w:pPr>
          </w:p>
        </w:tc>
        <w:tc>
          <w:tcPr>
            <w:tcW w:w="1843" w:type="dxa"/>
            <w:tcBorders>
              <w:top w:val="nil"/>
              <w:left w:val="nil"/>
              <w:bottom w:val="single" w:sz="4" w:space="0" w:color="auto"/>
              <w:right w:val="nil"/>
            </w:tcBorders>
            <w:noWrap/>
            <w:vAlign w:val="bottom"/>
          </w:tcPr>
          <w:p>
            <w:pPr>
              <w:rPr>
                <w:rFonts w:eastAsia="Arial Unicode MS" w:cs="Arial"/>
                <w:noProof/>
                <w:lang w:val="fr-FR"/>
              </w:rPr>
            </w:pPr>
          </w:p>
        </w:tc>
        <w:tc>
          <w:tcPr>
            <w:tcW w:w="1843" w:type="dxa"/>
            <w:tcBorders>
              <w:top w:val="nil"/>
              <w:left w:val="nil"/>
              <w:bottom w:val="single" w:sz="4" w:space="0" w:color="auto"/>
              <w:right w:val="nil"/>
            </w:tcBorders>
            <w:noWrap/>
            <w:vAlign w:val="bottom"/>
          </w:tcPr>
          <w:p>
            <w:pPr>
              <w:rPr>
                <w:rFonts w:eastAsia="Arial Unicode MS" w:cs="Arial"/>
                <w:noProof/>
                <w:lang w:val="fr-FR"/>
              </w:rPr>
            </w:pPr>
          </w:p>
        </w:tc>
      </w:tr>
      <w:tr>
        <w:trPr>
          <w:trHeight w:hRule="exact" w:val="283"/>
        </w:trPr>
        <w:tc>
          <w:tcPr>
            <w:tcW w:w="5245" w:type="dxa"/>
            <w:tcBorders>
              <w:top w:val="single" w:sz="4" w:space="0" w:color="auto"/>
              <w:left w:val="single" w:sz="4" w:space="0" w:color="auto"/>
              <w:bottom w:val="single" w:sz="4" w:space="0" w:color="auto"/>
              <w:right w:val="single" w:sz="4" w:space="0" w:color="auto"/>
            </w:tcBorders>
            <w:shd w:val="clear" w:color="auto" w:fill="FFFFFF"/>
            <w:noWrap/>
            <w:vAlign w:val="bottom"/>
          </w:tcPr>
          <w:p>
            <w:pPr>
              <w:rPr>
                <w:rFonts w:eastAsia="Arial Unicode MS" w:cs="Arial"/>
                <w:noProof/>
                <w:lang w:val="fr-FR"/>
              </w:rPr>
            </w:pPr>
            <w:r>
              <w:rPr>
                <w:rFonts w:cs="Arial"/>
                <w:noProof/>
                <w:lang w:val="fr-FR"/>
              </w:rPr>
              <w:t> </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jc w:val="center"/>
              <w:rPr>
                <w:rFonts w:eastAsia="Arial Unicode MS" w:cs="Arial"/>
                <w:b/>
                <w:bCs/>
                <w:noProof/>
                <w:lang w:val="fr-FR"/>
              </w:rPr>
            </w:pPr>
            <w:r>
              <w:rPr>
                <w:rFonts w:cs="Arial"/>
                <w:b/>
                <w:bCs/>
                <w:noProof/>
              </w:rPr>
              <w:t xml:space="preserve">31 December </w:t>
            </w:r>
            <w:r>
              <w:rPr>
                <w:rFonts w:cs="Arial"/>
                <w:b/>
                <w:bCs/>
                <w:noProof/>
                <w:lang w:val="fr-FR"/>
              </w:rPr>
              <w:t>2019</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jc w:val="center"/>
              <w:rPr>
                <w:rFonts w:eastAsia="Arial Unicode MS" w:cs="Arial"/>
                <w:b/>
                <w:bCs/>
                <w:noProof/>
                <w:lang w:val="fr-FR"/>
              </w:rPr>
            </w:pPr>
            <w:r>
              <w:rPr>
                <w:rFonts w:cs="Arial"/>
                <w:b/>
                <w:bCs/>
                <w:noProof/>
              </w:rPr>
              <w:t xml:space="preserve">31 December </w:t>
            </w:r>
            <w:r>
              <w:rPr>
                <w:rFonts w:cs="Arial"/>
                <w:b/>
                <w:bCs/>
                <w:noProof/>
                <w:lang w:val="fr-FR"/>
              </w:rPr>
              <w:t>2018</w:t>
            </w:r>
          </w:p>
        </w:tc>
      </w:tr>
      <w:tr>
        <w:trPr>
          <w:trHeight w:hRule="exact" w:val="283"/>
        </w:trPr>
        <w:tc>
          <w:tcPr>
            <w:tcW w:w="5245" w:type="dxa"/>
            <w:tcBorders>
              <w:top w:val="single" w:sz="4" w:space="0" w:color="auto"/>
              <w:left w:val="single" w:sz="4" w:space="0" w:color="auto"/>
              <w:bottom w:val="single" w:sz="4" w:space="0" w:color="auto"/>
              <w:right w:val="single" w:sz="4" w:space="0" w:color="auto"/>
            </w:tcBorders>
            <w:shd w:val="clear" w:color="auto" w:fill="FFFFFF"/>
            <w:noWrap/>
            <w:vAlign w:val="bottom"/>
          </w:tcPr>
          <w:p>
            <w:pPr>
              <w:rPr>
                <w:rFonts w:cs="Arial"/>
                <w:noProof/>
                <w:lang w:val="fr-FR"/>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jc w:val="center"/>
              <w:rPr>
                <w:rFonts w:cs="Arial"/>
                <w:b/>
                <w:bCs/>
                <w:noProof/>
                <w:lang w:val="fr-FR"/>
              </w:rPr>
            </w:pPr>
            <w:r>
              <w:rPr>
                <w:rFonts w:cs="Arial"/>
                <w:b/>
                <w:bCs/>
                <w:noProof/>
                <w:lang w:val="fr-FR"/>
              </w:rPr>
              <w:t>EUR</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jc w:val="center"/>
              <w:rPr>
                <w:rFonts w:cs="Arial"/>
                <w:b/>
                <w:bCs/>
                <w:noProof/>
                <w:lang w:val="fr-FR"/>
              </w:rPr>
            </w:pPr>
            <w:r>
              <w:rPr>
                <w:rFonts w:cs="Arial"/>
                <w:b/>
                <w:bCs/>
                <w:noProof/>
                <w:lang w:val="fr-FR"/>
              </w:rPr>
              <w:t>EUR</w:t>
            </w:r>
          </w:p>
        </w:tc>
      </w:tr>
      <w:tr>
        <w:trPr>
          <w:trHeight w:hRule="exact" w:val="283"/>
        </w:trPr>
        <w:tc>
          <w:tcPr>
            <w:tcW w:w="5245" w:type="dxa"/>
            <w:tcBorders>
              <w:top w:val="single" w:sz="4" w:space="0" w:color="auto"/>
              <w:left w:val="single" w:sz="4" w:space="0" w:color="auto"/>
              <w:bottom w:val="single" w:sz="4" w:space="0" w:color="auto"/>
              <w:right w:val="single" w:sz="4" w:space="0" w:color="auto"/>
            </w:tcBorders>
            <w:shd w:val="clear" w:color="auto" w:fill="FFFFFF"/>
            <w:noWrap/>
            <w:vAlign w:val="bottom"/>
          </w:tcPr>
          <w:p>
            <w:pPr>
              <w:rPr>
                <w:rFonts w:eastAsia="Arial Unicode MS" w:cs="Arial"/>
                <w:b/>
                <w:bCs/>
                <w:noProof/>
                <w:lang w:val="fr-FR"/>
              </w:rPr>
            </w:pPr>
            <w:r>
              <w:rPr>
                <w:rFonts w:cs="Arial"/>
                <w:b/>
                <w:bCs/>
                <w:noProof/>
                <w:lang w:val="fr-FR"/>
              </w:rPr>
              <w:t>NET ASSETS</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cs="Arial"/>
                <w:b/>
                <w:bCs/>
                <w:noProof/>
                <w:lang w:val="fr-FR"/>
              </w:rPr>
            </w:pPr>
            <w:r>
              <w:rPr>
                <w:rFonts w:cs="Arial"/>
                <w:b/>
                <w:bCs/>
                <w:noProof/>
                <w:lang w:val="fr-FR"/>
              </w:rPr>
              <w:t>6 687 770 451</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cs="Arial"/>
                <w:b/>
                <w:bCs/>
                <w:noProof/>
                <w:lang w:val="fr-FR"/>
              </w:rPr>
            </w:pPr>
            <w:r>
              <w:rPr>
                <w:rFonts w:cs="Arial"/>
                <w:b/>
                <w:bCs/>
                <w:noProof/>
                <w:lang w:val="fr-FR"/>
              </w:rPr>
              <w:t>5 451 673 202</w:t>
            </w:r>
          </w:p>
        </w:tc>
      </w:tr>
      <w:tr>
        <w:trPr>
          <w:trHeight w:hRule="exact" w:val="283"/>
        </w:trPr>
        <w:tc>
          <w:tcPr>
            <w:tcW w:w="5245" w:type="dxa"/>
            <w:tcBorders>
              <w:top w:val="single" w:sz="4" w:space="0" w:color="auto"/>
              <w:left w:val="single" w:sz="4" w:space="0" w:color="auto"/>
              <w:bottom w:val="single" w:sz="4" w:space="0" w:color="auto"/>
              <w:right w:val="single" w:sz="4" w:space="0" w:color="auto"/>
            </w:tcBorders>
            <w:shd w:val="clear" w:color="auto" w:fill="FFFFFF"/>
            <w:noWrap/>
            <w:vAlign w:val="bottom"/>
          </w:tcPr>
          <w:p>
            <w:pPr>
              <w:rPr>
                <w:rFonts w:cs="Arial"/>
                <w:b/>
                <w:bCs/>
                <w:noProof/>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jc w:val="right"/>
              <w:rPr>
                <w:rFonts w:cs="Arial"/>
                <w:b/>
                <w:bCs/>
                <w:noProof/>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jc w:val="right"/>
              <w:rPr>
                <w:rFonts w:cs="Arial"/>
                <w:b/>
                <w:bCs/>
                <w:noProof/>
              </w:rPr>
            </w:pPr>
          </w:p>
        </w:tc>
      </w:tr>
      <w:tr>
        <w:trPr>
          <w:trHeight w:hRule="exact" w:val="283"/>
        </w:trPr>
        <w:tc>
          <w:tcPr>
            <w:tcW w:w="5245" w:type="dxa"/>
            <w:tcBorders>
              <w:top w:val="single" w:sz="4" w:space="0" w:color="auto"/>
              <w:left w:val="single" w:sz="4" w:space="0" w:color="auto"/>
              <w:bottom w:val="single" w:sz="4" w:space="0" w:color="auto"/>
              <w:right w:val="single" w:sz="4" w:space="0" w:color="auto"/>
            </w:tcBorders>
            <w:shd w:val="clear" w:color="auto" w:fill="FFFFFF"/>
            <w:noWrap/>
            <w:vAlign w:val="bottom"/>
          </w:tcPr>
          <w:p>
            <w:pPr>
              <w:rPr>
                <w:rFonts w:cs="Arial"/>
                <w:bCs/>
                <w:noProof/>
              </w:rPr>
            </w:pPr>
            <w:r>
              <w:rPr>
                <w:rFonts w:cs="Arial"/>
                <w:bCs/>
                <w:noProof/>
              </w:rPr>
              <w:t>Contribution from EU Budget</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cs="Arial"/>
                <w:bCs/>
                <w:noProof/>
              </w:rPr>
            </w:pPr>
            <w:r>
              <w:rPr>
                <w:rFonts w:cs="Arial"/>
                <w:bCs/>
                <w:noProof/>
              </w:rPr>
              <w:t>6 626 955 272</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cs="Arial"/>
                <w:bCs/>
                <w:noProof/>
              </w:rPr>
            </w:pPr>
            <w:r>
              <w:rPr>
                <w:rFonts w:cs="Arial"/>
                <w:bCs/>
                <w:noProof/>
              </w:rPr>
              <w:t>5 460 743 179</w:t>
            </w:r>
          </w:p>
        </w:tc>
      </w:tr>
      <w:tr>
        <w:trPr>
          <w:trHeight w:hRule="exact" w:val="283"/>
        </w:trPr>
        <w:tc>
          <w:tcPr>
            <w:tcW w:w="5245" w:type="dxa"/>
            <w:tcBorders>
              <w:top w:val="single" w:sz="4" w:space="0" w:color="auto"/>
              <w:left w:val="single" w:sz="4" w:space="0" w:color="auto"/>
              <w:bottom w:val="single" w:sz="4" w:space="0" w:color="auto"/>
              <w:right w:val="single" w:sz="4" w:space="0" w:color="auto"/>
            </w:tcBorders>
            <w:shd w:val="clear" w:color="auto" w:fill="FFFFFF"/>
            <w:noWrap/>
            <w:vAlign w:val="bottom"/>
          </w:tcPr>
          <w:p>
            <w:pPr>
              <w:rPr>
                <w:rFonts w:eastAsia="Arial Unicode MS" w:cs="Arial"/>
                <w:bCs/>
                <w:noProof/>
              </w:rPr>
            </w:pPr>
            <w:r>
              <w:rPr>
                <w:rFonts w:cs="Arial"/>
                <w:bCs/>
                <w:noProof/>
              </w:rPr>
              <w:t>Fair value reserve</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cs="Arial"/>
                <w:bCs/>
                <w:noProof/>
              </w:rPr>
            </w:pPr>
            <w:r>
              <w:rPr>
                <w:rFonts w:cs="Arial"/>
                <w:bCs/>
                <w:noProof/>
              </w:rPr>
              <w:t>49 616 101</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cs="Arial"/>
                <w:bCs/>
                <w:noProof/>
              </w:rPr>
            </w:pPr>
            <w:r>
              <w:rPr>
                <w:rFonts w:cs="Arial"/>
                <w:bCs/>
                <w:noProof/>
              </w:rPr>
              <w:t>1 442 436</w:t>
            </w:r>
          </w:p>
        </w:tc>
      </w:tr>
      <w:tr>
        <w:trPr>
          <w:trHeight w:hRule="exact" w:val="283"/>
        </w:trPr>
        <w:tc>
          <w:tcPr>
            <w:tcW w:w="5245" w:type="dxa"/>
            <w:tcBorders>
              <w:top w:val="single" w:sz="4" w:space="0" w:color="auto"/>
              <w:left w:val="single" w:sz="4" w:space="0" w:color="auto"/>
              <w:bottom w:val="single" w:sz="4" w:space="0" w:color="auto"/>
              <w:right w:val="single" w:sz="4" w:space="0" w:color="auto"/>
            </w:tcBorders>
            <w:shd w:val="clear" w:color="auto" w:fill="FFFFFF"/>
            <w:noWrap/>
            <w:vAlign w:val="bottom"/>
          </w:tcPr>
          <w:p>
            <w:pPr>
              <w:rPr>
                <w:rFonts w:cs="Arial"/>
                <w:noProof/>
              </w:rPr>
            </w:pPr>
            <w:r>
              <w:rPr>
                <w:rFonts w:cs="Arial"/>
                <w:noProof/>
              </w:rPr>
              <w:t>Retained earnings</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cs="Arial"/>
                <w:noProof/>
              </w:rPr>
            </w:pPr>
            <w:r>
              <w:rPr>
                <w:rFonts w:cs="Arial"/>
                <w:noProof/>
              </w:rPr>
              <w:t>(10 512 413)</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cs="Arial"/>
                <w:noProof/>
              </w:rPr>
            </w:pPr>
            <w:r>
              <w:rPr>
                <w:rFonts w:cs="Arial"/>
                <w:noProof/>
              </w:rPr>
              <w:t>3 364 100</w:t>
            </w:r>
          </w:p>
        </w:tc>
      </w:tr>
      <w:tr>
        <w:trPr>
          <w:trHeight w:hRule="exact" w:val="297"/>
        </w:trPr>
        <w:tc>
          <w:tcPr>
            <w:tcW w:w="5245" w:type="dxa"/>
            <w:tcBorders>
              <w:top w:val="single" w:sz="4" w:space="0" w:color="auto"/>
              <w:left w:val="single" w:sz="4" w:space="0" w:color="auto"/>
              <w:bottom w:val="single" w:sz="4" w:space="0" w:color="auto"/>
              <w:right w:val="single" w:sz="4" w:space="0" w:color="auto"/>
            </w:tcBorders>
            <w:shd w:val="clear" w:color="auto" w:fill="FFFFFF"/>
            <w:noWrap/>
            <w:vAlign w:val="bottom"/>
          </w:tcPr>
          <w:p>
            <w:pPr>
              <w:rPr>
                <w:rFonts w:cs="Arial"/>
                <w:noProof/>
              </w:rPr>
            </w:pPr>
            <w:r>
              <w:rPr>
                <w:rFonts w:cs="Arial"/>
                <w:noProof/>
              </w:rPr>
              <w:t>Economic result of the year</w:t>
            </w:r>
          </w:p>
          <w:p>
            <w:pPr>
              <w:rPr>
                <w:rFonts w:cs="Arial"/>
                <w:noProof/>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cs="Arial"/>
                <w:noProof/>
              </w:rPr>
            </w:pPr>
            <w:r>
              <w:rPr>
                <w:rFonts w:cs="Arial"/>
                <w:noProof/>
              </w:rPr>
              <w:t>21 711 491</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cs="Arial"/>
                <w:noProof/>
              </w:rPr>
            </w:pPr>
            <w:r>
              <w:rPr>
                <w:rFonts w:cs="Arial"/>
                <w:noProof/>
              </w:rPr>
              <w:t>(13 876 513)</w:t>
            </w:r>
          </w:p>
        </w:tc>
      </w:tr>
      <w:tr>
        <w:trPr>
          <w:trHeight w:hRule="exact" w:val="283"/>
        </w:trPr>
        <w:tc>
          <w:tcPr>
            <w:tcW w:w="5245" w:type="dxa"/>
            <w:tcBorders>
              <w:top w:val="single" w:sz="4" w:space="0" w:color="auto"/>
              <w:left w:val="single" w:sz="4" w:space="0" w:color="auto"/>
              <w:bottom w:val="single" w:sz="4" w:space="0" w:color="auto"/>
              <w:right w:val="single" w:sz="4" w:space="0" w:color="auto"/>
            </w:tcBorders>
            <w:shd w:val="clear" w:color="auto" w:fill="FFFFFF"/>
            <w:noWrap/>
            <w:vAlign w:val="bottom"/>
          </w:tcPr>
          <w:p>
            <w:pPr>
              <w:rPr>
                <w:rFonts w:eastAsia="Arial Unicode MS" w:cs="Arial"/>
                <w:b/>
                <w:bCs/>
                <w:noProof/>
                <w:lang w:val="fr-FR"/>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jc w:val="right"/>
              <w:rPr>
                <w:rFonts w:cs="Arial"/>
                <w:b/>
                <w:noProof/>
                <w:lang w:val="fr-FR"/>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jc w:val="right"/>
              <w:rPr>
                <w:rFonts w:cs="Arial"/>
                <w:b/>
                <w:noProof/>
                <w:lang w:val="fr-FR"/>
              </w:rPr>
            </w:pPr>
          </w:p>
        </w:tc>
      </w:tr>
      <w:tr>
        <w:trPr>
          <w:trHeight w:hRule="exact" w:val="283"/>
        </w:trPr>
        <w:tc>
          <w:tcPr>
            <w:tcW w:w="5245" w:type="dxa"/>
            <w:tcBorders>
              <w:top w:val="single" w:sz="4" w:space="0" w:color="auto"/>
              <w:left w:val="single" w:sz="4" w:space="0" w:color="auto"/>
              <w:bottom w:val="single" w:sz="4" w:space="0" w:color="auto"/>
              <w:right w:val="single" w:sz="4" w:space="0" w:color="auto"/>
            </w:tcBorders>
            <w:shd w:val="clear" w:color="auto" w:fill="FFFFFF"/>
            <w:noWrap/>
            <w:vAlign w:val="bottom"/>
          </w:tcPr>
          <w:p>
            <w:pPr>
              <w:rPr>
                <w:rFonts w:eastAsia="Arial Unicode MS" w:cs="Arial"/>
                <w:b/>
                <w:bCs/>
                <w:noProof/>
                <w:lang w:val="fr-FR"/>
              </w:rPr>
            </w:pPr>
            <w:r>
              <w:rPr>
                <w:rFonts w:cs="Arial"/>
                <w:b/>
                <w:bCs/>
                <w:noProof/>
                <w:lang w:val="fr-FR"/>
              </w:rPr>
              <w:t>CURRENT LIABILITIES</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tabs>
                <w:tab w:val="left" w:pos="1558"/>
              </w:tabs>
              <w:ind w:right="143"/>
              <w:jc w:val="right"/>
              <w:rPr>
                <w:rFonts w:eastAsia="Arial Unicode MS" w:cs="Arial"/>
                <w:b/>
                <w:noProof/>
              </w:rPr>
            </w:pPr>
            <w:r>
              <w:rPr>
                <w:rFonts w:cs="Arial"/>
                <w:b/>
                <w:noProof/>
              </w:rPr>
              <w:t>112 593</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tabs>
                <w:tab w:val="left" w:pos="1558"/>
              </w:tabs>
              <w:ind w:right="143"/>
              <w:jc w:val="right"/>
              <w:rPr>
                <w:rFonts w:eastAsia="Arial Unicode MS" w:cs="Arial"/>
                <w:b/>
                <w:noProof/>
              </w:rPr>
            </w:pPr>
            <w:r>
              <w:rPr>
                <w:rFonts w:cs="Arial"/>
                <w:b/>
                <w:noProof/>
              </w:rPr>
              <w:t>100 455</w:t>
            </w:r>
          </w:p>
        </w:tc>
      </w:tr>
      <w:tr>
        <w:trPr>
          <w:trHeight w:hRule="exact" w:val="283"/>
        </w:trPr>
        <w:tc>
          <w:tcPr>
            <w:tcW w:w="5245" w:type="dxa"/>
            <w:tcBorders>
              <w:top w:val="single" w:sz="4" w:space="0" w:color="auto"/>
              <w:left w:val="single" w:sz="4" w:space="0" w:color="auto"/>
              <w:bottom w:val="single" w:sz="4" w:space="0" w:color="auto"/>
              <w:right w:val="single" w:sz="4" w:space="0" w:color="auto"/>
            </w:tcBorders>
            <w:shd w:val="clear" w:color="auto" w:fill="FFFFFF"/>
            <w:noWrap/>
            <w:vAlign w:val="bottom"/>
          </w:tcPr>
          <w:p>
            <w:pPr>
              <w:rPr>
                <w:rFonts w:cs="Arial"/>
                <w:b/>
                <w:bCs/>
                <w:noProof/>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jc w:val="right"/>
              <w:rPr>
                <w:rFonts w:cs="Arial"/>
                <w:noProof/>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jc w:val="right"/>
              <w:rPr>
                <w:rFonts w:cs="Arial"/>
                <w:noProof/>
              </w:rPr>
            </w:pPr>
          </w:p>
        </w:tc>
      </w:tr>
      <w:tr>
        <w:trPr>
          <w:trHeight w:hRule="exact" w:val="375"/>
        </w:trPr>
        <w:tc>
          <w:tcPr>
            <w:tcW w:w="5245" w:type="dxa"/>
            <w:tcBorders>
              <w:top w:val="single" w:sz="4" w:space="0" w:color="auto"/>
              <w:left w:val="single" w:sz="4" w:space="0" w:color="auto"/>
              <w:bottom w:val="single" w:sz="4" w:space="0" w:color="auto"/>
              <w:right w:val="single" w:sz="4" w:space="0" w:color="auto"/>
            </w:tcBorders>
            <w:shd w:val="clear" w:color="auto" w:fill="FFFFFF"/>
            <w:noWrap/>
            <w:vAlign w:val="bottom"/>
          </w:tcPr>
          <w:p>
            <w:pPr>
              <w:rPr>
                <w:rFonts w:cs="Arial"/>
                <w:bCs/>
                <w:noProof/>
              </w:rPr>
            </w:pPr>
            <w:r>
              <w:rPr>
                <w:rFonts w:cs="Arial"/>
                <w:bCs/>
                <w:noProof/>
              </w:rPr>
              <w:t>Financial liabilities at fair value through surplus or deficit</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tabs>
                <w:tab w:val="left" w:pos="1558"/>
              </w:tabs>
              <w:ind w:right="143"/>
              <w:jc w:val="right"/>
              <w:rPr>
                <w:rFonts w:eastAsia="Arial Unicode MS" w:cs="Arial"/>
                <w:noProof/>
              </w:rPr>
            </w:pPr>
            <w:r>
              <w:rPr>
                <w:rFonts w:eastAsia="Arial Unicode MS" w:cs="Arial"/>
                <w:noProof/>
              </w:rPr>
              <w:t>-</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tabs>
                <w:tab w:val="left" w:pos="1558"/>
              </w:tabs>
              <w:ind w:right="143"/>
              <w:jc w:val="right"/>
              <w:rPr>
                <w:rFonts w:eastAsia="Arial Unicode MS" w:cs="Arial"/>
                <w:noProof/>
              </w:rPr>
            </w:pPr>
            <w:r>
              <w:rPr>
                <w:rFonts w:eastAsia="Arial Unicode MS" w:cs="Arial"/>
                <w:noProof/>
              </w:rPr>
              <w:t>-</w:t>
            </w:r>
          </w:p>
        </w:tc>
      </w:tr>
      <w:tr>
        <w:trPr>
          <w:trHeight w:hRule="exact" w:val="344"/>
        </w:trPr>
        <w:tc>
          <w:tcPr>
            <w:tcW w:w="5245" w:type="dxa"/>
            <w:tcBorders>
              <w:top w:val="single" w:sz="4" w:space="0" w:color="auto"/>
              <w:left w:val="single" w:sz="4" w:space="0" w:color="auto"/>
              <w:bottom w:val="single" w:sz="4" w:space="0" w:color="auto"/>
              <w:right w:val="single" w:sz="4" w:space="0" w:color="auto"/>
            </w:tcBorders>
            <w:shd w:val="clear" w:color="auto" w:fill="FFFFFF"/>
            <w:noWrap/>
            <w:vAlign w:val="bottom"/>
          </w:tcPr>
          <w:p>
            <w:pPr>
              <w:rPr>
                <w:rFonts w:cs="Arial"/>
                <w:bCs/>
                <w:noProof/>
              </w:rPr>
            </w:pPr>
            <w:r>
              <w:rPr>
                <w:rFonts w:cs="Arial"/>
                <w:bCs/>
                <w:noProof/>
              </w:rPr>
              <w:t>Other payables</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cs="Arial"/>
                <w:noProof/>
              </w:rPr>
            </w:pPr>
            <w:r>
              <w:rPr>
                <w:rFonts w:cs="Arial"/>
                <w:noProof/>
              </w:rPr>
              <w:t>112 593</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cs="Arial"/>
                <w:noProof/>
              </w:rPr>
            </w:pPr>
            <w:r>
              <w:rPr>
                <w:rFonts w:cs="Arial"/>
                <w:noProof/>
              </w:rPr>
              <w:t>100 455</w:t>
            </w:r>
          </w:p>
        </w:tc>
      </w:tr>
      <w:tr>
        <w:trPr>
          <w:trHeight w:hRule="exact" w:val="344"/>
        </w:trPr>
        <w:tc>
          <w:tcPr>
            <w:tcW w:w="5245" w:type="dxa"/>
            <w:tcBorders>
              <w:top w:val="single" w:sz="4" w:space="0" w:color="auto"/>
              <w:left w:val="single" w:sz="4" w:space="0" w:color="auto"/>
              <w:bottom w:val="single" w:sz="4" w:space="0" w:color="auto"/>
              <w:right w:val="single" w:sz="4" w:space="0" w:color="auto"/>
            </w:tcBorders>
            <w:shd w:val="clear" w:color="auto" w:fill="FFFFFF"/>
            <w:noWrap/>
            <w:vAlign w:val="bottom"/>
          </w:tcPr>
          <w:p>
            <w:pPr>
              <w:rPr>
                <w:rFonts w:cs="Arial"/>
                <w:bCs/>
                <w:noProof/>
              </w:rPr>
            </w:pPr>
            <w:r>
              <w:rPr>
                <w:rFonts w:cs="Arial"/>
                <w:bCs/>
                <w:noProof/>
              </w:rPr>
              <w:t>Accrued charges</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cs="Arial"/>
                <w:noProof/>
              </w:rPr>
            </w:pPr>
            <w:r>
              <w:rPr>
                <w:rFonts w:cs="Arial"/>
                <w:noProof/>
              </w:rPr>
              <w:t>-</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eastAsia="Arial Unicode MS" w:cs="Arial"/>
                <w:noProof/>
              </w:rPr>
            </w:pPr>
            <w:r>
              <w:rPr>
                <w:rFonts w:cs="Arial"/>
                <w:noProof/>
              </w:rPr>
              <w:t>-</w:t>
            </w:r>
          </w:p>
        </w:tc>
      </w:tr>
      <w:tr>
        <w:trPr>
          <w:trHeight w:hRule="exact" w:val="303"/>
        </w:trPr>
        <w:tc>
          <w:tcPr>
            <w:tcW w:w="5245" w:type="dxa"/>
            <w:tcBorders>
              <w:top w:val="single" w:sz="4" w:space="0" w:color="auto"/>
              <w:left w:val="single" w:sz="4" w:space="0" w:color="auto"/>
              <w:bottom w:val="single" w:sz="4" w:space="0" w:color="auto"/>
              <w:right w:val="single" w:sz="4" w:space="0" w:color="auto"/>
            </w:tcBorders>
            <w:shd w:val="clear" w:color="auto" w:fill="FFFFFF"/>
            <w:noWrap/>
            <w:vAlign w:val="bottom"/>
          </w:tcPr>
          <w:p>
            <w:pPr>
              <w:rPr>
                <w:rFonts w:eastAsia="Arial Unicode MS" w:cs="Arial"/>
                <w:b/>
                <w:bCs/>
                <w:noProof/>
              </w:rPr>
            </w:pPr>
            <w:r>
              <w:rPr>
                <w:rFonts w:cs="Arial"/>
                <w:b/>
                <w:bCs/>
                <w:noProof/>
              </w:rPr>
              <w:t>TOTAL NET ASSETS AND LIABILITIES</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cs="Arial"/>
                <w:b/>
                <w:noProof/>
              </w:rPr>
            </w:pPr>
            <w:r>
              <w:rPr>
                <w:rFonts w:eastAsia="Arial Unicode MS" w:cs="Arial"/>
                <w:b/>
                <w:bCs/>
                <w:noProof/>
              </w:rPr>
              <w:t>6 687 883 044</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bottom"/>
          </w:tcPr>
          <w:p>
            <w:pPr>
              <w:ind w:right="142"/>
              <w:jc w:val="right"/>
              <w:rPr>
                <w:rFonts w:cs="Arial"/>
                <w:b/>
                <w:noProof/>
              </w:rPr>
            </w:pPr>
            <w:r>
              <w:rPr>
                <w:rFonts w:eastAsia="Arial Unicode MS" w:cs="Arial"/>
                <w:b/>
                <w:bCs/>
                <w:noProof/>
              </w:rPr>
              <w:t>5 451 773 656</w:t>
            </w:r>
          </w:p>
        </w:tc>
      </w:tr>
    </w:tbl>
    <w:p>
      <w:pPr>
        <w:spacing w:after="240"/>
        <w:rPr>
          <w:rStyle w:val="BookTitle"/>
          <w:noProof/>
          <w:sz w:val="24"/>
          <w:szCs w:val="24"/>
        </w:rPr>
      </w:pPr>
      <w:r>
        <w:rPr>
          <w:rStyle w:val="BookTitle"/>
          <w:noProof/>
          <w:sz w:val="24"/>
          <w:szCs w:val="24"/>
        </w:rPr>
        <w:t>Statement of financial performance for the year ended 31 December 2019</w:t>
      </w:r>
    </w:p>
    <w:tbl>
      <w:tblPr>
        <w:tblW w:w="92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13"/>
        <w:gridCol w:w="1701"/>
        <w:gridCol w:w="1701"/>
      </w:tblGrid>
      <w:tr>
        <w:trPr>
          <w:trHeight w:hRule="exact" w:val="284"/>
        </w:trPr>
        <w:tc>
          <w:tcPr>
            <w:tcW w:w="5813" w:type="dxa"/>
            <w:shd w:val="clear" w:color="auto" w:fill="FFFFFF"/>
            <w:noWrap/>
            <w:vAlign w:val="center"/>
          </w:tcPr>
          <w:p>
            <w:pPr>
              <w:rPr>
                <w:rFonts w:eastAsia="Arial Unicode MS" w:cs="Arial"/>
                <w:noProof/>
              </w:rPr>
            </w:pPr>
            <w:r>
              <w:rPr>
                <w:rFonts w:cs="Arial"/>
                <w:noProof/>
              </w:rPr>
              <w:t> </w:t>
            </w:r>
          </w:p>
        </w:tc>
        <w:tc>
          <w:tcPr>
            <w:tcW w:w="1701" w:type="dxa"/>
            <w:shd w:val="clear" w:color="auto" w:fill="FFFFFF"/>
            <w:noWrap/>
            <w:vAlign w:val="center"/>
          </w:tcPr>
          <w:p>
            <w:pPr>
              <w:jc w:val="center"/>
              <w:rPr>
                <w:rFonts w:eastAsia="Arial Unicode MS" w:cs="Arial"/>
                <w:b/>
                <w:bCs/>
                <w:noProof/>
              </w:rPr>
            </w:pPr>
            <w:r>
              <w:rPr>
                <w:rFonts w:cs="Arial"/>
                <w:b/>
                <w:bCs/>
                <w:noProof/>
              </w:rPr>
              <w:t>2019</w:t>
            </w:r>
          </w:p>
        </w:tc>
        <w:tc>
          <w:tcPr>
            <w:tcW w:w="1701" w:type="dxa"/>
            <w:shd w:val="clear" w:color="auto" w:fill="FFFFFF"/>
            <w:vAlign w:val="center"/>
          </w:tcPr>
          <w:p>
            <w:pPr>
              <w:jc w:val="center"/>
              <w:rPr>
                <w:rFonts w:eastAsia="Arial Unicode MS" w:cs="Arial"/>
                <w:b/>
                <w:bCs/>
                <w:noProof/>
              </w:rPr>
            </w:pPr>
            <w:r>
              <w:rPr>
                <w:rFonts w:cs="Arial"/>
                <w:b/>
                <w:bCs/>
                <w:noProof/>
              </w:rPr>
              <w:t>2018</w:t>
            </w:r>
          </w:p>
        </w:tc>
      </w:tr>
      <w:tr>
        <w:trPr>
          <w:trHeight w:hRule="exact" w:val="284"/>
        </w:trPr>
        <w:tc>
          <w:tcPr>
            <w:tcW w:w="5813" w:type="dxa"/>
            <w:shd w:val="clear" w:color="auto" w:fill="FFFFFF"/>
            <w:noWrap/>
            <w:vAlign w:val="center"/>
          </w:tcPr>
          <w:p>
            <w:pPr>
              <w:rPr>
                <w:rFonts w:cs="Arial"/>
                <w:noProof/>
              </w:rPr>
            </w:pPr>
          </w:p>
        </w:tc>
        <w:tc>
          <w:tcPr>
            <w:tcW w:w="1701" w:type="dxa"/>
            <w:shd w:val="clear" w:color="auto" w:fill="FFFFFF"/>
            <w:noWrap/>
            <w:vAlign w:val="center"/>
          </w:tcPr>
          <w:p>
            <w:pPr>
              <w:jc w:val="center"/>
              <w:rPr>
                <w:rFonts w:cs="Arial"/>
                <w:b/>
                <w:bCs/>
                <w:noProof/>
              </w:rPr>
            </w:pPr>
            <w:r>
              <w:rPr>
                <w:rFonts w:cs="Arial"/>
                <w:b/>
                <w:bCs/>
                <w:noProof/>
              </w:rPr>
              <w:t>EUR</w:t>
            </w:r>
          </w:p>
        </w:tc>
        <w:tc>
          <w:tcPr>
            <w:tcW w:w="1701" w:type="dxa"/>
            <w:shd w:val="clear" w:color="auto" w:fill="FFFFFF"/>
            <w:vAlign w:val="center"/>
          </w:tcPr>
          <w:p>
            <w:pPr>
              <w:jc w:val="center"/>
              <w:rPr>
                <w:rFonts w:cs="Arial"/>
                <w:b/>
                <w:bCs/>
                <w:noProof/>
              </w:rPr>
            </w:pPr>
            <w:r>
              <w:rPr>
                <w:rFonts w:cs="Arial"/>
                <w:b/>
                <w:bCs/>
                <w:noProof/>
              </w:rPr>
              <w:t>EUR</w:t>
            </w:r>
          </w:p>
        </w:tc>
      </w:tr>
      <w:tr>
        <w:trPr>
          <w:trHeight w:hRule="exact" w:val="284"/>
        </w:trPr>
        <w:tc>
          <w:tcPr>
            <w:tcW w:w="5813" w:type="dxa"/>
            <w:shd w:val="clear" w:color="auto" w:fill="FFFFFF"/>
            <w:noWrap/>
            <w:vAlign w:val="center"/>
          </w:tcPr>
          <w:p>
            <w:pPr>
              <w:rPr>
                <w:rFonts w:cs="Arial"/>
                <w:noProof/>
              </w:rPr>
            </w:pPr>
            <w:r>
              <w:rPr>
                <w:rFonts w:cs="Arial"/>
                <w:b/>
                <w:noProof/>
              </w:rPr>
              <w:t>Revenue from operating activities</w:t>
            </w:r>
          </w:p>
        </w:tc>
        <w:tc>
          <w:tcPr>
            <w:tcW w:w="1701" w:type="dxa"/>
            <w:shd w:val="clear" w:color="auto" w:fill="FFFFFF"/>
            <w:noWrap/>
            <w:vAlign w:val="bottom"/>
          </w:tcPr>
          <w:p>
            <w:pPr>
              <w:tabs>
                <w:tab w:val="left" w:pos="1558"/>
              </w:tabs>
              <w:ind w:right="143"/>
              <w:jc w:val="right"/>
              <w:rPr>
                <w:rFonts w:cs="Arial"/>
                <w:b/>
                <w:noProof/>
                <w:lang w:eastAsia="ko-KR"/>
              </w:rPr>
            </w:pPr>
            <w:r>
              <w:rPr>
                <w:rFonts w:cs="Arial"/>
                <w:b/>
                <w:noProof/>
                <w:lang w:eastAsia="ko-KR"/>
              </w:rPr>
              <w:t>47 488 284</w:t>
            </w:r>
          </w:p>
        </w:tc>
        <w:tc>
          <w:tcPr>
            <w:tcW w:w="1701" w:type="dxa"/>
            <w:shd w:val="clear" w:color="auto" w:fill="FFFFFF"/>
            <w:vAlign w:val="bottom"/>
          </w:tcPr>
          <w:p>
            <w:pPr>
              <w:tabs>
                <w:tab w:val="left" w:pos="1558"/>
              </w:tabs>
              <w:ind w:right="143"/>
              <w:jc w:val="right"/>
              <w:rPr>
                <w:rFonts w:cs="Arial"/>
                <w:b/>
                <w:noProof/>
                <w:lang w:eastAsia="ko-KR"/>
              </w:rPr>
            </w:pPr>
            <w:r>
              <w:rPr>
                <w:rFonts w:cs="Arial"/>
                <w:b/>
                <w:noProof/>
                <w:lang w:eastAsia="ko-KR"/>
              </w:rPr>
              <w:t>103 725 359</w:t>
            </w:r>
          </w:p>
        </w:tc>
      </w:tr>
      <w:tr>
        <w:trPr>
          <w:trHeight w:hRule="exact" w:val="284"/>
        </w:trPr>
        <w:tc>
          <w:tcPr>
            <w:tcW w:w="5813" w:type="dxa"/>
            <w:shd w:val="clear" w:color="auto" w:fill="FFFFFF"/>
            <w:noWrap/>
            <w:vAlign w:val="center"/>
          </w:tcPr>
          <w:p>
            <w:pPr>
              <w:rPr>
                <w:rFonts w:cs="Arial"/>
                <w:noProof/>
              </w:rPr>
            </w:pPr>
            <w:r>
              <w:rPr>
                <w:rFonts w:cs="Arial"/>
                <w:noProof/>
              </w:rPr>
              <w:t>Foreign exchange gains</w:t>
            </w:r>
          </w:p>
        </w:tc>
        <w:tc>
          <w:tcPr>
            <w:tcW w:w="1701" w:type="dxa"/>
            <w:shd w:val="clear" w:color="auto" w:fill="FFFFFF"/>
            <w:noWrap/>
            <w:vAlign w:val="bottom"/>
          </w:tcPr>
          <w:p>
            <w:pPr>
              <w:tabs>
                <w:tab w:val="left" w:pos="1558"/>
              </w:tabs>
              <w:ind w:right="143"/>
              <w:jc w:val="right"/>
              <w:rPr>
                <w:rFonts w:cs="Arial"/>
                <w:noProof/>
              </w:rPr>
            </w:pPr>
            <w:r>
              <w:rPr>
                <w:rFonts w:cs="Arial"/>
                <w:noProof/>
              </w:rPr>
              <w:t>47 488 284</w:t>
            </w:r>
          </w:p>
        </w:tc>
        <w:tc>
          <w:tcPr>
            <w:tcW w:w="1701" w:type="dxa"/>
            <w:shd w:val="clear" w:color="auto" w:fill="FFFFFF"/>
            <w:vAlign w:val="bottom"/>
          </w:tcPr>
          <w:p>
            <w:pPr>
              <w:tabs>
                <w:tab w:val="left" w:pos="1558"/>
              </w:tabs>
              <w:ind w:right="143"/>
              <w:jc w:val="right"/>
              <w:rPr>
                <w:rFonts w:cs="Arial"/>
                <w:noProof/>
              </w:rPr>
            </w:pPr>
            <w:r>
              <w:rPr>
                <w:rFonts w:cs="Arial"/>
                <w:noProof/>
              </w:rPr>
              <w:t>103 679 180</w:t>
            </w:r>
          </w:p>
        </w:tc>
      </w:tr>
      <w:tr>
        <w:trPr>
          <w:trHeight w:hRule="exact" w:val="284"/>
        </w:trPr>
        <w:tc>
          <w:tcPr>
            <w:tcW w:w="5813" w:type="dxa"/>
            <w:shd w:val="clear" w:color="auto" w:fill="FFFFFF"/>
            <w:noWrap/>
            <w:vAlign w:val="center"/>
          </w:tcPr>
          <w:p>
            <w:pPr>
              <w:rPr>
                <w:rFonts w:cs="Arial"/>
                <w:noProof/>
              </w:rPr>
            </w:pPr>
            <w:r>
              <w:rPr>
                <w:rFonts w:cs="Arial"/>
                <w:noProof/>
              </w:rPr>
              <w:t>Other revenue from operating activities</w:t>
            </w:r>
          </w:p>
        </w:tc>
        <w:tc>
          <w:tcPr>
            <w:tcW w:w="1701" w:type="dxa"/>
            <w:shd w:val="clear" w:color="auto" w:fill="FFFFFF"/>
            <w:noWrap/>
            <w:vAlign w:val="bottom"/>
          </w:tcPr>
          <w:p>
            <w:pPr>
              <w:tabs>
                <w:tab w:val="left" w:pos="1558"/>
              </w:tabs>
              <w:ind w:right="143"/>
              <w:jc w:val="right"/>
              <w:rPr>
                <w:rFonts w:cs="Arial"/>
                <w:noProof/>
              </w:rPr>
            </w:pPr>
            <w:r>
              <w:rPr>
                <w:rFonts w:cs="Arial"/>
                <w:noProof/>
              </w:rPr>
              <w:t>-</w:t>
            </w:r>
          </w:p>
        </w:tc>
        <w:tc>
          <w:tcPr>
            <w:tcW w:w="1701" w:type="dxa"/>
            <w:shd w:val="clear" w:color="auto" w:fill="FFFFFF"/>
            <w:vAlign w:val="bottom"/>
          </w:tcPr>
          <w:p>
            <w:pPr>
              <w:tabs>
                <w:tab w:val="left" w:pos="1558"/>
              </w:tabs>
              <w:ind w:right="143"/>
              <w:jc w:val="right"/>
              <w:rPr>
                <w:rFonts w:cs="Arial"/>
                <w:noProof/>
              </w:rPr>
            </w:pPr>
            <w:r>
              <w:rPr>
                <w:rFonts w:cs="Arial"/>
                <w:noProof/>
              </w:rPr>
              <w:t>46 179</w:t>
            </w:r>
          </w:p>
        </w:tc>
      </w:tr>
      <w:tr>
        <w:trPr>
          <w:trHeight w:hRule="exact" w:val="284"/>
        </w:trPr>
        <w:tc>
          <w:tcPr>
            <w:tcW w:w="5813" w:type="dxa"/>
            <w:shd w:val="clear" w:color="auto" w:fill="FFFFFF"/>
            <w:noWrap/>
            <w:vAlign w:val="center"/>
          </w:tcPr>
          <w:p>
            <w:pPr>
              <w:rPr>
                <w:rFonts w:cs="Arial"/>
                <w:b/>
                <w:noProof/>
              </w:rPr>
            </w:pPr>
          </w:p>
        </w:tc>
        <w:tc>
          <w:tcPr>
            <w:tcW w:w="1701" w:type="dxa"/>
            <w:shd w:val="clear" w:color="auto" w:fill="FFFFFF"/>
            <w:noWrap/>
            <w:vAlign w:val="center"/>
          </w:tcPr>
          <w:p>
            <w:pPr>
              <w:tabs>
                <w:tab w:val="left" w:pos="1558"/>
              </w:tabs>
              <w:ind w:right="143"/>
              <w:jc w:val="right"/>
              <w:rPr>
                <w:rFonts w:cs="Arial"/>
                <w:b/>
                <w:noProof/>
              </w:rPr>
            </w:pPr>
          </w:p>
        </w:tc>
        <w:tc>
          <w:tcPr>
            <w:tcW w:w="1701" w:type="dxa"/>
            <w:shd w:val="clear" w:color="auto" w:fill="FFFFFF"/>
            <w:vAlign w:val="center"/>
          </w:tcPr>
          <w:p>
            <w:pPr>
              <w:tabs>
                <w:tab w:val="left" w:pos="1558"/>
              </w:tabs>
              <w:ind w:right="143"/>
              <w:jc w:val="right"/>
              <w:rPr>
                <w:rFonts w:cs="Arial"/>
                <w:b/>
                <w:noProof/>
              </w:rPr>
            </w:pPr>
          </w:p>
        </w:tc>
      </w:tr>
      <w:tr>
        <w:trPr>
          <w:trHeight w:hRule="exact" w:val="284"/>
        </w:trPr>
        <w:tc>
          <w:tcPr>
            <w:tcW w:w="5813" w:type="dxa"/>
            <w:shd w:val="clear" w:color="auto" w:fill="FFFFFF"/>
            <w:noWrap/>
            <w:vAlign w:val="center"/>
          </w:tcPr>
          <w:p>
            <w:pPr>
              <w:rPr>
                <w:rFonts w:cs="Arial"/>
                <w:noProof/>
              </w:rPr>
            </w:pPr>
            <w:r>
              <w:rPr>
                <w:rFonts w:cs="Arial"/>
                <w:b/>
                <w:noProof/>
              </w:rPr>
              <w:t>Expenses from operating activities</w:t>
            </w:r>
          </w:p>
        </w:tc>
        <w:tc>
          <w:tcPr>
            <w:tcW w:w="1701" w:type="dxa"/>
            <w:shd w:val="clear" w:color="auto" w:fill="FFFFFF"/>
            <w:noWrap/>
            <w:vAlign w:val="center"/>
          </w:tcPr>
          <w:p>
            <w:pPr>
              <w:tabs>
                <w:tab w:val="left" w:pos="1558"/>
              </w:tabs>
              <w:ind w:right="143"/>
              <w:jc w:val="right"/>
              <w:rPr>
                <w:rFonts w:cs="Arial"/>
                <w:b/>
                <w:noProof/>
              </w:rPr>
            </w:pPr>
            <w:r>
              <w:rPr>
                <w:rFonts w:cs="Arial"/>
                <w:b/>
                <w:noProof/>
              </w:rPr>
              <w:t>(65 064 399)</w:t>
            </w:r>
          </w:p>
        </w:tc>
        <w:tc>
          <w:tcPr>
            <w:tcW w:w="1701" w:type="dxa"/>
            <w:shd w:val="clear" w:color="auto" w:fill="FFFFFF"/>
            <w:vAlign w:val="center"/>
          </w:tcPr>
          <w:p>
            <w:pPr>
              <w:tabs>
                <w:tab w:val="left" w:pos="1558"/>
              </w:tabs>
              <w:ind w:right="143"/>
              <w:jc w:val="right"/>
              <w:rPr>
                <w:rFonts w:cs="Arial"/>
                <w:b/>
                <w:noProof/>
              </w:rPr>
            </w:pPr>
            <w:r>
              <w:rPr>
                <w:rFonts w:cs="Arial"/>
                <w:b/>
                <w:noProof/>
              </w:rPr>
              <w:t>(86 684 186)</w:t>
            </w:r>
          </w:p>
        </w:tc>
      </w:tr>
      <w:tr>
        <w:trPr>
          <w:trHeight w:hRule="exact" w:val="284"/>
        </w:trPr>
        <w:tc>
          <w:tcPr>
            <w:tcW w:w="5813" w:type="dxa"/>
            <w:shd w:val="clear" w:color="auto" w:fill="FFFFFF"/>
            <w:noWrap/>
            <w:vAlign w:val="center"/>
          </w:tcPr>
          <w:p>
            <w:pPr>
              <w:rPr>
                <w:rFonts w:cs="Arial"/>
                <w:noProof/>
              </w:rPr>
            </w:pPr>
            <w:r>
              <w:rPr>
                <w:rFonts w:cs="Arial"/>
                <w:noProof/>
              </w:rPr>
              <w:t>Foreign exchange losses</w:t>
            </w:r>
          </w:p>
        </w:tc>
        <w:tc>
          <w:tcPr>
            <w:tcW w:w="1701" w:type="dxa"/>
            <w:shd w:val="clear" w:color="auto" w:fill="FFFFFF"/>
            <w:noWrap/>
            <w:vAlign w:val="bottom"/>
          </w:tcPr>
          <w:p>
            <w:pPr>
              <w:tabs>
                <w:tab w:val="left" w:pos="1558"/>
              </w:tabs>
              <w:ind w:right="143"/>
              <w:jc w:val="right"/>
              <w:rPr>
                <w:rFonts w:cs="Arial"/>
                <w:noProof/>
              </w:rPr>
            </w:pPr>
            <w:r>
              <w:rPr>
                <w:rFonts w:cs="Arial"/>
                <w:noProof/>
              </w:rPr>
              <w:t>(65 049 399)</w:t>
            </w:r>
          </w:p>
        </w:tc>
        <w:tc>
          <w:tcPr>
            <w:tcW w:w="1701" w:type="dxa"/>
            <w:shd w:val="clear" w:color="auto" w:fill="FFFFFF"/>
            <w:vAlign w:val="bottom"/>
          </w:tcPr>
          <w:p>
            <w:pPr>
              <w:tabs>
                <w:tab w:val="left" w:pos="1558"/>
              </w:tabs>
              <w:ind w:right="143"/>
              <w:jc w:val="right"/>
              <w:rPr>
                <w:rFonts w:cs="Arial"/>
                <w:noProof/>
              </w:rPr>
            </w:pPr>
            <w:r>
              <w:rPr>
                <w:rFonts w:cs="Arial"/>
                <w:noProof/>
              </w:rPr>
              <w:t>(86 669 186)</w:t>
            </w:r>
          </w:p>
        </w:tc>
      </w:tr>
      <w:tr>
        <w:trPr>
          <w:trHeight w:hRule="exact" w:val="284"/>
        </w:trPr>
        <w:tc>
          <w:tcPr>
            <w:tcW w:w="5813" w:type="dxa"/>
            <w:shd w:val="clear" w:color="auto" w:fill="FFFFFF"/>
            <w:noWrap/>
            <w:vAlign w:val="center"/>
          </w:tcPr>
          <w:p>
            <w:pPr>
              <w:rPr>
                <w:rFonts w:cs="Arial"/>
                <w:noProof/>
              </w:rPr>
            </w:pPr>
          </w:p>
        </w:tc>
        <w:tc>
          <w:tcPr>
            <w:tcW w:w="1701" w:type="dxa"/>
            <w:shd w:val="clear" w:color="auto" w:fill="FFFFFF"/>
            <w:noWrap/>
            <w:vAlign w:val="bottom"/>
          </w:tcPr>
          <w:p>
            <w:pPr>
              <w:tabs>
                <w:tab w:val="left" w:pos="1558"/>
              </w:tabs>
              <w:ind w:right="143"/>
              <w:jc w:val="right"/>
              <w:rPr>
                <w:rFonts w:cs="Arial"/>
                <w:noProof/>
              </w:rPr>
            </w:pPr>
          </w:p>
        </w:tc>
        <w:tc>
          <w:tcPr>
            <w:tcW w:w="1701" w:type="dxa"/>
            <w:shd w:val="clear" w:color="auto" w:fill="FFFFFF"/>
            <w:vAlign w:val="bottom"/>
          </w:tcPr>
          <w:p>
            <w:pPr>
              <w:tabs>
                <w:tab w:val="left" w:pos="1558"/>
              </w:tabs>
              <w:ind w:right="143"/>
              <w:jc w:val="right"/>
              <w:rPr>
                <w:rFonts w:cs="Arial"/>
                <w:noProof/>
              </w:rPr>
            </w:pPr>
          </w:p>
        </w:tc>
      </w:tr>
      <w:tr>
        <w:trPr>
          <w:trHeight w:hRule="exact" w:val="284"/>
        </w:trPr>
        <w:tc>
          <w:tcPr>
            <w:tcW w:w="5813" w:type="dxa"/>
            <w:shd w:val="clear" w:color="auto" w:fill="FFFFFF"/>
            <w:noWrap/>
            <w:vAlign w:val="center"/>
          </w:tcPr>
          <w:p>
            <w:pPr>
              <w:rPr>
                <w:rFonts w:cs="Arial"/>
                <w:noProof/>
              </w:rPr>
            </w:pPr>
            <w:r>
              <w:rPr>
                <w:rFonts w:cs="Arial"/>
                <w:bCs/>
                <w:noProof/>
              </w:rPr>
              <w:t>Other expenses from operating activities</w:t>
            </w:r>
          </w:p>
        </w:tc>
        <w:tc>
          <w:tcPr>
            <w:tcW w:w="1701" w:type="dxa"/>
            <w:shd w:val="clear" w:color="auto" w:fill="FFFFFF"/>
            <w:noWrap/>
            <w:vAlign w:val="center"/>
          </w:tcPr>
          <w:p>
            <w:pPr>
              <w:tabs>
                <w:tab w:val="left" w:pos="1558"/>
              </w:tabs>
              <w:ind w:right="143"/>
              <w:jc w:val="right"/>
              <w:rPr>
                <w:rFonts w:eastAsia="Arial Unicode MS" w:cs="Arial"/>
                <w:noProof/>
              </w:rPr>
            </w:pPr>
            <w:r>
              <w:rPr>
                <w:rFonts w:eastAsia="Arial Unicode MS" w:cs="Arial"/>
                <w:noProof/>
              </w:rPr>
              <w:t>(15 000)</w:t>
            </w:r>
          </w:p>
        </w:tc>
        <w:tc>
          <w:tcPr>
            <w:tcW w:w="1701" w:type="dxa"/>
            <w:shd w:val="clear" w:color="auto" w:fill="FFFFFF"/>
            <w:vAlign w:val="center"/>
          </w:tcPr>
          <w:p>
            <w:pPr>
              <w:tabs>
                <w:tab w:val="left" w:pos="1558"/>
              </w:tabs>
              <w:ind w:right="143"/>
              <w:jc w:val="right"/>
              <w:rPr>
                <w:rFonts w:eastAsia="Arial Unicode MS" w:cs="Arial"/>
                <w:b/>
                <w:noProof/>
              </w:rPr>
            </w:pPr>
            <w:r>
              <w:rPr>
                <w:rFonts w:eastAsia="Arial Unicode MS" w:cs="Arial"/>
                <w:noProof/>
              </w:rPr>
              <w:t>(15 000)</w:t>
            </w:r>
          </w:p>
        </w:tc>
      </w:tr>
      <w:tr>
        <w:trPr>
          <w:trHeight w:hRule="exact" w:val="284"/>
        </w:trPr>
        <w:tc>
          <w:tcPr>
            <w:tcW w:w="5813" w:type="dxa"/>
            <w:shd w:val="clear" w:color="auto" w:fill="FFFFFF"/>
            <w:noWrap/>
            <w:vAlign w:val="center"/>
          </w:tcPr>
          <w:p>
            <w:pPr>
              <w:rPr>
                <w:rFonts w:eastAsia="Arial Unicode MS" w:cs="Arial"/>
                <w:i/>
                <w:noProof/>
              </w:rPr>
            </w:pPr>
            <w:r>
              <w:rPr>
                <w:rFonts w:cs="Arial"/>
                <w:i/>
                <w:noProof/>
              </w:rPr>
              <w:t xml:space="preserve">     Audit fees</w:t>
            </w:r>
          </w:p>
        </w:tc>
        <w:tc>
          <w:tcPr>
            <w:tcW w:w="1701" w:type="dxa"/>
            <w:shd w:val="clear" w:color="auto" w:fill="FFFFFF"/>
            <w:noWrap/>
            <w:vAlign w:val="center"/>
          </w:tcPr>
          <w:p>
            <w:pPr>
              <w:tabs>
                <w:tab w:val="left" w:pos="1558"/>
              </w:tabs>
              <w:ind w:right="143"/>
              <w:jc w:val="right"/>
              <w:rPr>
                <w:rFonts w:cs="Arial"/>
                <w:i/>
                <w:noProof/>
                <w:lang w:eastAsia="ko-KR"/>
              </w:rPr>
            </w:pPr>
            <w:r>
              <w:rPr>
                <w:rFonts w:cs="Arial"/>
                <w:i/>
                <w:noProof/>
                <w:lang w:eastAsia="ko-KR"/>
              </w:rPr>
              <w:t>(15 000)</w:t>
            </w:r>
          </w:p>
        </w:tc>
        <w:tc>
          <w:tcPr>
            <w:tcW w:w="1701" w:type="dxa"/>
            <w:shd w:val="clear" w:color="auto" w:fill="FFFFFF"/>
            <w:vAlign w:val="center"/>
          </w:tcPr>
          <w:p>
            <w:pPr>
              <w:tabs>
                <w:tab w:val="left" w:pos="1558"/>
              </w:tabs>
              <w:ind w:right="143"/>
              <w:jc w:val="right"/>
              <w:rPr>
                <w:rFonts w:cs="Arial"/>
                <w:i/>
                <w:noProof/>
                <w:lang w:eastAsia="ko-KR"/>
              </w:rPr>
            </w:pPr>
            <w:r>
              <w:rPr>
                <w:rFonts w:cs="Arial"/>
                <w:i/>
                <w:noProof/>
                <w:lang w:eastAsia="ko-KR"/>
              </w:rPr>
              <w:t>(15 000)</w:t>
            </w:r>
          </w:p>
        </w:tc>
      </w:tr>
      <w:tr>
        <w:trPr>
          <w:trHeight w:hRule="exact" w:val="284"/>
        </w:trPr>
        <w:tc>
          <w:tcPr>
            <w:tcW w:w="5813" w:type="dxa"/>
            <w:shd w:val="clear" w:color="auto" w:fill="FFFFFF"/>
            <w:noWrap/>
            <w:vAlign w:val="center"/>
          </w:tcPr>
          <w:p>
            <w:pPr>
              <w:rPr>
                <w:rFonts w:cs="Arial"/>
                <w:noProof/>
              </w:rPr>
            </w:pPr>
          </w:p>
        </w:tc>
        <w:tc>
          <w:tcPr>
            <w:tcW w:w="1701" w:type="dxa"/>
            <w:shd w:val="clear" w:color="auto" w:fill="FFFFFF"/>
            <w:noWrap/>
            <w:vAlign w:val="center"/>
          </w:tcPr>
          <w:p>
            <w:pPr>
              <w:tabs>
                <w:tab w:val="left" w:pos="1558"/>
              </w:tabs>
              <w:ind w:right="143"/>
              <w:jc w:val="right"/>
              <w:rPr>
                <w:rFonts w:cs="Arial"/>
                <w:i/>
                <w:noProof/>
                <w:lang w:eastAsia="ko-KR"/>
              </w:rPr>
            </w:pPr>
          </w:p>
        </w:tc>
        <w:tc>
          <w:tcPr>
            <w:tcW w:w="1701" w:type="dxa"/>
            <w:shd w:val="clear" w:color="auto" w:fill="FFFFFF"/>
            <w:vAlign w:val="center"/>
          </w:tcPr>
          <w:p>
            <w:pPr>
              <w:tabs>
                <w:tab w:val="left" w:pos="1558"/>
              </w:tabs>
              <w:ind w:right="143"/>
              <w:jc w:val="right"/>
              <w:rPr>
                <w:rFonts w:cs="Arial"/>
                <w:i/>
                <w:noProof/>
                <w:lang w:eastAsia="ko-KR"/>
              </w:rPr>
            </w:pPr>
          </w:p>
        </w:tc>
      </w:tr>
      <w:tr>
        <w:trPr>
          <w:trHeight w:hRule="exact" w:val="284"/>
        </w:trPr>
        <w:tc>
          <w:tcPr>
            <w:tcW w:w="5813" w:type="dxa"/>
            <w:shd w:val="clear" w:color="auto" w:fill="FFFFFF"/>
            <w:noWrap/>
            <w:vAlign w:val="center"/>
          </w:tcPr>
          <w:p>
            <w:pPr>
              <w:rPr>
                <w:rFonts w:cs="Arial"/>
                <w:noProof/>
              </w:rPr>
            </w:pPr>
            <w:r>
              <w:rPr>
                <w:rFonts w:cs="Arial"/>
                <w:b/>
                <w:bCs/>
                <w:noProof/>
              </w:rPr>
              <w:t>RESULT FROM OPERATING ACTIVITIES</w:t>
            </w:r>
          </w:p>
        </w:tc>
        <w:tc>
          <w:tcPr>
            <w:tcW w:w="1701" w:type="dxa"/>
            <w:shd w:val="clear" w:color="auto" w:fill="FFFFFF"/>
            <w:noWrap/>
            <w:vAlign w:val="center"/>
          </w:tcPr>
          <w:p>
            <w:pPr>
              <w:tabs>
                <w:tab w:val="left" w:pos="1558"/>
              </w:tabs>
              <w:ind w:right="143"/>
              <w:jc w:val="right"/>
              <w:rPr>
                <w:rFonts w:cs="Arial"/>
                <w:b/>
                <w:noProof/>
              </w:rPr>
            </w:pPr>
            <w:r>
              <w:rPr>
                <w:rFonts w:cs="Arial"/>
                <w:b/>
                <w:noProof/>
              </w:rPr>
              <w:t>(17 576 115)</w:t>
            </w:r>
          </w:p>
        </w:tc>
        <w:tc>
          <w:tcPr>
            <w:tcW w:w="1701" w:type="dxa"/>
            <w:shd w:val="clear" w:color="auto" w:fill="FFFFFF"/>
            <w:vAlign w:val="center"/>
          </w:tcPr>
          <w:p>
            <w:pPr>
              <w:tabs>
                <w:tab w:val="left" w:pos="1558"/>
              </w:tabs>
              <w:ind w:right="143"/>
              <w:jc w:val="right"/>
              <w:rPr>
                <w:rFonts w:cs="Arial"/>
                <w:b/>
                <w:noProof/>
              </w:rPr>
            </w:pPr>
            <w:r>
              <w:rPr>
                <w:rFonts w:cs="Arial"/>
                <w:b/>
                <w:noProof/>
              </w:rPr>
              <w:t>17 041 173</w:t>
            </w:r>
          </w:p>
        </w:tc>
      </w:tr>
      <w:tr>
        <w:trPr>
          <w:trHeight w:hRule="exact" w:val="284"/>
        </w:trPr>
        <w:tc>
          <w:tcPr>
            <w:tcW w:w="5813" w:type="dxa"/>
            <w:shd w:val="clear" w:color="auto" w:fill="FFFFFF"/>
            <w:noWrap/>
            <w:vAlign w:val="center"/>
          </w:tcPr>
          <w:p>
            <w:pPr>
              <w:rPr>
                <w:rFonts w:cs="Arial"/>
                <w:noProof/>
              </w:rPr>
            </w:pPr>
          </w:p>
        </w:tc>
        <w:tc>
          <w:tcPr>
            <w:tcW w:w="1701" w:type="dxa"/>
            <w:shd w:val="clear" w:color="auto" w:fill="FFFFFF"/>
            <w:noWrap/>
            <w:vAlign w:val="center"/>
          </w:tcPr>
          <w:p>
            <w:pPr>
              <w:tabs>
                <w:tab w:val="left" w:pos="1558"/>
              </w:tabs>
              <w:ind w:right="143"/>
              <w:jc w:val="right"/>
              <w:rPr>
                <w:rFonts w:cs="Arial"/>
                <w:i/>
                <w:noProof/>
                <w:lang w:eastAsia="ko-KR"/>
              </w:rPr>
            </w:pPr>
          </w:p>
        </w:tc>
        <w:tc>
          <w:tcPr>
            <w:tcW w:w="1701" w:type="dxa"/>
            <w:shd w:val="clear" w:color="auto" w:fill="FFFFFF"/>
            <w:vAlign w:val="center"/>
          </w:tcPr>
          <w:p>
            <w:pPr>
              <w:tabs>
                <w:tab w:val="left" w:pos="1558"/>
              </w:tabs>
              <w:ind w:right="143"/>
              <w:jc w:val="right"/>
              <w:rPr>
                <w:rFonts w:cs="Arial"/>
                <w:i/>
                <w:noProof/>
                <w:lang w:eastAsia="ko-KR"/>
              </w:rPr>
            </w:pPr>
          </w:p>
        </w:tc>
      </w:tr>
      <w:tr>
        <w:trPr>
          <w:trHeight w:hRule="exact" w:val="284"/>
        </w:trPr>
        <w:tc>
          <w:tcPr>
            <w:tcW w:w="5813" w:type="dxa"/>
            <w:shd w:val="clear" w:color="auto" w:fill="FFFFFF"/>
            <w:noWrap/>
            <w:vAlign w:val="center"/>
          </w:tcPr>
          <w:p>
            <w:pPr>
              <w:rPr>
                <w:rFonts w:eastAsia="Arial Unicode MS" w:cs="Arial"/>
                <w:b/>
                <w:bCs/>
                <w:noProof/>
              </w:rPr>
            </w:pPr>
            <w:r>
              <w:rPr>
                <w:rFonts w:cs="Arial"/>
                <w:b/>
                <w:bCs/>
                <w:noProof/>
              </w:rPr>
              <w:t xml:space="preserve">Financial revenue </w:t>
            </w:r>
          </w:p>
        </w:tc>
        <w:tc>
          <w:tcPr>
            <w:tcW w:w="1701" w:type="dxa"/>
            <w:shd w:val="clear" w:color="auto" w:fill="FFFFFF"/>
            <w:noWrap/>
            <w:vAlign w:val="center"/>
          </w:tcPr>
          <w:p>
            <w:pPr>
              <w:tabs>
                <w:tab w:val="left" w:pos="1558"/>
              </w:tabs>
              <w:ind w:right="143"/>
              <w:jc w:val="right"/>
              <w:rPr>
                <w:rFonts w:eastAsia="Arial Unicode MS" w:cs="Arial"/>
                <w:b/>
                <w:noProof/>
              </w:rPr>
            </w:pPr>
            <w:r>
              <w:rPr>
                <w:rFonts w:eastAsia="Arial Unicode MS" w:cs="Arial"/>
                <w:b/>
                <w:noProof/>
              </w:rPr>
              <w:t>54 280 642</w:t>
            </w:r>
          </w:p>
        </w:tc>
        <w:tc>
          <w:tcPr>
            <w:tcW w:w="1701" w:type="dxa"/>
            <w:shd w:val="clear" w:color="auto" w:fill="FFFFFF"/>
            <w:vAlign w:val="center"/>
          </w:tcPr>
          <w:p>
            <w:pPr>
              <w:tabs>
                <w:tab w:val="left" w:pos="1558"/>
              </w:tabs>
              <w:ind w:right="143"/>
              <w:jc w:val="right"/>
              <w:rPr>
                <w:rFonts w:eastAsia="Arial Unicode MS" w:cs="Arial"/>
                <w:b/>
                <w:noProof/>
              </w:rPr>
            </w:pPr>
            <w:r>
              <w:rPr>
                <w:rFonts w:eastAsia="Arial Unicode MS" w:cs="Arial"/>
                <w:b/>
                <w:noProof/>
              </w:rPr>
              <w:t>50 409 147</w:t>
            </w:r>
          </w:p>
        </w:tc>
      </w:tr>
      <w:tr>
        <w:trPr>
          <w:trHeight w:hRule="exact" w:val="284"/>
        </w:trPr>
        <w:tc>
          <w:tcPr>
            <w:tcW w:w="5813" w:type="dxa"/>
            <w:shd w:val="clear" w:color="auto" w:fill="FFFFFF"/>
            <w:noWrap/>
            <w:vAlign w:val="center"/>
          </w:tcPr>
          <w:p>
            <w:pPr>
              <w:rPr>
                <w:rFonts w:eastAsia="Arial Unicode MS" w:cs="Arial"/>
                <w:noProof/>
              </w:rPr>
            </w:pPr>
            <w:r>
              <w:rPr>
                <w:rFonts w:cs="Arial"/>
                <w:noProof/>
              </w:rPr>
              <w:t>Interest revenue on:</w:t>
            </w:r>
          </w:p>
        </w:tc>
        <w:tc>
          <w:tcPr>
            <w:tcW w:w="1701" w:type="dxa"/>
            <w:shd w:val="clear" w:color="auto" w:fill="FFFFFF"/>
            <w:noWrap/>
            <w:vAlign w:val="center"/>
          </w:tcPr>
          <w:p>
            <w:pPr>
              <w:tabs>
                <w:tab w:val="left" w:pos="1558"/>
              </w:tabs>
              <w:ind w:right="143"/>
              <w:jc w:val="right"/>
              <w:rPr>
                <w:rFonts w:eastAsia="Arial Unicode MS" w:cs="Arial"/>
                <w:noProof/>
              </w:rPr>
            </w:pPr>
            <w:r>
              <w:rPr>
                <w:rFonts w:eastAsia="Arial Unicode MS" w:cs="Arial"/>
                <w:noProof/>
              </w:rPr>
              <w:t>18 842 645</w:t>
            </w:r>
          </w:p>
        </w:tc>
        <w:tc>
          <w:tcPr>
            <w:tcW w:w="1701" w:type="dxa"/>
            <w:shd w:val="clear" w:color="auto" w:fill="FFFFFF"/>
            <w:vAlign w:val="center"/>
          </w:tcPr>
          <w:p>
            <w:pPr>
              <w:tabs>
                <w:tab w:val="left" w:pos="1558"/>
              </w:tabs>
              <w:ind w:right="143"/>
              <w:jc w:val="right"/>
              <w:rPr>
                <w:rFonts w:eastAsia="Arial Unicode MS" w:cs="Arial"/>
                <w:noProof/>
              </w:rPr>
            </w:pPr>
            <w:r>
              <w:rPr>
                <w:rFonts w:eastAsia="Arial Unicode MS" w:cs="Arial"/>
                <w:noProof/>
              </w:rPr>
              <w:t>17 548 278</w:t>
            </w:r>
          </w:p>
        </w:tc>
      </w:tr>
      <w:tr>
        <w:trPr>
          <w:trHeight w:hRule="exact" w:val="284"/>
        </w:trPr>
        <w:tc>
          <w:tcPr>
            <w:tcW w:w="5813" w:type="dxa"/>
            <w:shd w:val="clear" w:color="auto" w:fill="FFFFFF"/>
            <w:noWrap/>
            <w:vAlign w:val="center"/>
          </w:tcPr>
          <w:p>
            <w:pPr>
              <w:rPr>
                <w:rFonts w:eastAsia="Arial Unicode MS" w:cs="Arial"/>
                <w:i/>
                <w:noProof/>
              </w:rPr>
            </w:pPr>
            <w:r>
              <w:rPr>
                <w:rFonts w:cs="Arial"/>
                <w:i/>
                <w:noProof/>
              </w:rPr>
              <w:t xml:space="preserve">     Cash and cash equivalents</w:t>
            </w:r>
          </w:p>
        </w:tc>
        <w:tc>
          <w:tcPr>
            <w:tcW w:w="1701" w:type="dxa"/>
            <w:shd w:val="clear" w:color="auto" w:fill="FFFFFF"/>
            <w:noWrap/>
            <w:vAlign w:val="center"/>
          </w:tcPr>
          <w:p>
            <w:pPr>
              <w:tabs>
                <w:tab w:val="left" w:pos="1558"/>
              </w:tabs>
              <w:ind w:right="143"/>
              <w:jc w:val="right"/>
              <w:rPr>
                <w:rFonts w:cs="Arial"/>
                <w:i/>
                <w:noProof/>
                <w:lang w:eastAsia="ko-KR"/>
              </w:rPr>
            </w:pPr>
            <w:r>
              <w:rPr>
                <w:rFonts w:cs="Arial"/>
                <w:i/>
                <w:noProof/>
                <w:lang w:eastAsia="ko-KR"/>
              </w:rPr>
              <w:t>66 473</w:t>
            </w:r>
          </w:p>
        </w:tc>
        <w:tc>
          <w:tcPr>
            <w:tcW w:w="1701" w:type="dxa"/>
            <w:shd w:val="clear" w:color="auto" w:fill="FFFFFF"/>
            <w:vAlign w:val="center"/>
          </w:tcPr>
          <w:p>
            <w:pPr>
              <w:tabs>
                <w:tab w:val="left" w:pos="1558"/>
              </w:tabs>
              <w:ind w:right="143"/>
              <w:jc w:val="right"/>
              <w:rPr>
                <w:rFonts w:cs="Arial"/>
                <w:i/>
                <w:noProof/>
                <w:lang w:eastAsia="ko-KR"/>
              </w:rPr>
            </w:pPr>
            <w:r>
              <w:rPr>
                <w:rFonts w:cs="Arial"/>
                <w:i/>
                <w:noProof/>
                <w:lang w:eastAsia="ko-KR"/>
              </w:rPr>
              <w:t>134 210</w:t>
            </w:r>
          </w:p>
        </w:tc>
      </w:tr>
      <w:tr>
        <w:trPr>
          <w:trHeight w:hRule="exact" w:val="281"/>
        </w:trPr>
        <w:tc>
          <w:tcPr>
            <w:tcW w:w="5813" w:type="dxa"/>
            <w:shd w:val="clear" w:color="auto" w:fill="FFFFFF"/>
            <w:noWrap/>
            <w:vAlign w:val="center"/>
          </w:tcPr>
          <w:p>
            <w:pPr>
              <w:rPr>
                <w:rFonts w:cs="Arial"/>
                <w:i/>
                <w:noProof/>
              </w:rPr>
            </w:pPr>
            <w:r>
              <w:rPr>
                <w:rFonts w:cs="Arial"/>
                <w:i/>
                <w:noProof/>
              </w:rPr>
              <w:t xml:space="preserve">     Available for sale assets</w:t>
            </w:r>
          </w:p>
        </w:tc>
        <w:tc>
          <w:tcPr>
            <w:tcW w:w="1701" w:type="dxa"/>
            <w:shd w:val="clear" w:color="auto" w:fill="FFFFFF"/>
            <w:noWrap/>
            <w:vAlign w:val="center"/>
          </w:tcPr>
          <w:p>
            <w:pPr>
              <w:tabs>
                <w:tab w:val="left" w:pos="1558"/>
              </w:tabs>
              <w:ind w:right="143"/>
              <w:jc w:val="right"/>
              <w:rPr>
                <w:rFonts w:cs="Arial"/>
                <w:i/>
                <w:noProof/>
                <w:lang w:eastAsia="ko-KR"/>
              </w:rPr>
            </w:pPr>
            <w:r>
              <w:rPr>
                <w:rFonts w:cs="Arial"/>
                <w:i/>
                <w:noProof/>
                <w:lang w:eastAsia="ko-KR"/>
              </w:rPr>
              <w:t>18 776 172</w:t>
            </w:r>
          </w:p>
        </w:tc>
        <w:tc>
          <w:tcPr>
            <w:tcW w:w="1701" w:type="dxa"/>
            <w:shd w:val="clear" w:color="auto" w:fill="FFFFFF"/>
            <w:vAlign w:val="center"/>
          </w:tcPr>
          <w:p>
            <w:pPr>
              <w:tabs>
                <w:tab w:val="left" w:pos="1558"/>
              </w:tabs>
              <w:ind w:right="143"/>
              <w:jc w:val="right"/>
              <w:rPr>
                <w:rFonts w:cs="Arial"/>
                <w:i/>
                <w:noProof/>
                <w:lang w:eastAsia="ko-KR"/>
              </w:rPr>
            </w:pPr>
            <w:r>
              <w:rPr>
                <w:rFonts w:cs="Arial"/>
                <w:i/>
                <w:noProof/>
                <w:lang w:eastAsia="ko-KR"/>
              </w:rPr>
              <w:t>17 412 590</w:t>
            </w:r>
          </w:p>
        </w:tc>
      </w:tr>
      <w:tr>
        <w:trPr>
          <w:trHeight w:hRule="exact" w:val="281"/>
        </w:trPr>
        <w:tc>
          <w:tcPr>
            <w:tcW w:w="5813" w:type="dxa"/>
            <w:shd w:val="clear" w:color="auto" w:fill="FFFFFF"/>
            <w:noWrap/>
            <w:vAlign w:val="center"/>
          </w:tcPr>
          <w:p>
            <w:pPr>
              <w:ind w:firstLine="284"/>
              <w:rPr>
                <w:rFonts w:cs="Arial"/>
                <w:i/>
                <w:noProof/>
              </w:rPr>
            </w:pPr>
            <w:r>
              <w:rPr>
                <w:rFonts w:cs="Arial"/>
                <w:i/>
                <w:noProof/>
              </w:rPr>
              <w:t>Other interest revenue</w:t>
            </w:r>
          </w:p>
        </w:tc>
        <w:tc>
          <w:tcPr>
            <w:tcW w:w="1701" w:type="dxa"/>
            <w:shd w:val="clear" w:color="auto" w:fill="FFFFFF"/>
            <w:noWrap/>
            <w:vAlign w:val="center"/>
          </w:tcPr>
          <w:p>
            <w:pPr>
              <w:tabs>
                <w:tab w:val="left" w:pos="1558"/>
              </w:tabs>
              <w:ind w:right="143"/>
              <w:jc w:val="right"/>
              <w:rPr>
                <w:rFonts w:cs="Arial"/>
                <w:i/>
                <w:noProof/>
                <w:lang w:eastAsia="ko-KR"/>
              </w:rPr>
            </w:pPr>
            <w:r>
              <w:rPr>
                <w:rFonts w:cs="Arial"/>
                <w:i/>
                <w:noProof/>
                <w:lang w:eastAsia="ko-KR"/>
              </w:rPr>
              <w:t>-</w:t>
            </w:r>
          </w:p>
        </w:tc>
        <w:tc>
          <w:tcPr>
            <w:tcW w:w="1701" w:type="dxa"/>
            <w:shd w:val="clear" w:color="auto" w:fill="FFFFFF"/>
            <w:vAlign w:val="center"/>
          </w:tcPr>
          <w:p>
            <w:pPr>
              <w:tabs>
                <w:tab w:val="left" w:pos="1558"/>
              </w:tabs>
              <w:ind w:right="143"/>
              <w:jc w:val="right"/>
              <w:rPr>
                <w:rFonts w:cs="Arial"/>
                <w:i/>
                <w:noProof/>
                <w:lang w:eastAsia="ko-KR"/>
              </w:rPr>
            </w:pPr>
            <w:r>
              <w:rPr>
                <w:rFonts w:cs="Arial"/>
                <w:i/>
                <w:noProof/>
                <w:lang w:eastAsia="ko-KR"/>
              </w:rPr>
              <w:t>1 478</w:t>
            </w:r>
          </w:p>
        </w:tc>
      </w:tr>
      <w:tr>
        <w:trPr>
          <w:trHeight w:hRule="exact" w:val="281"/>
        </w:trPr>
        <w:tc>
          <w:tcPr>
            <w:tcW w:w="5813" w:type="dxa"/>
            <w:shd w:val="clear" w:color="auto" w:fill="FFFFFF"/>
            <w:noWrap/>
            <w:vAlign w:val="center"/>
          </w:tcPr>
          <w:p>
            <w:pPr>
              <w:rPr>
                <w:rFonts w:cs="Arial"/>
                <w:i/>
                <w:noProof/>
              </w:rPr>
            </w:pPr>
          </w:p>
        </w:tc>
        <w:tc>
          <w:tcPr>
            <w:tcW w:w="1701" w:type="dxa"/>
            <w:shd w:val="clear" w:color="auto" w:fill="FFFFFF"/>
            <w:noWrap/>
            <w:vAlign w:val="center"/>
          </w:tcPr>
          <w:p>
            <w:pPr>
              <w:tabs>
                <w:tab w:val="left" w:pos="1558"/>
              </w:tabs>
              <w:ind w:right="143"/>
              <w:jc w:val="right"/>
              <w:rPr>
                <w:rFonts w:cs="Arial"/>
                <w:i/>
                <w:noProof/>
                <w:lang w:eastAsia="ko-KR"/>
              </w:rPr>
            </w:pPr>
          </w:p>
        </w:tc>
        <w:tc>
          <w:tcPr>
            <w:tcW w:w="1701" w:type="dxa"/>
            <w:shd w:val="clear" w:color="auto" w:fill="FFFFFF"/>
            <w:vAlign w:val="center"/>
          </w:tcPr>
          <w:p>
            <w:pPr>
              <w:tabs>
                <w:tab w:val="left" w:pos="1558"/>
              </w:tabs>
              <w:ind w:right="143"/>
              <w:jc w:val="right"/>
              <w:rPr>
                <w:rFonts w:cs="Arial"/>
                <w:i/>
                <w:noProof/>
                <w:lang w:eastAsia="ko-KR"/>
              </w:rPr>
            </w:pPr>
          </w:p>
        </w:tc>
      </w:tr>
      <w:tr>
        <w:trPr>
          <w:trHeight w:hRule="exact" w:val="281"/>
        </w:trPr>
        <w:tc>
          <w:tcPr>
            <w:tcW w:w="5813" w:type="dxa"/>
            <w:shd w:val="clear" w:color="auto" w:fill="FFFFFF"/>
            <w:noWrap/>
            <w:vAlign w:val="center"/>
          </w:tcPr>
          <w:p>
            <w:pPr>
              <w:rPr>
                <w:rFonts w:cs="Arial"/>
                <w:noProof/>
              </w:rPr>
            </w:pPr>
            <w:r>
              <w:rPr>
                <w:rFonts w:cs="Arial"/>
                <w:noProof/>
              </w:rPr>
              <w:t>Realised gains on sale of AFS assets</w:t>
            </w:r>
          </w:p>
        </w:tc>
        <w:tc>
          <w:tcPr>
            <w:tcW w:w="1701" w:type="dxa"/>
            <w:shd w:val="clear" w:color="auto" w:fill="FFFFFF"/>
            <w:noWrap/>
            <w:vAlign w:val="center"/>
          </w:tcPr>
          <w:p>
            <w:pPr>
              <w:tabs>
                <w:tab w:val="left" w:pos="1558"/>
              </w:tabs>
              <w:ind w:right="143"/>
              <w:jc w:val="right"/>
              <w:rPr>
                <w:rFonts w:cs="Arial"/>
                <w:noProof/>
                <w:lang w:eastAsia="ko-KR"/>
              </w:rPr>
            </w:pPr>
            <w:r>
              <w:rPr>
                <w:rFonts w:cs="Arial"/>
                <w:noProof/>
                <w:lang w:eastAsia="ko-KR"/>
              </w:rPr>
              <w:t>18 506 857</w:t>
            </w:r>
          </w:p>
        </w:tc>
        <w:tc>
          <w:tcPr>
            <w:tcW w:w="1701" w:type="dxa"/>
            <w:shd w:val="clear" w:color="auto" w:fill="FFFFFF"/>
            <w:vAlign w:val="center"/>
          </w:tcPr>
          <w:p>
            <w:pPr>
              <w:tabs>
                <w:tab w:val="left" w:pos="1558"/>
              </w:tabs>
              <w:ind w:right="143"/>
              <w:jc w:val="right"/>
              <w:rPr>
                <w:rFonts w:cs="Arial"/>
                <w:noProof/>
                <w:lang w:eastAsia="ko-KR"/>
              </w:rPr>
            </w:pPr>
            <w:r>
              <w:rPr>
                <w:rFonts w:cs="Arial"/>
                <w:noProof/>
                <w:lang w:eastAsia="ko-KR"/>
              </w:rPr>
              <w:t>4 275 489</w:t>
            </w:r>
          </w:p>
        </w:tc>
      </w:tr>
      <w:tr>
        <w:trPr>
          <w:trHeight w:hRule="exact" w:val="284"/>
        </w:trPr>
        <w:tc>
          <w:tcPr>
            <w:tcW w:w="5813" w:type="dxa"/>
            <w:shd w:val="clear" w:color="auto" w:fill="FFFFFF"/>
            <w:noWrap/>
            <w:vAlign w:val="center"/>
          </w:tcPr>
          <w:p>
            <w:pPr>
              <w:rPr>
                <w:rFonts w:cs="Arial"/>
                <w:bCs/>
                <w:noProof/>
              </w:rPr>
            </w:pPr>
          </w:p>
        </w:tc>
        <w:tc>
          <w:tcPr>
            <w:tcW w:w="1701" w:type="dxa"/>
            <w:shd w:val="clear" w:color="auto" w:fill="FFFFFF"/>
            <w:noWrap/>
            <w:vAlign w:val="center"/>
          </w:tcPr>
          <w:p>
            <w:pPr>
              <w:tabs>
                <w:tab w:val="left" w:pos="1558"/>
              </w:tabs>
              <w:ind w:right="143"/>
              <w:jc w:val="right"/>
              <w:rPr>
                <w:rFonts w:cs="Arial"/>
                <w:noProof/>
                <w:lang w:eastAsia="ko-KR"/>
              </w:rPr>
            </w:pPr>
          </w:p>
        </w:tc>
        <w:tc>
          <w:tcPr>
            <w:tcW w:w="1701" w:type="dxa"/>
            <w:shd w:val="clear" w:color="auto" w:fill="FFFFFF"/>
            <w:vAlign w:val="center"/>
          </w:tcPr>
          <w:p>
            <w:pPr>
              <w:tabs>
                <w:tab w:val="left" w:pos="1558"/>
              </w:tabs>
              <w:ind w:right="143"/>
              <w:jc w:val="right"/>
              <w:rPr>
                <w:rFonts w:cs="Arial"/>
                <w:noProof/>
                <w:lang w:eastAsia="ko-KR"/>
              </w:rPr>
            </w:pPr>
          </w:p>
        </w:tc>
      </w:tr>
      <w:tr>
        <w:trPr>
          <w:trHeight w:hRule="exact" w:val="284"/>
        </w:trPr>
        <w:tc>
          <w:tcPr>
            <w:tcW w:w="5813" w:type="dxa"/>
            <w:shd w:val="clear" w:color="auto" w:fill="FFFFFF"/>
            <w:noWrap/>
            <w:vAlign w:val="center"/>
          </w:tcPr>
          <w:p>
            <w:pPr>
              <w:rPr>
                <w:rFonts w:cs="Arial"/>
                <w:bCs/>
                <w:noProof/>
              </w:rPr>
            </w:pPr>
            <w:r>
              <w:rPr>
                <w:rFonts w:cs="Arial"/>
                <w:bCs/>
                <w:noProof/>
              </w:rPr>
              <w:t>Other financial income - fair value changes of derivatives</w:t>
            </w:r>
          </w:p>
        </w:tc>
        <w:tc>
          <w:tcPr>
            <w:tcW w:w="1701" w:type="dxa"/>
            <w:shd w:val="clear" w:color="auto" w:fill="FFFFFF"/>
            <w:noWrap/>
            <w:vAlign w:val="center"/>
          </w:tcPr>
          <w:p>
            <w:pPr>
              <w:tabs>
                <w:tab w:val="left" w:pos="1558"/>
              </w:tabs>
              <w:ind w:right="143"/>
              <w:jc w:val="right"/>
              <w:rPr>
                <w:rFonts w:cs="Arial"/>
                <w:noProof/>
                <w:lang w:eastAsia="ko-KR"/>
              </w:rPr>
            </w:pPr>
            <w:r>
              <w:rPr>
                <w:rFonts w:cs="Arial"/>
                <w:noProof/>
                <w:lang w:eastAsia="ko-KR"/>
              </w:rPr>
              <w:t>16 447 915</w:t>
            </w:r>
          </w:p>
        </w:tc>
        <w:tc>
          <w:tcPr>
            <w:tcW w:w="1701" w:type="dxa"/>
            <w:shd w:val="clear" w:color="auto" w:fill="FFFFFF"/>
            <w:vAlign w:val="center"/>
          </w:tcPr>
          <w:p>
            <w:pPr>
              <w:tabs>
                <w:tab w:val="left" w:pos="1558"/>
              </w:tabs>
              <w:ind w:right="143"/>
              <w:jc w:val="right"/>
              <w:rPr>
                <w:rFonts w:cs="Arial"/>
                <w:noProof/>
                <w:lang w:eastAsia="ko-KR"/>
              </w:rPr>
            </w:pPr>
            <w:r>
              <w:rPr>
                <w:rFonts w:cs="Arial"/>
                <w:noProof/>
                <w:lang w:eastAsia="ko-KR"/>
              </w:rPr>
              <w:t>28 389 730</w:t>
            </w:r>
          </w:p>
        </w:tc>
      </w:tr>
      <w:tr>
        <w:trPr>
          <w:trHeight w:hRule="exact" w:val="284"/>
        </w:trPr>
        <w:tc>
          <w:tcPr>
            <w:tcW w:w="5813" w:type="dxa"/>
            <w:shd w:val="clear" w:color="auto" w:fill="FFFFFF"/>
            <w:noWrap/>
            <w:vAlign w:val="center"/>
          </w:tcPr>
          <w:p>
            <w:pPr>
              <w:rPr>
                <w:rFonts w:cs="Arial"/>
                <w:bCs/>
                <w:noProof/>
              </w:rPr>
            </w:pPr>
          </w:p>
        </w:tc>
        <w:tc>
          <w:tcPr>
            <w:tcW w:w="1701" w:type="dxa"/>
            <w:shd w:val="clear" w:color="auto" w:fill="FFFFFF"/>
            <w:noWrap/>
            <w:vAlign w:val="center"/>
          </w:tcPr>
          <w:p>
            <w:pPr>
              <w:tabs>
                <w:tab w:val="left" w:pos="1558"/>
              </w:tabs>
              <w:ind w:right="143"/>
              <w:jc w:val="right"/>
              <w:rPr>
                <w:rFonts w:cs="Arial"/>
                <w:noProof/>
                <w:lang w:eastAsia="ko-KR"/>
              </w:rPr>
            </w:pPr>
          </w:p>
        </w:tc>
        <w:tc>
          <w:tcPr>
            <w:tcW w:w="1701" w:type="dxa"/>
            <w:shd w:val="clear" w:color="auto" w:fill="FFFFFF"/>
            <w:vAlign w:val="center"/>
          </w:tcPr>
          <w:p>
            <w:pPr>
              <w:tabs>
                <w:tab w:val="left" w:pos="1558"/>
              </w:tabs>
              <w:ind w:right="143"/>
              <w:jc w:val="right"/>
              <w:rPr>
                <w:rFonts w:cs="Arial"/>
                <w:noProof/>
                <w:lang w:eastAsia="ko-KR"/>
              </w:rPr>
            </w:pPr>
          </w:p>
        </w:tc>
      </w:tr>
      <w:tr>
        <w:trPr>
          <w:trHeight w:hRule="exact" w:val="284"/>
        </w:trPr>
        <w:tc>
          <w:tcPr>
            <w:tcW w:w="5813" w:type="dxa"/>
            <w:shd w:val="clear" w:color="auto" w:fill="FFFFFF"/>
            <w:noWrap/>
            <w:vAlign w:val="center"/>
          </w:tcPr>
          <w:p>
            <w:pPr>
              <w:rPr>
                <w:rFonts w:cs="Arial"/>
                <w:bCs/>
                <w:noProof/>
              </w:rPr>
            </w:pPr>
            <w:r>
              <w:rPr>
                <w:rFonts w:cs="Arial"/>
                <w:bCs/>
                <w:noProof/>
              </w:rPr>
              <w:t>Security lending income</w:t>
            </w:r>
          </w:p>
        </w:tc>
        <w:tc>
          <w:tcPr>
            <w:tcW w:w="1701" w:type="dxa"/>
            <w:shd w:val="clear" w:color="auto" w:fill="FFFFFF"/>
            <w:noWrap/>
            <w:vAlign w:val="center"/>
          </w:tcPr>
          <w:p>
            <w:pPr>
              <w:tabs>
                <w:tab w:val="left" w:pos="1558"/>
              </w:tabs>
              <w:ind w:right="143"/>
              <w:jc w:val="right"/>
              <w:rPr>
                <w:rFonts w:cs="Arial"/>
                <w:noProof/>
                <w:lang w:eastAsia="ko-KR"/>
              </w:rPr>
            </w:pPr>
            <w:r>
              <w:rPr>
                <w:rFonts w:cs="Arial"/>
                <w:noProof/>
                <w:lang w:eastAsia="ko-KR"/>
              </w:rPr>
              <w:t>483 225</w:t>
            </w:r>
          </w:p>
        </w:tc>
        <w:tc>
          <w:tcPr>
            <w:tcW w:w="1701" w:type="dxa"/>
            <w:shd w:val="clear" w:color="auto" w:fill="FFFFFF"/>
            <w:vAlign w:val="center"/>
          </w:tcPr>
          <w:p>
            <w:pPr>
              <w:tabs>
                <w:tab w:val="left" w:pos="1558"/>
              </w:tabs>
              <w:ind w:right="143"/>
              <w:jc w:val="right"/>
              <w:rPr>
                <w:rFonts w:cs="Arial"/>
                <w:noProof/>
                <w:lang w:eastAsia="ko-KR"/>
              </w:rPr>
            </w:pPr>
            <w:r>
              <w:rPr>
                <w:rFonts w:cs="Arial"/>
                <w:noProof/>
                <w:lang w:eastAsia="ko-KR"/>
              </w:rPr>
              <w:t>195 651</w:t>
            </w:r>
          </w:p>
        </w:tc>
      </w:tr>
      <w:tr>
        <w:trPr>
          <w:trHeight w:hRule="exact" w:val="284"/>
        </w:trPr>
        <w:tc>
          <w:tcPr>
            <w:tcW w:w="5813" w:type="dxa"/>
            <w:shd w:val="clear" w:color="auto" w:fill="FFFFFF"/>
            <w:noWrap/>
            <w:vAlign w:val="center"/>
          </w:tcPr>
          <w:p>
            <w:pPr>
              <w:rPr>
                <w:rFonts w:cs="Arial"/>
                <w:bCs/>
                <w:noProof/>
              </w:rPr>
            </w:pPr>
          </w:p>
        </w:tc>
        <w:tc>
          <w:tcPr>
            <w:tcW w:w="1701" w:type="dxa"/>
            <w:shd w:val="clear" w:color="auto" w:fill="FFFFFF"/>
            <w:noWrap/>
            <w:vAlign w:val="center"/>
          </w:tcPr>
          <w:p>
            <w:pPr>
              <w:tabs>
                <w:tab w:val="left" w:pos="1558"/>
              </w:tabs>
              <w:ind w:right="143"/>
              <w:jc w:val="right"/>
              <w:rPr>
                <w:rFonts w:cs="Arial"/>
                <w:noProof/>
                <w:lang w:eastAsia="ko-KR"/>
              </w:rPr>
            </w:pPr>
          </w:p>
        </w:tc>
        <w:tc>
          <w:tcPr>
            <w:tcW w:w="1701" w:type="dxa"/>
            <w:shd w:val="clear" w:color="auto" w:fill="FFFFFF"/>
            <w:vAlign w:val="center"/>
          </w:tcPr>
          <w:p>
            <w:pPr>
              <w:tabs>
                <w:tab w:val="left" w:pos="1558"/>
              </w:tabs>
              <w:ind w:right="143"/>
              <w:jc w:val="right"/>
              <w:rPr>
                <w:rFonts w:cs="Arial"/>
                <w:noProof/>
                <w:lang w:eastAsia="ko-KR"/>
              </w:rPr>
            </w:pPr>
          </w:p>
        </w:tc>
      </w:tr>
      <w:tr>
        <w:trPr>
          <w:trHeight w:hRule="exact" w:val="284"/>
        </w:trPr>
        <w:tc>
          <w:tcPr>
            <w:tcW w:w="5813" w:type="dxa"/>
            <w:shd w:val="clear" w:color="auto" w:fill="FFFFFF"/>
            <w:noWrap/>
            <w:vAlign w:val="center"/>
          </w:tcPr>
          <w:p>
            <w:pPr>
              <w:rPr>
                <w:rFonts w:cs="Arial"/>
                <w:bCs/>
                <w:noProof/>
              </w:rPr>
            </w:pPr>
            <w:r>
              <w:rPr>
                <w:rFonts w:cs="Arial"/>
                <w:b/>
                <w:bCs/>
                <w:noProof/>
              </w:rPr>
              <w:t xml:space="preserve">Financial expenses </w:t>
            </w:r>
          </w:p>
        </w:tc>
        <w:tc>
          <w:tcPr>
            <w:tcW w:w="1701" w:type="dxa"/>
            <w:shd w:val="clear" w:color="auto" w:fill="FFFFFF"/>
            <w:noWrap/>
            <w:vAlign w:val="center"/>
          </w:tcPr>
          <w:p>
            <w:pPr>
              <w:tabs>
                <w:tab w:val="left" w:pos="1558"/>
              </w:tabs>
              <w:ind w:right="143"/>
              <w:jc w:val="right"/>
              <w:rPr>
                <w:rFonts w:cs="Arial"/>
                <w:b/>
                <w:noProof/>
                <w:lang w:eastAsia="ko-KR"/>
              </w:rPr>
            </w:pPr>
            <w:r>
              <w:rPr>
                <w:rFonts w:cs="Arial"/>
                <w:b/>
                <w:noProof/>
                <w:lang w:eastAsia="ko-KR"/>
              </w:rPr>
              <w:t>(14 993 036)</w:t>
            </w:r>
          </w:p>
        </w:tc>
        <w:tc>
          <w:tcPr>
            <w:tcW w:w="1701" w:type="dxa"/>
            <w:shd w:val="clear" w:color="auto" w:fill="FFFFFF"/>
            <w:vAlign w:val="center"/>
          </w:tcPr>
          <w:p>
            <w:pPr>
              <w:tabs>
                <w:tab w:val="left" w:pos="1558"/>
              </w:tabs>
              <w:ind w:right="143"/>
              <w:jc w:val="right"/>
              <w:rPr>
                <w:rFonts w:cs="Arial"/>
                <w:noProof/>
                <w:lang w:eastAsia="ko-KR"/>
              </w:rPr>
            </w:pPr>
            <w:r>
              <w:rPr>
                <w:rFonts w:cs="Arial"/>
                <w:b/>
                <w:noProof/>
                <w:lang w:eastAsia="ko-KR"/>
              </w:rPr>
              <w:t>(81 326 833)</w:t>
            </w:r>
          </w:p>
        </w:tc>
      </w:tr>
      <w:tr>
        <w:trPr>
          <w:trHeight w:hRule="exact" w:val="284"/>
        </w:trPr>
        <w:tc>
          <w:tcPr>
            <w:tcW w:w="5813" w:type="dxa"/>
            <w:shd w:val="clear" w:color="auto" w:fill="FFFFFF"/>
            <w:noWrap/>
            <w:vAlign w:val="center"/>
          </w:tcPr>
          <w:p>
            <w:pPr>
              <w:rPr>
                <w:rFonts w:cs="Arial"/>
                <w:b/>
                <w:bCs/>
                <w:noProof/>
              </w:rPr>
            </w:pPr>
            <w:r>
              <w:rPr>
                <w:rFonts w:cs="Arial"/>
                <w:bCs/>
                <w:noProof/>
              </w:rPr>
              <w:t xml:space="preserve">Interest expenses on </w:t>
            </w:r>
            <w:r>
              <w:rPr>
                <w:rFonts w:cs="Arial"/>
                <w:noProof/>
              </w:rPr>
              <w:t>cash and cash equivalents</w:t>
            </w:r>
          </w:p>
        </w:tc>
        <w:tc>
          <w:tcPr>
            <w:tcW w:w="1701" w:type="dxa"/>
            <w:shd w:val="clear" w:color="auto" w:fill="FFFFFF"/>
            <w:noWrap/>
            <w:vAlign w:val="center"/>
          </w:tcPr>
          <w:p>
            <w:pPr>
              <w:tabs>
                <w:tab w:val="left" w:pos="1558"/>
              </w:tabs>
              <w:ind w:right="143"/>
              <w:jc w:val="right"/>
              <w:rPr>
                <w:rFonts w:cs="Arial"/>
                <w:noProof/>
                <w:lang w:eastAsia="ko-KR"/>
              </w:rPr>
            </w:pPr>
            <w:r>
              <w:rPr>
                <w:rFonts w:cs="Arial"/>
                <w:noProof/>
                <w:lang w:eastAsia="ko-KR"/>
              </w:rPr>
              <w:t>(527 706)</w:t>
            </w:r>
          </w:p>
        </w:tc>
        <w:tc>
          <w:tcPr>
            <w:tcW w:w="1701" w:type="dxa"/>
            <w:shd w:val="clear" w:color="auto" w:fill="FFFFFF"/>
            <w:vAlign w:val="center"/>
          </w:tcPr>
          <w:p>
            <w:pPr>
              <w:tabs>
                <w:tab w:val="left" w:pos="1558"/>
              </w:tabs>
              <w:ind w:right="143"/>
              <w:jc w:val="right"/>
              <w:rPr>
                <w:rFonts w:cs="Arial"/>
                <w:b/>
                <w:noProof/>
                <w:lang w:eastAsia="ko-KR"/>
              </w:rPr>
            </w:pPr>
            <w:r>
              <w:rPr>
                <w:rFonts w:cs="Arial"/>
                <w:noProof/>
                <w:lang w:eastAsia="ko-KR"/>
              </w:rPr>
              <w:t>(247 367)</w:t>
            </w:r>
          </w:p>
        </w:tc>
      </w:tr>
      <w:tr>
        <w:trPr>
          <w:trHeight w:hRule="exact" w:val="284"/>
        </w:trPr>
        <w:tc>
          <w:tcPr>
            <w:tcW w:w="5813" w:type="dxa"/>
            <w:shd w:val="clear" w:color="auto" w:fill="FFFFFF"/>
            <w:noWrap/>
            <w:vAlign w:val="center"/>
          </w:tcPr>
          <w:p>
            <w:pPr>
              <w:rPr>
                <w:rFonts w:eastAsia="Arial Unicode MS" w:cs="Arial"/>
                <w:b/>
                <w:bCs/>
                <w:noProof/>
              </w:rPr>
            </w:pPr>
          </w:p>
        </w:tc>
        <w:tc>
          <w:tcPr>
            <w:tcW w:w="1701" w:type="dxa"/>
            <w:shd w:val="clear" w:color="auto" w:fill="FFFFFF"/>
            <w:noWrap/>
            <w:vAlign w:val="center"/>
          </w:tcPr>
          <w:p>
            <w:pPr>
              <w:tabs>
                <w:tab w:val="left" w:pos="1558"/>
              </w:tabs>
              <w:ind w:right="143"/>
              <w:jc w:val="right"/>
              <w:rPr>
                <w:rFonts w:eastAsia="Arial Unicode MS" w:cs="Arial"/>
                <w:b/>
                <w:noProof/>
              </w:rPr>
            </w:pPr>
          </w:p>
        </w:tc>
        <w:tc>
          <w:tcPr>
            <w:tcW w:w="1701" w:type="dxa"/>
            <w:shd w:val="clear" w:color="auto" w:fill="FFFFFF"/>
            <w:vAlign w:val="center"/>
          </w:tcPr>
          <w:p>
            <w:pPr>
              <w:tabs>
                <w:tab w:val="left" w:pos="1558"/>
              </w:tabs>
              <w:ind w:right="143"/>
              <w:jc w:val="right"/>
              <w:rPr>
                <w:rFonts w:eastAsia="Arial Unicode MS" w:cs="Arial"/>
                <w:b/>
                <w:noProof/>
              </w:rPr>
            </w:pPr>
          </w:p>
        </w:tc>
      </w:tr>
      <w:tr>
        <w:trPr>
          <w:trHeight w:hRule="exact" w:val="284"/>
        </w:trPr>
        <w:tc>
          <w:tcPr>
            <w:tcW w:w="5813" w:type="dxa"/>
            <w:shd w:val="clear" w:color="auto" w:fill="FFFFFF"/>
            <w:noWrap/>
            <w:vAlign w:val="center"/>
          </w:tcPr>
          <w:p>
            <w:pPr>
              <w:rPr>
                <w:rFonts w:cs="Arial"/>
                <w:bCs/>
                <w:noProof/>
              </w:rPr>
            </w:pPr>
            <w:r>
              <w:rPr>
                <w:rFonts w:cs="Arial"/>
                <w:bCs/>
                <w:noProof/>
              </w:rPr>
              <w:t>Realised losses on sale of AFS assets</w:t>
            </w:r>
          </w:p>
        </w:tc>
        <w:tc>
          <w:tcPr>
            <w:tcW w:w="1701" w:type="dxa"/>
            <w:shd w:val="clear" w:color="auto" w:fill="FFFFFF"/>
            <w:noWrap/>
            <w:vAlign w:val="center"/>
          </w:tcPr>
          <w:p>
            <w:pPr>
              <w:tabs>
                <w:tab w:val="left" w:pos="1558"/>
              </w:tabs>
              <w:ind w:right="143"/>
              <w:jc w:val="right"/>
              <w:rPr>
                <w:rFonts w:cs="Arial"/>
                <w:noProof/>
                <w:lang w:eastAsia="ko-KR"/>
              </w:rPr>
            </w:pPr>
            <w:r>
              <w:rPr>
                <w:rFonts w:cs="Arial"/>
                <w:noProof/>
                <w:lang w:eastAsia="ko-KR"/>
              </w:rPr>
              <w:t>(1 390 733)</w:t>
            </w:r>
          </w:p>
        </w:tc>
        <w:tc>
          <w:tcPr>
            <w:tcW w:w="1701" w:type="dxa"/>
            <w:shd w:val="clear" w:color="auto" w:fill="FFFFFF"/>
            <w:vAlign w:val="center"/>
          </w:tcPr>
          <w:p>
            <w:pPr>
              <w:tabs>
                <w:tab w:val="left" w:pos="1558"/>
              </w:tabs>
              <w:ind w:right="143"/>
              <w:jc w:val="right"/>
              <w:rPr>
                <w:rFonts w:cs="Arial"/>
                <w:b/>
                <w:noProof/>
                <w:lang w:eastAsia="ko-KR"/>
              </w:rPr>
            </w:pPr>
            <w:r>
              <w:rPr>
                <w:rFonts w:cs="Arial"/>
                <w:noProof/>
                <w:lang w:eastAsia="ko-KR"/>
              </w:rPr>
              <w:t>(17 550 692)</w:t>
            </w:r>
          </w:p>
        </w:tc>
      </w:tr>
      <w:tr>
        <w:trPr>
          <w:trHeight w:hRule="exact" w:val="284"/>
        </w:trPr>
        <w:tc>
          <w:tcPr>
            <w:tcW w:w="5813" w:type="dxa"/>
            <w:shd w:val="clear" w:color="auto" w:fill="FFFFFF"/>
            <w:noWrap/>
            <w:vAlign w:val="center"/>
          </w:tcPr>
          <w:p>
            <w:pPr>
              <w:rPr>
                <w:rFonts w:cs="Arial"/>
                <w:b/>
                <w:bCs/>
                <w:noProof/>
              </w:rPr>
            </w:pPr>
          </w:p>
        </w:tc>
        <w:tc>
          <w:tcPr>
            <w:tcW w:w="1701" w:type="dxa"/>
            <w:shd w:val="clear" w:color="auto" w:fill="FFFFFF"/>
            <w:noWrap/>
            <w:vAlign w:val="center"/>
          </w:tcPr>
          <w:p>
            <w:pPr>
              <w:tabs>
                <w:tab w:val="left" w:pos="1558"/>
              </w:tabs>
              <w:ind w:right="143"/>
              <w:jc w:val="right"/>
              <w:rPr>
                <w:rFonts w:cs="Arial"/>
                <w:b/>
                <w:noProof/>
                <w:lang w:eastAsia="ko-KR"/>
              </w:rPr>
            </w:pPr>
          </w:p>
        </w:tc>
        <w:tc>
          <w:tcPr>
            <w:tcW w:w="1701" w:type="dxa"/>
            <w:shd w:val="clear" w:color="auto" w:fill="FFFFFF"/>
            <w:vAlign w:val="center"/>
          </w:tcPr>
          <w:p>
            <w:pPr>
              <w:tabs>
                <w:tab w:val="left" w:pos="1558"/>
              </w:tabs>
              <w:ind w:right="143"/>
              <w:jc w:val="right"/>
              <w:rPr>
                <w:rFonts w:cs="Arial"/>
                <w:b/>
                <w:noProof/>
                <w:lang w:eastAsia="ko-KR"/>
              </w:rPr>
            </w:pPr>
          </w:p>
        </w:tc>
      </w:tr>
      <w:tr>
        <w:trPr>
          <w:trHeight w:hRule="exact" w:val="284"/>
        </w:trPr>
        <w:tc>
          <w:tcPr>
            <w:tcW w:w="5813" w:type="dxa"/>
            <w:shd w:val="clear" w:color="auto" w:fill="FFFFFF"/>
            <w:noWrap/>
            <w:vAlign w:val="center"/>
          </w:tcPr>
          <w:p>
            <w:pPr>
              <w:rPr>
                <w:rFonts w:cs="Arial"/>
                <w:bCs/>
                <w:noProof/>
              </w:rPr>
            </w:pPr>
            <w:r>
              <w:rPr>
                <w:rFonts w:cs="Arial"/>
                <w:bCs/>
                <w:noProof/>
              </w:rPr>
              <w:t>Other financial expenses - fair value changes of derivatives</w:t>
            </w:r>
          </w:p>
        </w:tc>
        <w:tc>
          <w:tcPr>
            <w:tcW w:w="1701" w:type="dxa"/>
            <w:shd w:val="clear" w:color="auto" w:fill="FFFFFF"/>
            <w:noWrap/>
            <w:vAlign w:val="center"/>
          </w:tcPr>
          <w:p>
            <w:pPr>
              <w:tabs>
                <w:tab w:val="left" w:pos="1558"/>
              </w:tabs>
              <w:ind w:right="143"/>
              <w:jc w:val="right"/>
              <w:rPr>
                <w:rFonts w:cs="Arial"/>
                <w:noProof/>
                <w:lang w:eastAsia="ko-KR"/>
              </w:rPr>
            </w:pPr>
            <w:r>
              <w:rPr>
                <w:rFonts w:cs="Arial"/>
                <w:noProof/>
                <w:lang w:eastAsia="ko-KR"/>
              </w:rPr>
              <w:t>(12 008 473)</w:t>
            </w:r>
          </w:p>
        </w:tc>
        <w:tc>
          <w:tcPr>
            <w:tcW w:w="1701" w:type="dxa"/>
            <w:shd w:val="clear" w:color="auto" w:fill="FFFFFF"/>
            <w:vAlign w:val="center"/>
          </w:tcPr>
          <w:p>
            <w:pPr>
              <w:tabs>
                <w:tab w:val="left" w:pos="1558"/>
              </w:tabs>
              <w:ind w:right="143"/>
              <w:jc w:val="right"/>
              <w:rPr>
                <w:rFonts w:cs="Arial"/>
                <w:noProof/>
                <w:lang w:eastAsia="ko-KR"/>
              </w:rPr>
            </w:pPr>
            <w:r>
              <w:rPr>
                <w:rFonts w:cs="Arial"/>
                <w:noProof/>
                <w:lang w:eastAsia="ko-KR"/>
              </w:rPr>
              <w:t>(62 913 181)</w:t>
            </w:r>
          </w:p>
        </w:tc>
      </w:tr>
      <w:tr>
        <w:trPr>
          <w:trHeight w:hRule="exact" w:val="284"/>
        </w:trPr>
        <w:tc>
          <w:tcPr>
            <w:tcW w:w="5813" w:type="dxa"/>
            <w:shd w:val="clear" w:color="auto" w:fill="FFFFFF"/>
            <w:noWrap/>
            <w:vAlign w:val="center"/>
          </w:tcPr>
          <w:p>
            <w:pPr>
              <w:rPr>
                <w:rFonts w:cs="Arial"/>
                <w:bCs/>
                <w:noProof/>
              </w:rPr>
            </w:pPr>
          </w:p>
        </w:tc>
        <w:tc>
          <w:tcPr>
            <w:tcW w:w="1701" w:type="dxa"/>
            <w:shd w:val="clear" w:color="auto" w:fill="FFFFFF"/>
            <w:noWrap/>
            <w:vAlign w:val="center"/>
          </w:tcPr>
          <w:p>
            <w:pPr>
              <w:tabs>
                <w:tab w:val="left" w:pos="1558"/>
              </w:tabs>
              <w:ind w:right="143"/>
              <w:jc w:val="right"/>
              <w:rPr>
                <w:rFonts w:cs="Arial"/>
                <w:noProof/>
                <w:lang w:eastAsia="ko-KR"/>
              </w:rPr>
            </w:pPr>
          </w:p>
        </w:tc>
        <w:tc>
          <w:tcPr>
            <w:tcW w:w="1701" w:type="dxa"/>
            <w:shd w:val="clear" w:color="auto" w:fill="FFFFFF"/>
            <w:vAlign w:val="center"/>
          </w:tcPr>
          <w:p>
            <w:pPr>
              <w:tabs>
                <w:tab w:val="left" w:pos="1558"/>
              </w:tabs>
              <w:ind w:right="143"/>
              <w:jc w:val="right"/>
              <w:rPr>
                <w:rFonts w:cs="Arial"/>
                <w:noProof/>
                <w:lang w:eastAsia="ko-KR"/>
              </w:rPr>
            </w:pPr>
          </w:p>
        </w:tc>
      </w:tr>
      <w:tr>
        <w:trPr>
          <w:trHeight w:hRule="exact" w:val="284"/>
        </w:trPr>
        <w:tc>
          <w:tcPr>
            <w:tcW w:w="5813" w:type="dxa"/>
            <w:shd w:val="clear" w:color="auto" w:fill="FFFFFF"/>
            <w:noWrap/>
            <w:vAlign w:val="center"/>
          </w:tcPr>
          <w:p>
            <w:pPr>
              <w:rPr>
                <w:rFonts w:cs="Arial"/>
                <w:bCs/>
                <w:noProof/>
              </w:rPr>
            </w:pPr>
            <w:r>
              <w:rPr>
                <w:rFonts w:cs="Arial"/>
                <w:bCs/>
                <w:noProof/>
              </w:rPr>
              <w:t>Custody fees and other financial expenses</w:t>
            </w:r>
          </w:p>
        </w:tc>
        <w:tc>
          <w:tcPr>
            <w:tcW w:w="1701" w:type="dxa"/>
            <w:shd w:val="clear" w:color="auto" w:fill="FFFFFF"/>
            <w:noWrap/>
            <w:vAlign w:val="center"/>
          </w:tcPr>
          <w:p>
            <w:pPr>
              <w:tabs>
                <w:tab w:val="left" w:pos="1558"/>
              </w:tabs>
              <w:ind w:right="143"/>
              <w:jc w:val="right"/>
              <w:rPr>
                <w:rFonts w:cs="Arial"/>
                <w:noProof/>
                <w:lang w:eastAsia="ko-KR"/>
              </w:rPr>
            </w:pPr>
            <w:r>
              <w:rPr>
                <w:rFonts w:cs="Arial"/>
                <w:noProof/>
                <w:lang w:eastAsia="ko-KR"/>
              </w:rPr>
              <w:t>(1 066 124)</w:t>
            </w:r>
          </w:p>
        </w:tc>
        <w:tc>
          <w:tcPr>
            <w:tcW w:w="1701" w:type="dxa"/>
            <w:shd w:val="clear" w:color="auto" w:fill="FFFFFF"/>
            <w:vAlign w:val="center"/>
          </w:tcPr>
          <w:p>
            <w:pPr>
              <w:tabs>
                <w:tab w:val="left" w:pos="1558"/>
              </w:tabs>
              <w:ind w:right="143"/>
              <w:jc w:val="right"/>
              <w:rPr>
                <w:rFonts w:cs="Arial"/>
                <w:noProof/>
                <w:lang w:eastAsia="ko-KR"/>
              </w:rPr>
            </w:pPr>
            <w:r>
              <w:rPr>
                <w:rFonts w:cs="Arial"/>
                <w:noProof/>
                <w:lang w:eastAsia="ko-KR"/>
              </w:rPr>
              <w:t>(615 593)</w:t>
            </w:r>
          </w:p>
        </w:tc>
      </w:tr>
      <w:tr>
        <w:trPr>
          <w:trHeight w:hRule="exact" w:val="284"/>
        </w:trPr>
        <w:tc>
          <w:tcPr>
            <w:tcW w:w="5813" w:type="dxa"/>
            <w:shd w:val="clear" w:color="auto" w:fill="FFFFFF"/>
            <w:noWrap/>
            <w:vAlign w:val="center"/>
          </w:tcPr>
          <w:p>
            <w:pPr>
              <w:rPr>
                <w:rFonts w:cs="Arial"/>
                <w:bCs/>
                <w:noProof/>
              </w:rPr>
            </w:pPr>
          </w:p>
        </w:tc>
        <w:tc>
          <w:tcPr>
            <w:tcW w:w="1701" w:type="dxa"/>
            <w:shd w:val="clear" w:color="auto" w:fill="FFFFFF"/>
            <w:noWrap/>
            <w:vAlign w:val="center"/>
          </w:tcPr>
          <w:p>
            <w:pPr>
              <w:tabs>
                <w:tab w:val="left" w:pos="1558"/>
              </w:tabs>
              <w:ind w:right="143"/>
              <w:jc w:val="right"/>
              <w:rPr>
                <w:rFonts w:cs="Arial"/>
                <w:noProof/>
                <w:lang w:eastAsia="ko-KR"/>
              </w:rPr>
            </w:pPr>
          </w:p>
        </w:tc>
        <w:tc>
          <w:tcPr>
            <w:tcW w:w="1701" w:type="dxa"/>
            <w:shd w:val="clear" w:color="auto" w:fill="FFFFFF"/>
            <w:vAlign w:val="center"/>
          </w:tcPr>
          <w:p>
            <w:pPr>
              <w:tabs>
                <w:tab w:val="left" w:pos="1558"/>
              </w:tabs>
              <w:ind w:right="143"/>
              <w:jc w:val="right"/>
              <w:rPr>
                <w:rFonts w:cs="Arial"/>
                <w:noProof/>
                <w:lang w:eastAsia="ko-KR"/>
              </w:rPr>
            </w:pPr>
          </w:p>
        </w:tc>
      </w:tr>
      <w:tr>
        <w:trPr>
          <w:trHeight w:hRule="exact" w:val="284"/>
        </w:trPr>
        <w:tc>
          <w:tcPr>
            <w:tcW w:w="5813" w:type="dxa"/>
            <w:shd w:val="clear" w:color="auto" w:fill="FFFFFF"/>
            <w:noWrap/>
            <w:vAlign w:val="center"/>
          </w:tcPr>
          <w:p>
            <w:pPr>
              <w:rPr>
                <w:rFonts w:cs="Arial"/>
                <w:bCs/>
                <w:noProof/>
              </w:rPr>
            </w:pPr>
            <w:r>
              <w:rPr>
                <w:rFonts w:cs="Arial"/>
                <w:b/>
                <w:bCs/>
                <w:noProof/>
              </w:rPr>
              <w:t>FINANCIAL RESULT</w:t>
            </w:r>
          </w:p>
        </w:tc>
        <w:tc>
          <w:tcPr>
            <w:tcW w:w="1701" w:type="dxa"/>
            <w:shd w:val="clear" w:color="auto" w:fill="FFFFFF"/>
            <w:noWrap/>
            <w:vAlign w:val="center"/>
          </w:tcPr>
          <w:p>
            <w:pPr>
              <w:tabs>
                <w:tab w:val="left" w:pos="1558"/>
              </w:tabs>
              <w:ind w:right="143"/>
              <w:jc w:val="right"/>
              <w:rPr>
                <w:rFonts w:cs="Arial"/>
                <w:b/>
                <w:noProof/>
                <w:lang w:eastAsia="ko-KR"/>
              </w:rPr>
            </w:pPr>
            <w:r>
              <w:rPr>
                <w:rFonts w:cs="Arial"/>
                <w:b/>
                <w:noProof/>
                <w:lang w:eastAsia="ko-KR"/>
              </w:rPr>
              <w:t>39 287 606</w:t>
            </w:r>
          </w:p>
        </w:tc>
        <w:tc>
          <w:tcPr>
            <w:tcW w:w="1701" w:type="dxa"/>
            <w:shd w:val="clear" w:color="auto" w:fill="FFFFFF"/>
            <w:vAlign w:val="center"/>
          </w:tcPr>
          <w:p>
            <w:pPr>
              <w:tabs>
                <w:tab w:val="left" w:pos="1558"/>
              </w:tabs>
              <w:ind w:right="143"/>
              <w:jc w:val="right"/>
              <w:rPr>
                <w:rFonts w:cs="Arial"/>
                <w:noProof/>
                <w:lang w:eastAsia="ko-KR"/>
              </w:rPr>
            </w:pPr>
            <w:r>
              <w:rPr>
                <w:rFonts w:cs="Arial"/>
                <w:b/>
                <w:noProof/>
                <w:lang w:eastAsia="ko-KR"/>
              </w:rPr>
              <w:t>(30 917 686)</w:t>
            </w:r>
          </w:p>
        </w:tc>
      </w:tr>
      <w:tr>
        <w:trPr>
          <w:trHeight w:hRule="exact" w:val="284"/>
        </w:trPr>
        <w:tc>
          <w:tcPr>
            <w:tcW w:w="5813" w:type="dxa"/>
            <w:shd w:val="clear" w:color="auto" w:fill="FFFFFF"/>
            <w:noWrap/>
            <w:vAlign w:val="center"/>
          </w:tcPr>
          <w:p>
            <w:pPr>
              <w:rPr>
                <w:rFonts w:cs="Arial"/>
                <w:bCs/>
                <w:noProof/>
              </w:rPr>
            </w:pPr>
          </w:p>
        </w:tc>
        <w:tc>
          <w:tcPr>
            <w:tcW w:w="1701" w:type="dxa"/>
            <w:shd w:val="clear" w:color="auto" w:fill="FFFFFF"/>
            <w:noWrap/>
            <w:vAlign w:val="center"/>
          </w:tcPr>
          <w:p>
            <w:pPr>
              <w:tabs>
                <w:tab w:val="left" w:pos="1558"/>
              </w:tabs>
              <w:ind w:right="143"/>
              <w:jc w:val="right"/>
              <w:rPr>
                <w:rFonts w:cs="Arial"/>
                <w:noProof/>
                <w:lang w:eastAsia="ko-KR"/>
              </w:rPr>
            </w:pPr>
          </w:p>
        </w:tc>
        <w:tc>
          <w:tcPr>
            <w:tcW w:w="1701" w:type="dxa"/>
            <w:shd w:val="clear" w:color="auto" w:fill="FFFFFF"/>
            <w:vAlign w:val="center"/>
          </w:tcPr>
          <w:p>
            <w:pPr>
              <w:tabs>
                <w:tab w:val="left" w:pos="1558"/>
              </w:tabs>
              <w:ind w:right="143"/>
              <w:jc w:val="right"/>
              <w:rPr>
                <w:rFonts w:cs="Arial"/>
                <w:noProof/>
                <w:lang w:eastAsia="ko-KR"/>
              </w:rPr>
            </w:pPr>
          </w:p>
        </w:tc>
      </w:tr>
      <w:tr>
        <w:trPr>
          <w:trHeight w:hRule="exact" w:val="284"/>
        </w:trPr>
        <w:tc>
          <w:tcPr>
            <w:tcW w:w="5813" w:type="dxa"/>
            <w:shd w:val="clear" w:color="auto" w:fill="FFFFFF"/>
            <w:noWrap/>
            <w:vAlign w:val="center"/>
          </w:tcPr>
          <w:p>
            <w:pPr>
              <w:rPr>
                <w:rFonts w:cs="Arial"/>
                <w:b/>
                <w:bCs/>
                <w:noProof/>
              </w:rPr>
            </w:pPr>
            <w:r>
              <w:rPr>
                <w:rFonts w:cs="Arial"/>
                <w:b/>
                <w:bCs/>
                <w:noProof/>
              </w:rPr>
              <w:t>ECONOMIC RESULT OF THE YEAR</w:t>
            </w:r>
          </w:p>
        </w:tc>
        <w:tc>
          <w:tcPr>
            <w:tcW w:w="1701" w:type="dxa"/>
            <w:shd w:val="clear" w:color="auto" w:fill="FFFFFF"/>
            <w:noWrap/>
            <w:vAlign w:val="center"/>
          </w:tcPr>
          <w:p>
            <w:pPr>
              <w:tabs>
                <w:tab w:val="left" w:pos="1558"/>
              </w:tabs>
              <w:ind w:right="143"/>
              <w:jc w:val="right"/>
              <w:rPr>
                <w:rFonts w:eastAsia="Arial Unicode MS" w:cs="Arial"/>
                <w:b/>
                <w:noProof/>
              </w:rPr>
            </w:pPr>
            <w:r>
              <w:rPr>
                <w:rFonts w:eastAsia="Arial Unicode MS" w:cs="Arial"/>
                <w:b/>
                <w:noProof/>
              </w:rPr>
              <w:t>21 711 491</w:t>
            </w:r>
          </w:p>
        </w:tc>
        <w:tc>
          <w:tcPr>
            <w:tcW w:w="1701" w:type="dxa"/>
            <w:shd w:val="clear" w:color="auto" w:fill="FFFFFF"/>
            <w:vAlign w:val="center"/>
          </w:tcPr>
          <w:p>
            <w:pPr>
              <w:tabs>
                <w:tab w:val="left" w:pos="1558"/>
              </w:tabs>
              <w:ind w:right="143"/>
              <w:jc w:val="right"/>
              <w:rPr>
                <w:rFonts w:eastAsia="Arial Unicode MS" w:cs="Arial"/>
                <w:b/>
                <w:noProof/>
              </w:rPr>
            </w:pPr>
            <w:r>
              <w:rPr>
                <w:rFonts w:eastAsia="Arial Unicode MS" w:cs="Arial"/>
                <w:b/>
                <w:noProof/>
              </w:rPr>
              <w:t>(13 876 513)</w:t>
            </w:r>
          </w:p>
        </w:tc>
      </w:tr>
    </w:tbl>
    <w:p>
      <w:pPr>
        <w:rPr>
          <w:rFonts w:asciiTheme="majorHAnsi" w:eastAsiaTheme="majorEastAsia" w:hAnsiTheme="majorHAnsi" w:cstheme="majorBidi"/>
          <w:noProof/>
          <w:color w:val="000000" w:themeColor="text1"/>
          <w:sz w:val="28"/>
          <w:szCs w:val="28"/>
        </w:rPr>
      </w:pPr>
      <w:bookmarkStart w:id="29" w:name="_Toc7791288"/>
      <w:bookmarkStart w:id="30" w:name="_Toc477531490"/>
      <w:bookmarkStart w:id="31" w:name="_Toc508973551"/>
      <w:bookmarkStart w:id="32" w:name="_Toc508973605"/>
      <w:bookmarkStart w:id="33" w:name="_Toc508973891"/>
      <w:r>
        <w:rPr>
          <w:noProof/>
        </w:rPr>
        <w:br w:type="page"/>
      </w:r>
    </w:p>
    <w:p>
      <w:pPr>
        <w:pStyle w:val="Heading1"/>
      </w:pPr>
      <w:r>
        <w:t>PROVISIONING OF THE EFSI GF</w:t>
      </w:r>
      <w:bookmarkEnd w:id="29"/>
    </w:p>
    <w:p>
      <w:pPr>
        <w:spacing w:before="240" w:after="240"/>
        <w:jc w:val="both"/>
        <w:rPr>
          <w:noProof/>
          <w:sz w:val="24"/>
          <w:szCs w:val="24"/>
        </w:rPr>
      </w:pPr>
      <w:r>
        <w:rPr>
          <w:noProof/>
          <w:sz w:val="24"/>
          <w:szCs w:val="24"/>
        </w:rPr>
        <w:t>The Guarantee Fund is provisioned through:</w:t>
      </w:r>
    </w:p>
    <w:p>
      <w:pPr>
        <w:pStyle w:val="ListParagraph"/>
        <w:numPr>
          <w:ilvl w:val="0"/>
          <w:numId w:val="28"/>
        </w:numPr>
        <w:spacing w:before="240" w:after="240"/>
        <w:jc w:val="both"/>
        <w:rPr>
          <w:noProof/>
          <w:sz w:val="24"/>
          <w:szCs w:val="24"/>
        </w:rPr>
      </w:pPr>
      <w:r>
        <w:rPr>
          <w:noProof/>
          <w:sz w:val="24"/>
          <w:szCs w:val="24"/>
        </w:rPr>
        <w:t>Contributions from the general budget of the Union; the budget allocated for the EFSI contributions amounts to EUR 8 425 million;</w:t>
      </w:r>
    </w:p>
    <w:p>
      <w:pPr>
        <w:pStyle w:val="ListParagraph"/>
        <w:numPr>
          <w:ilvl w:val="0"/>
          <w:numId w:val="28"/>
        </w:numPr>
        <w:spacing w:before="240" w:after="240"/>
        <w:jc w:val="both"/>
        <w:rPr>
          <w:noProof/>
          <w:sz w:val="24"/>
          <w:szCs w:val="24"/>
        </w:rPr>
      </w:pPr>
      <w:r>
        <w:rPr>
          <w:noProof/>
          <w:sz w:val="24"/>
          <w:szCs w:val="24"/>
        </w:rPr>
        <w:t>Revenues and any other payments received by the Union in accordance with the EFSI Agreement (i.e. projects benefitting from EFSI support); these assigned revenues to the EFSI GF amount to EUR 675 million.</w:t>
      </w:r>
    </w:p>
    <w:p>
      <w:pPr>
        <w:pStyle w:val="ListParagraph"/>
        <w:numPr>
          <w:ilvl w:val="0"/>
          <w:numId w:val="28"/>
        </w:numPr>
        <w:spacing w:before="240" w:after="240"/>
        <w:jc w:val="both"/>
        <w:rPr>
          <w:noProof/>
          <w:sz w:val="24"/>
          <w:szCs w:val="24"/>
        </w:rPr>
      </w:pPr>
      <w:r>
        <w:rPr>
          <w:noProof/>
          <w:sz w:val="24"/>
          <w:szCs w:val="24"/>
        </w:rPr>
        <w:t>Returns (interests) on guarantee fund resources invested in the financial markets;</w:t>
      </w:r>
    </w:p>
    <w:p>
      <w:pPr>
        <w:pStyle w:val="ListParagraph"/>
        <w:numPr>
          <w:ilvl w:val="0"/>
          <w:numId w:val="28"/>
        </w:numPr>
        <w:spacing w:before="240" w:after="240"/>
        <w:jc w:val="both"/>
        <w:rPr>
          <w:noProof/>
          <w:sz w:val="24"/>
          <w:szCs w:val="24"/>
        </w:rPr>
      </w:pPr>
      <w:r>
        <w:rPr>
          <w:noProof/>
          <w:sz w:val="24"/>
          <w:szCs w:val="24"/>
        </w:rPr>
        <w:t>Amounts recovered from projects for which the EU Guarantee was called (i.e. defaulting debtors);</w:t>
      </w:r>
    </w:p>
    <w:p>
      <w:pPr>
        <w:spacing w:before="240" w:after="240"/>
        <w:jc w:val="both"/>
        <w:rPr>
          <w:noProof/>
          <w:sz w:val="24"/>
          <w:szCs w:val="24"/>
        </w:rPr>
      </w:pPr>
      <w:r>
        <w:rPr>
          <w:noProof/>
          <w:sz w:val="24"/>
          <w:szCs w:val="24"/>
        </w:rPr>
        <w:t>The Guarantee Fund is provisioned progressively up to the target amount of EUR 9 100 million by 2022.</w:t>
      </w:r>
    </w:p>
    <w:p>
      <w:pPr>
        <w:spacing w:before="240" w:after="240"/>
        <w:jc w:val="both"/>
        <w:rPr>
          <w:noProof/>
          <w:sz w:val="24"/>
          <w:szCs w:val="24"/>
        </w:rPr>
      </w:pPr>
    </w:p>
    <w:p>
      <w:pPr>
        <w:spacing w:before="240" w:after="240"/>
        <w:jc w:val="both"/>
        <w:rPr>
          <w:noProof/>
          <w:sz w:val="24"/>
          <w:szCs w:val="24"/>
        </w:rPr>
      </w:pPr>
      <w:r>
        <w:rPr>
          <w:noProof/>
          <w:sz w:val="24"/>
          <w:szCs w:val="24"/>
        </w:rPr>
        <w:t>Table 3: Provisioning of the EFSI GF for the period 2015-2022 (EUR million)</w:t>
      </w:r>
    </w:p>
    <w:p>
      <w:pPr>
        <w:rPr>
          <w:noProof/>
        </w:rPr>
      </w:pPr>
      <w:r>
        <w:rPr>
          <w:noProof/>
        </w:rPr>
        <w:drawing>
          <wp:inline distT="0" distB="0" distL="0" distR="0">
            <wp:extent cx="5759450" cy="1258377"/>
            <wp:effectExtent l="0" t="0" r="0" b="0"/>
            <wp:docPr id="1" name="Picture 2" descr="cid:image001.png@01D661E0.C9ECD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661E0.C9ECDB8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5759450" cy="1258377"/>
                    </a:xfrm>
                    <a:prstGeom prst="rect">
                      <a:avLst/>
                    </a:prstGeom>
                    <a:noFill/>
                    <a:ln>
                      <a:noFill/>
                    </a:ln>
                  </pic:spPr>
                </pic:pic>
              </a:graphicData>
            </a:graphic>
          </wp:inline>
        </w:drawing>
      </w:r>
    </w:p>
    <w:p>
      <w:pPr>
        <w:pStyle w:val="Heading1"/>
      </w:pPr>
      <w:bookmarkStart w:id="34" w:name="_Toc7791289"/>
      <w:r>
        <w:t>ASSET MANAGEMENT</w:t>
      </w:r>
      <w:bookmarkEnd w:id="30"/>
      <w:bookmarkEnd w:id="31"/>
      <w:bookmarkEnd w:id="32"/>
      <w:bookmarkEnd w:id="33"/>
      <w:bookmarkEnd w:id="34"/>
    </w:p>
    <w:p>
      <w:pPr>
        <w:spacing w:before="240" w:after="240"/>
        <w:jc w:val="both"/>
        <w:rPr>
          <w:noProof/>
          <w:sz w:val="24"/>
          <w:szCs w:val="24"/>
        </w:rPr>
      </w:pPr>
      <w:r>
        <w:rPr>
          <w:noProof/>
          <w:sz w:val="24"/>
          <w:szCs w:val="24"/>
        </w:rPr>
        <w:t>The following sections provide some further details on (a) the composition of the portfolio and (b) the key risk characteristics of the portfolio.</w:t>
      </w:r>
    </w:p>
    <w:p>
      <w:pPr>
        <w:pStyle w:val="Heading2"/>
        <w:numPr>
          <w:ilvl w:val="1"/>
          <w:numId w:val="33"/>
        </w:numPr>
        <w:rPr>
          <w:noProof/>
          <w:sz w:val="24"/>
          <w:szCs w:val="24"/>
        </w:rPr>
      </w:pPr>
      <w:bookmarkStart w:id="35" w:name="_Toc508973552"/>
      <w:bookmarkStart w:id="36" w:name="_Toc508973606"/>
      <w:bookmarkStart w:id="37" w:name="_Toc508973892"/>
      <w:r>
        <w:rPr>
          <w:noProof/>
        </w:rPr>
        <w:t xml:space="preserve">      </w:t>
      </w:r>
      <w:bookmarkStart w:id="38" w:name="_Toc7791290"/>
      <w:r>
        <w:rPr>
          <w:noProof/>
        </w:rPr>
        <w:t>COMPOSITION OF THE PORTFOLIO</w:t>
      </w:r>
      <w:bookmarkEnd w:id="35"/>
      <w:bookmarkEnd w:id="36"/>
      <w:bookmarkEnd w:id="37"/>
      <w:bookmarkEnd w:id="38"/>
    </w:p>
    <w:p>
      <w:pPr>
        <w:spacing w:before="240" w:after="240"/>
        <w:jc w:val="both"/>
        <w:rPr>
          <w:noProof/>
          <w:sz w:val="24"/>
          <w:szCs w:val="24"/>
        </w:rPr>
      </w:pPr>
      <w:r>
        <w:rPr>
          <w:noProof/>
          <w:sz w:val="24"/>
          <w:szCs w:val="24"/>
        </w:rPr>
        <w:t>The EFSI GF portfolio at the year-end is well diversified in terms of asset classes and rating categories. In addition, it is diversified in non-euro denominated securities (USD) in the form of an allocation to US Treasuries and other issuers (e.g. Supranational, other Sovereigns or Agencies) for about 6% of the portfolio. The currency risk is hedged. The exposure of the portfolio to bonds complying with environmental, social and governance criteria was more than 5 times higher when compared to its benchmark (6,93% for the portfolio vs 1,24% for the benchmark).</w:t>
      </w:r>
    </w:p>
    <w:p>
      <w:pPr>
        <w:spacing w:before="240" w:after="240"/>
        <w:jc w:val="both"/>
        <w:rPr>
          <w:noProof/>
          <w:sz w:val="24"/>
          <w:szCs w:val="24"/>
        </w:rPr>
      </w:pPr>
      <w:r>
        <w:rPr>
          <w:noProof/>
          <w:sz w:val="24"/>
          <w:szCs w:val="24"/>
        </w:rPr>
        <w:t>As shown in Figure 1, over 26% of the market value of the portfolio is invested in AAA securities and the rest is well distributed across the whole spectrum of the investment-grade scale. The AAA category includes for example securities issued by the US Government and covered bonds issued by financial institutions.</w:t>
      </w:r>
    </w:p>
    <w:p>
      <w:pPr>
        <w:spacing w:before="240" w:after="240"/>
        <w:jc w:val="both"/>
        <w:rPr>
          <w:noProof/>
          <w:sz w:val="24"/>
          <w:szCs w:val="24"/>
        </w:rPr>
      </w:pPr>
      <w:r>
        <w:rPr>
          <w:noProof/>
          <w:sz w:val="24"/>
          <w:szCs w:val="24"/>
        </w:rPr>
        <w:t>In terms of main asset classes, 47% of the portfolio is invested in Sovereign securities, sub-sovereigns, supra-nationals and agencies (SSA) and foreign Governments and 18% in covered bonds while 23% in bonds issued by corporates and financial institutions (other than covered bonds).</w:t>
      </w:r>
    </w:p>
    <w:p>
      <w:pPr>
        <w:jc w:val="center"/>
        <w:rPr>
          <w:rStyle w:val="BookTitle"/>
          <w:noProof/>
          <w:sz w:val="24"/>
          <w:szCs w:val="24"/>
        </w:rPr>
      </w:pPr>
      <w:bookmarkStart w:id="39" w:name="_Ref475975179"/>
      <w:r>
        <w:rPr>
          <w:rStyle w:val="BookTitle"/>
          <w:noProof/>
          <w:sz w:val="24"/>
          <w:szCs w:val="24"/>
        </w:rPr>
        <w:t>Figure</w:t>
      </w:r>
      <w:bookmarkEnd w:id="39"/>
      <w:r>
        <w:rPr>
          <w:rStyle w:val="BookTitle"/>
          <w:noProof/>
          <w:sz w:val="24"/>
          <w:szCs w:val="24"/>
        </w:rPr>
        <w:t xml:space="preserve"> 1: Portfolio exposure by rating as at 31 December 2019</w:t>
      </w:r>
    </w:p>
    <w:p>
      <w:pPr>
        <w:spacing w:before="120"/>
        <w:jc w:val="center"/>
        <w:rPr>
          <w:rStyle w:val="BookTitle"/>
          <w:noProof/>
          <w:sz w:val="24"/>
          <w:szCs w:val="24"/>
        </w:rPr>
      </w:pPr>
      <w:r>
        <w:rPr>
          <w:noProof/>
        </w:rPr>
        <w:drawing>
          <wp:inline distT="0" distB="0" distL="0" distR="0">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tabs>
          <w:tab w:val="left" w:pos="-1134"/>
          <w:tab w:val="left" w:pos="1134"/>
        </w:tabs>
        <w:spacing w:before="120" w:after="240"/>
        <w:rPr>
          <w:i/>
          <w:noProof/>
          <w:sz w:val="18"/>
          <w:szCs w:val="18"/>
        </w:rPr>
      </w:pPr>
      <w:r>
        <w:rPr>
          <w:noProof/>
          <w:sz w:val="18"/>
          <w:szCs w:val="18"/>
        </w:rPr>
        <w:tab/>
      </w:r>
      <w:r>
        <w:rPr>
          <w:i/>
          <w:noProof/>
          <w:sz w:val="18"/>
          <w:szCs w:val="18"/>
        </w:rPr>
        <w:t>Source: European Commission services</w:t>
      </w:r>
    </w:p>
    <w:p>
      <w:pPr>
        <w:rPr>
          <w:rStyle w:val="BookTitle"/>
          <w:noProof/>
          <w:sz w:val="24"/>
          <w:szCs w:val="24"/>
        </w:rPr>
      </w:pPr>
    </w:p>
    <w:p>
      <w:pPr>
        <w:jc w:val="center"/>
        <w:rPr>
          <w:rStyle w:val="BookTitle"/>
          <w:noProof/>
          <w:sz w:val="24"/>
          <w:szCs w:val="24"/>
        </w:rPr>
      </w:pPr>
      <w:r>
        <w:rPr>
          <w:rStyle w:val="BookTitle"/>
          <w:noProof/>
          <w:sz w:val="24"/>
          <w:szCs w:val="24"/>
        </w:rPr>
        <w:t>Figure 2: Portfolio exposure by asset class as at 31 December 2019</w:t>
      </w:r>
    </w:p>
    <w:p>
      <w:pPr>
        <w:rPr>
          <w:rStyle w:val="BookTitle"/>
          <w:noProof/>
          <w:sz w:val="24"/>
          <w:szCs w:val="24"/>
        </w:rPr>
      </w:pPr>
    </w:p>
    <w:p>
      <w:pPr>
        <w:jc w:val="center"/>
        <w:rPr>
          <w:rStyle w:val="BookTitle"/>
          <w:noProof/>
          <w:sz w:val="24"/>
          <w:szCs w:val="24"/>
        </w:rPr>
      </w:pPr>
      <w:r>
        <w:rPr>
          <w:rStyle w:val="BookTitle"/>
          <w:noProof/>
          <w:sz w:val="24"/>
          <w:szCs w:val="24"/>
          <w:highlight w:val="cyan"/>
        </w:rPr>
        <w:drawing>
          <wp:inline distT="0" distB="0" distL="0" distR="0">
            <wp:extent cx="4584700" cy="3072765"/>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84700" cy="3072765"/>
                    </a:xfrm>
                    <a:prstGeom prst="rect">
                      <a:avLst/>
                    </a:prstGeom>
                    <a:noFill/>
                  </pic:spPr>
                </pic:pic>
              </a:graphicData>
            </a:graphic>
          </wp:inline>
        </w:drawing>
      </w:r>
    </w:p>
    <w:p>
      <w:pPr>
        <w:tabs>
          <w:tab w:val="left" w:pos="-1134"/>
          <w:tab w:val="left" w:pos="1134"/>
        </w:tabs>
        <w:rPr>
          <w:noProof/>
        </w:rPr>
      </w:pPr>
      <w:r>
        <w:rPr>
          <w:i/>
          <w:noProof/>
          <w:sz w:val="18"/>
          <w:szCs w:val="18"/>
        </w:rPr>
        <w:tab/>
        <w:t>Source: European Commission services</w:t>
      </w:r>
    </w:p>
    <w:p>
      <w:pPr>
        <w:tabs>
          <w:tab w:val="left" w:pos="-1134"/>
          <w:tab w:val="left" w:pos="1134"/>
        </w:tabs>
        <w:spacing w:before="120"/>
        <w:rPr>
          <w:i/>
          <w:noProof/>
          <w:sz w:val="18"/>
          <w:szCs w:val="18"/>
        </w:rPr>
      </w:pPr>
      <w:r>
        <w:rPr>
          <w:i/>
          <w:noProof/>
          <w:sz w:val="18"/>
          <w:szCs w:val="18"/>
        </w:rPr>
        <w:tab/>
        <w:t>(¹) Corporate: unsecured bonds issued by financial and non-financial corporations.</w:t>
      </w:r>
    </w:p>
    <w:p>
      <w:pPr>
        <w:tabs>
          <w:tab w:val="left" w:pos="-1134"/>
          <w:tab w:val="left" w:pos="1134"/>
        </w:tabs>
        <w:rPr>
          <w:i/>
          <w:noProof/>
          <w:sz w:val="18"/>
          <w:szCs w:val="18"/>
        </w:rPr>
      </w:pPr>
      <w:r>
        <w:rPr>
          <w:i/>
          <w:noProof/>
          <w:sz w:val="18"/>
          <w:szCs w:val="18"/>
        </w:rPr>
        <w:tab/>
        <w:t>(²) Derivative: inflation-linked bonds.</w:t>
      </w:r>
    </w:p>
    <w:p>
      <w:pPr>
        <w:tabs>
          <w:tab w:val="left" w:pos="-1134"/>
          <w:tab w:val="left" w:pos="1134"/>
        </w:tabs>
        <w:rPr>
          <w:i/>
          <w:noProof/>
          <w:sz w:val="18"/>
          <w:szCs w:val="18"/>
        </w:rPr>
      </w:pPr>
    </w:p>
    <w:p>
      <w:pPr>
        <w:pStyle w:val="Heading2"/>
        <w:numPr>
          <w:ilvl w:val="1"/>
          <w:numId w:val="33"/>
        </w:numPr>
        <w:rPr>
          <w:noProof/>
        </w:rPr>
      </w:pPr>
      <w:bookmarkStart w:id="40" w:name="_Toc508973553"/>
      <w:bookmarkStart w:id="41" w:name="_Toc508973607"/>
      <w:bookmarkStart w:id="42" w:name="_Toc508973893"/>
      <w:r>
        <w:rPr>
          <w:noProof/>
        </w:rPr>
        <w:t xml:space="preserve">     </w:t>
      </w:r>
      <w:bookmarkStart w:id="43" w:name="_Toc7791291"/>
      <w:r>
        <w:rPr>
          <w:noProof/>
        </w:rPr>
        <w:t>KEY RISK CHARACTERISTICS OF THE PORTFOLIO</w:t>
      </w:r>
      <w:bookmarkEnd w:id="40"/>
      <w:bookmarkEnd w:id="41"/>
      <w:bookmarkEnd w:id="42"/>
      <w:bookmarkEnd w:id="43"/>
    </w:p>
    <w:p>
      <w:pPr>
        <w:spacing w:before="240" w:after="240"/>
        <w:jc w:val="both"/>
        <w:rPr>
          <w:i/>
          <w:noProof/>
          <w:sz w:val="24"/>
          <w:szCs w:val="24"/>
        </w:rPr>
      </w:pPr>
      <w:r>
        <w:rPr>
          <w:i/>
          <w:noProof/>
          <w:sz w:val="24"/>
          <w:szCs w:val="24"/>
        </w:rPr>
        <w:t>Market Risk</w:t>
      </w:r>
    </w:p>
    <w:p>
      <w:pPr>
        <w:spacing w:before="240"/>
        <w:jc w:val="both"/>
        <w:rPr>
          <w:noProof/>
          <w:sz w:val="24"/>
          <w:szCs w:val="24"/>
        </w:rPr>
      </w:pPr>
      <w:r>
        <w:rPr>
          <w:noProof/>
          <w:sz w:val="24"/>
          <w:szCs w:val="24"/>
        </w:rPr>
        <w:t>Market risk is, inter alia, assessed by way of calculating the duration</w:t>
      </w:r>
      <w:r>
        <w:rPr>
          <w:noProof/>
          <w:szCs w:val="24"/>
          <w:vertAlign w:val="superscript"/>
        </w:rPr>
        <w:footnoteReference w:id="2"/>
      </w:r>
      <w:r>
        <w:rPr>
          <w:noProof/>
          <w:sz w:val="24"/>
          <w:szCs w:val="24"/>
        </w:rPr>
        <w:t xml:space="preserve"> of the portfolio.</w:t>
      </w:r>
    </w:p>
    <w:p>
      <w:pPr>
        <w:spacing w:after="240"/>
        <w:jc w:val="both"/>
        <w:rPr>
          <w:noProof/>
          <w:sz w:val="24"/>
          <w:szCs w:val="24"/>
        </w:rPr>
      </w:pPr>
      <w:r>
        <w:rPr>
          <w:noProof/>
          <w:sz w:val="24"/>
          <w:szCs w:val="24"/>
        </w:rPr>
        <w:t xml:space="preserve">As at 31 December 2019, the portfolio had a duration of 3.07 years. </w:t>
      </w:r>
    </w:p>
    <w:p>
      <w:pPr>
        <w:spacing w:before="240" w:after="240"/>
        <w:jc w:val="both"/>
        <w:rPr>
          <w:i/>
          <w:noProof/>
          <w:sz w:val="24"/>
          <w:szCs w:val="24"/>
        </w:rPr>
      </w:pPr>
      <w:r>
        <w:rPr>
          <w:i/>
          <w:noProof/>
          <w:sz w:val="24"/>
          <w:szCs w:val="24"/>
        </w:rPr>
        <w:t>Currency risk and hedging activities</w:t>
      </w:r>
    </w:p>
    <w:p>
      <w:pPr>
        <w:spacing w:before="240" w:after="240"/>
        <w:jc w:val="both"/>
        <w:rPr>
          <w:noProof/>
          <w:sz w:val="24"/>
          <w:szCs w:val="24"/>
        </w:rPr>
      </w:pPr>
      <w:r>
        <w:rPr>
          <w:noProof/>
          <w:sz w:val="24"/>
          <w:szCs w:val="24"/>
        </w:rPr>
        <w:t xml:space="preserve">USD investments represented 6% of the portfolio market value as at 31 December 2019. The currency risk of USD-denominated investments was hedged via forward contracts. </w:t>
      </w:r>
    </w:p>
    <w:p>
      <w:pPr>
        <w:spacing w:before="240" w:after="240"/>
        <w:jc w:val="both"/>
        <w:rPr>
          <w:i/>
          <w:noProof/>
          <w:sz w:val="24"/>
          <w:szCs w:val="24"/>
        </w:rPr>
      </w:pPr>
      <w:r>
        <w:rPr>
          <w:i/>
          <w:noProof/>
          <w:sz w:val="24"/>
          <w:szCs w:val="24"/>
        </w:rPr>
        <w:t>Credit Risk</w:t>
      </w:r>
    </w:p>
    <w:p>
      <w:pPr>
        <w:spacing w:before="240" w:after="240"/>
        <w:jc w:val="both"/>
        <w:rPr>
          <w:noProof/>
          <w:sz w:val="24"/>
          <w:szCs w:val="24"/>
        </w:rPr>
      </w:pPr>
      <w:r>
        <w:rPr>
          <w:noProof/>
          <w:sz w:val="24"/>
          <w:szCs w:val="24"/>
        </w:rPr>
        <w:t>The credit quality of the EFSI GF portfolio is high with an average rating</w:t>
      </w:r>
      <w:r>
        <w:rPr>
          <w:rStyle w:val="FootnoteReference"/>
          <w:noProof/>
          <w:sz w:val="24"/>
          <w:szCs w:val="24"/>
        </w:rPr>
        <w:footnoteReference w:id="3"/>
      </w:r>
      <w:r>
        <w:rPr>
          <w:noProof/>
          <w:sz w:val="24"/>
          <w:szCs w:val="24"/>
        </w:rPr>
        <w:t xml:space="preserve"> of BBB+, suggesting a low default probability (0.11% at 1-year).</w:t>
      </w:r>
    </w:p>
    <w:p>
      <w:pPr>
        <w:spacing w:before="240" w:after="240"/>
        <w:jc w:val="both"/>
        <w:rPr>
          <w:i/>
          <w:noProof/>
          <w:sz w:val="24"/>
          <w:szCs w:val="24"/>
        </w:rPr>
      </w:pPr>
      <w:r>
        <w:rPr>
          <w:i/>
          <w:noProof/>
          <w:sz w:val="24"/>
          <w:szCs w:val="24"/>
        </w:rPr>
        <w:t>Liquidity characteristics of the portfolio</w:t>
      </w:r>
    </w:p>
    <w:p>
      <w:pPr>
        <w:spacing w:before="240" w:after="240"/>
        <w:jc w:val="both"/>
        <w:rPr>
          <w:noProof/>
          <w:sz w:val="24"/>
          <w:szCs w:val="24"/>
        </w:rPr>
      </w:pPr>
      <w:r>
        <w:rPr>
          <w:noProof/>
          <w:sz w:val="24"/>
          <w:szCs w:val="24"/>
        </w:rPr>
        <w:t>About 21% of the portfolio consists of bonds with a maturity below 1-year, floating rate notes and short-term money market instruments which provide a further liquidity buffer for the portfolio.</w:t>
      </w:r>
    </w:p>
    <w:sectPr>
      <w:headerReference w:type="even" r:id="rId37"/>
      <w:headerReference w:type="default" r:id="rId38"/>
      <w:footerReference w:type="even" r:id="rId39"/>
      <w:footerReference w:type="default" r:id="rId40"/>
      <w:headerReference w:type="first" r:id="rId41"/>
      <w:footerReference w:type="first" r:id="rId42"/>
      <w:pgSz w:w="11906" w:h="16838" w:code="9"/>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03684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16324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CoverPage"/>
      <w:rPr>
        <w:rFonts w:ascii="Arial" w:hAnsi="Arial" w:cs="Arial"/>
        <w:b/>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08525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CoverPage"/>
      <w:rPr>
        <w:rFonts w:ascii="Arial" w:hAnsi="Arial" w:cs="Arial"/>
        <w:b/>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ind w:left="426" w:hanging="426"/>
      </w:pPr>
      <w:r>
        <w:rPr>
          <w:rStyle w:val="FootnoteReference"/>
        </w:rPr>
        <w:footnoteRef/>
      </w:r>
      <w:r>
        <w:t xml:space="preserve"> </w:t>
      </w:r>
      <w:r>
        <w:tab/>
        <w:t>The duration figure refers to 'modified duration' which measures the price sensitivity of a bond to interest rate movements.</w:t>
      </w:r>
    </w:p>
  </w:footnote>
  <w:footnote w:id="3">
    <w:p>
      <w:pPr>
        <w:pStyle w:val="FootnoteText"/>
        <w:ind w:left="426" w:hanging="426"/>
      </w:pPr>
      <w:r>
        <w:rPr>
          <w:rStyle w:val="FootnoteReference"/>
        </w:rPr>
        <w:footnoteRef/>
      </w:r>
      <w:r>
        <w:t xml:space="preserve"> </w:t>
      </w:r>
      <w:r>
        <w:tab/>
        <w:t>The average rating is calculated on the basis of portfolio’s average 1-year default probability.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D48"/>
    <w:multiLevelType w:val="multilevel"/>
    <w:tmpl w:val="550AD70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D844655"/>
    <w:multiLevelType w:val="hybridMultilevel"/>
    <w:tmpl w:val="CADE5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BE5458"/>
    <w:multiLevelType w:val="multilevel"/>
    <w:tmpl w:val="F076A3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61E2800"/>
    <w:multiLevelType w:val="multilevel"/>
    <w:tmpl w:val="0890B8C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98789C"/>
    <w:multiLevelType w:val="multilevel"/>
    <w:tmpl w:val="AC5CD59C"/>
    <w:lvl w:ilvl="0">
      <w:start w:val="4"/>
      <w:numFmt w:val="decimal"/>
      <w:lvlText w:val="%1."/>
      <w:lvlJc w:val="left"/>
      <w:pPr>
        <w:ind w:left="360" w:hanging="360"/>
      </w:pPr>
      <w:rPr>
        <w:rFonts w:hint="default"/>
      </w:rPr>
    </w:lvl>
    <w:lvl w:ilvl="1">
      <w:start w:val="2"/>
      <w:numFmt w:val="decimal"/>
      <w:lvlText w:val="%1.%2."/>
      <w:lvlJc w:val="left"/>
      <w:pPr>
        <w:ind w:left="716"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F63604C"/>
    <w:multiLevelType w:val="hybridMultilevel"/>
    <w:tmpl w:val="9516F46E"/>
    <w:lvl w:ilvl="0" w:tplc="81F40A62">
      <w:start w:val="1"/>
      <w:numFmt w:val="decimal"/>
      <w:pStyle w:val="Heading2"/>
      <w:lvlText w:val="2.%1"/>
      <w:lvlJc w:val="left"/>
      <w:pPr>
        <w:ind w:left="108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0CD0BCA"/>
    <w:multiLevelType w:val="multilevel"/>
    <w:tmpl w:val="550AD70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58219A8"/>
    <w:multiLevelType w:val="hybridMultilevel"/>
    <w:tmpl w:val="78467C6E"/>
    <w:lvl w:ilvl="0" w:tplc="F4F04442">
      <w:start w:val="1"/>
      <w:numFmt w:val="decimal"/>
      <w:lvlText w:val="4.%1"/>
      <w:lvlJc w:val="left"/>
      <w:pPr>
        <w:ind w:left="1080" w:hanging="360"/>
      </w:pPr>
      <w:rPr>
        <w:rFonts w:hint="default"/>
        <w:sz w:val="28"/>
        <w:szCs w:val="28"/>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3C221EF2"/>
    <w:multiLevelType w:val="multilevel"/>
    <w:tmpl w:val="FF889A66"/>
    <w:lvl w:ilvl="0">
      <w:start w:val="2"/>
      <w:numFmt w:val="decimal"/>
      <w:lvlText w:val="1.%1"/>
      <w:lvlJc w:val="left"/>
      <w:pPr>
        <w:ind w:left="72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CFA0C15"/>
    <w:multiLevelType w:val="hybridMultilevel"/>
    <w:tmpl w:val="48463BA2"/>
    <w:lvl w:ilvl="0" w:tplc="C73E09C8">
      <w:start w:val="1"/>
      <w:numFmt w:val="decimal"/>
      <w:pStyle w:val="Heading3"/>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0B94C93"/>
    <w:multiLevelType w:val="multilevel"/>
    <w:tmpl w:val="5F3CF5B4"/>
    <w:lvl w:ilvl="0">
      <w:start w:val="1"/>
      <w:numFmt w:val="decimal"/>
      <w:lvlText w:val="1.%1"/>
      <w:lvlJc w:val="left"/>
      <w:pPr>
        <w:ind w:left="72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36A6B88"/>
    <w:multiLevelType w:val="multilevel"/>
    <w:tmpl w:val="C02248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39142F0"/>
    <w:multiLevelType w:val="multilevel"/>
    <w:tmpl w:val="8BF23C98"/>
    <w:lvl w:ilvl="0">
      <w:start w:val="5"/>
      <w:numFmt w:val="decimal"/>
      <w:lvlText w:val="%1"/>
      <w:lvlJc w:val="left"/>
      <w:pPr>
        <w:ind w:left="372" w:hanging="372"/>
      </w:pPr>
      <w:rPr>
        <w:rFonts w:hint="default"/>
        <w:sz w:val="28"/>
      </w:rPr>
    </w:lvl>
    <w:lvl w:ilvl="1">
      <w:start w:val="1"/>
      <w:numFmt w:val="decimal"/>
      <w:lvlText w:val="%1.%2"/>
      <w:lvlJc w:val="left"/>
      <w:pPr>
        <w:ind w:left="1092" w:hanging="372"/>
      </w:pPr>
      <w:rPr>
        <w:rFonts w:hint="default"/>
        <w:sz w:val="28"/>
      </w:rPr>
    </w:lvl>
    <w:lvl w:ilvl="2">
      <w:start w:val="1"/>
      <w:numFmt w:val="decimal"/>
      <w:lvlText w:val="%1.%2.%3"/>
      <w:lvlJc w:val="left"/>
      <w:pPr>
        <w:ind w:left="2160" w:hanging="720"/>
      </w:pPr>
      <w:rPr>
        <w:rFonts w:hint="default"/>
        <w:sz w:val="28"/>
      </w:rPr>
    </w:lvl>
    <w:lvl w:ilvl="3">
      <w:start w:val="1"/>
      <w:numFmt w:val="decimal"/>
      <w:lvlText w:val="%1.%2.%3.%4"/>
      <w:lvlJc w:val="left"/>
      <w:pPr>
        <w:ind w:left="3240" w:hanging="108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5040" w:hanging="144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840" w:hanging="1800"/>
      </w:pPr>
      <w:rPr>
        <w:rFonts w:hint="default"/>
        <w:sz w:val="28"/>
      </w:rPr>
    </w:lvl>
    <w:lvl w:ilvl="8">
      <w:start w:val="1"/>
      <w:numFmt w:val="decimal"/>
      <w:lvlText w:val="%1.%2.%3.%4.%5.%6.%7.%8.%9"/>
      <w:lvlJc w:val="left"/>
      <w:pPr>
        <w:ind w:left="7560" w:hanging="1800"/>
      </w:pPr>
      <w:rPr>
        <w:rFonts w:hint="default"/>
        <w:sz w:val="28"/>
      </w:rPr>
    </w:lvl>
  </w:abstractNum>
  <w:abstractNum w:abstractNumId="13">
    <w:nsid w:val="44EB3521"/>
    <w:multiLevelType w:val="hybridMultilevel"/>
    <w:tmpl w:val="C60678FE"/>
    <w:lvl w:ilvl="0" w:tplc="0B6A3222">
      <w:start w:val="1"/>
      <w:numFmt w:val="decimal"/>
      <w:lvlText w:val="4.%1"/>
      <w:lvlJc w:val="left"/>
      <w:pPr>
        <w:ind w:left="108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E55463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0104AC6"/>
    <w:multiLevelType w:val="multilevel"/>
    <w:tmpl w:val="F63E4C9C"/>
    <w:lvl w:ilvl="0">
      <w:start w:val="1"/>
      <w:numFmt w:val="decimal"/>
      <w:pStyle w:val="Heading1"/>
      <w:lvlText w:val="%1."/>
      <w:lvlJc w:val="left"/>
      <w:pPr>
        <w:ind w:left="48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A1409FF"/>
    <w:multiLevelType w:val="multilevel"/>
    <w:tmpl w:val="74DA54FE"/>
    <w:lvl w:ilvl="0">
      <w:start w:val="5"/>
      <w:numFmt w:val="decimal"/>
      <w:lvlText w:val="%1"/>
      <w:lvlJc w:val="left"/>
      <w:pPr>
        <w:ind w:left="372" w:hanging="372"/>
      </w:pPr>
      <w:rPr>
        <w:rFonts w:hint="default"/>
        <w:sz w:val="28"/>
      </w:rPr>
    </w:lvl>
    <w:lvl w:ilvl="1">
      <w:start w:val="1"/>
      <w:numFmt w:val="decimal"/>
      <w:lvlText w:val="%1.%2"/>
      <w:lvlJc w:val="left"/>
      <w:pPr>
        <w:ind w:left="1452" w:hanging="372"/>
      </w:pPr>
      <w:rPr>
        <w:rFonts w:hint="default"/>
        <w:sz w:val="28"/>
      </w:rPr>
    </w:lvl>
    <w:lvl w:ilvl="2">
      <w:start w:val="1"/>
      <w:numFmt w:val="decimal"/>
      <w:lvlText w:val="%1.%2.%3"/>
      <w:lvlJc w:val="left"/>
      <w:pPr>
        <w:ind w:left="2880" w:hanging="720"/>
      </w:pPr>
      <w:rPr>
        <w:rFonts w:hint="default"/>
        <w:sz w:val="28"/>
      </w:rPr>
    </w:lvl>
    <w:lvl w:ilvl="3">
      <w:start w:val="1"/>
      <w:numFmt w:val="decimal"/>
      <w:lvlText w:val="%1.%2.%3.%4"/>
      <w:lvlJc w:val="left"/>
      <w:pPr>
        <w:ind w:left="4320" w:hanging="1080"/>
      </w:pPr>
      <w:rPr>
        <w:rFonts w:hint="default"/>
        <w:sz w:val="28"/>
      </w:rPr>
    </w:lvl>
    <w:lvl w:ilvl="4">
      <w:start w:val="1"/>
      <w:numFmt w:val="decimal"/>
      <w:lvlText w:val="%1.%2.%3.%4.%5"/>
      <w:lvlJc w:val="left"/>
      <w:pPr>
        <w:ind w:left="5400" w:hanging="1080"/>
      </w:pPr>
      <w:rPr>
        <w:rFonts w:hint="default"/>
        <w:sz w:val="28"/>
      </w:rPr>
    </w:lvl>
    <w:lvl w:ilvl="5">
      <w:start w:val="1"/>
      <w:numFmt w:val="decimal"/>
      <w:lvlText w:val="%1.%2.%3.%4.%5.%6"/>
      <w:lvlJc w:val="left"/>
      <w:pPr>
        <w:ind w:left="6840" w:hanging="1440"/>
      </w:pPr>
      <w:rPr>
        <w:rFonts w:hint="default"/>
        <w:sz w:val="28"/>
      </w:rPr>
    </w:lvl>
    <w:lvl w:ilvl="6">
      <w:start w:val="1"/>
      <w:numFmt w:val="decimal"/>
      <w:lvlText w:val="%1.%2.%3.%4.%5.%6.%7"/>
      <w:lvlJc w:val="left"/>
      <w:pPr>
        <w:ind w:left="7920" w:hanging="1440"/>
      </w:pPr>
      <w:rPr>
        <w:rFonts w:hint="default"/>
        <w:sz w:val="28"/>
      </w:rPr>
    </w:lvl>
    <w:lvl w:ilvl="7">
      <w:start w:val="1"/>
      <w:numFmt w:val="decimal"/>
      <w:lvlText w:val="%1.%2.%3.%4.%5.%6.%7.%8"/>
      <w:lvlJc w:val="left"/>
      <w:pPr>
        <w:ind w:left="9360" w:hanging="1800"/>
      </w:pPr>
      <w:rPr>
        <w:rFonts w:hint="default"/>
        <w:sz w:val="28"/>
      </w:rPr>
    </w:lvl>
    <w:lvl w:ilvl="8">
      <w:start w:val="1"/>
      <w:numFmt w:val="decimal"/>
      <w:lvlText w:val="%1.%2.%3.%4.%5.%6.%7.%8.%9"/>
      <w:lvlJc w:val="left"/>
      <w:pPr>
        <w:ind w:left="10440" w:hanging="1800"/>
      </w:pPr>
      <w:rPr>
        <w:rFonts w:hint="default"/>
        <w:sz w:val="28"/>
      </w:rPr>
    </w:lvl>
  </w:abstractNum>
  <w:abstractNum w:abstractNumId="17">
    <w:nsid w:val="5DBF3227"/>
    <w:multiLevelType w:val="hybridMultilevel"/>
    <w:tmpl w:val="877C0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E5A732B"/>
    <w:multiLevelType w:val="hybridMultilevel"/>
    <w:tmpl w:val="6F52263C"/>
    <w:lvl w:ilvl="0" w:tplc="E91ED8A4">
      <w:start w:val="1"/>
      <w:numFmt w:val="decimal"/>
      <w:lvlText w:val="4.%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6D4A0B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535501E"/>
    <w:multiLevelType w:val="multilevel"/>
    <w:tmpl w:val="D5A82D2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5C60AC0"/>
    <w:multiLevelType w:val="hybridMultilevel"/>
    <w:tmpl w:val="4914E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686461A"/>
    <w:multiLevelType w:val="multilevel"/>
    <w:tmpl w:val="1112458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F984DDE"/>
    <w:multiLevelType w:val="hybridMultilevel"/>
    <w:tmpl w:val="262A7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
  </w:num>
  <w:num w:numId="4">
    <w:abstractNumId w:val="11"/>
  </w:num>
  <w:num w:numId="5">
    <w:abstractNumId w:val="3"/>
  </w:num>
  <w:num w:numId="6">
    <w:abstractNumId w:val="17"/>
  </w:num>
  <w:num w:numId="7">
    <w:abstractNumId w:val="22"/>
  </w:num>
  <w:num w:numId="8">
    <w:abstractNumId w:val="6"/>
  </w:num>
  <w:num w:numId="9">
    <w:abstractNumId w:val="0"/>
  </w:num>
  <w:num w:numId="10">
    <w:abstractNumId w:val="14"/>
  </w:num>
  <w:num w:numId="11">
    <w:abstractNumId w:val="4"/>
  </w:num>
  <w:num w:numId="12">
    <w:abstractNumId w:val="20"/>
  </w:num>
  <w:num w:numId="13">
    <w:abstractNumId w:val="2"/>
  </w:num>
  <w:num w:numId="14">
    <w:abstractNumId w:val="10"/>
  </w:num>
  <w:num w:numId="15">
    <w:abstractNumId w:val="8"/>
  </w:num>
  <w:num w:numId="16">
    <w:abstractNumId w:val="18"/>
  </w:num>
  <w:num w:numId="17">
    <w:abstractNumId w:val="5"/>
  </w:num>
  <w:num w:numId="18">
    <w:abstractNumId w:val="5"/>
    <w:lvlOverride w:ilvl="0">
      <w:startOverride w:val="1"/>
    </w:lvlOverride>
  </w:num>
  <w:num w:numId="19">
    <w:abstractNumId w:val="9"/>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7"/>
  </w:num>
  <w:num w:numId="25">
    <w:abstractNumId w:val="15"/>
  </w:num>
  <w:num w:numId="26">
    <w:abstractNumId w:val="15"/>
  </w:num>
  <w:num w:numId="27">
    <w:abstractNumId w:val="23"/>
  </w:num>
  <w:num w:numId="28">
    <w:abstractNumId w:val="21"/>
  </w:num>
  <w:num w:numId="29">
    <w:abstractNumId w:val="13"/>
  </w:num>
  <w:num w:numId="30">
    <w:abstractNumId w:val="15"/>
  </w:num>
  <w:num w:numId="31">
    <w:abstractNumId w:val="12"/>
  </w:num>
  <w:num w:numId="32">
    <w:abstractNumId w:val="5"/>
    <w:lvlOverride w:ilvl="0">
      <w:startOverride w:val="5"/>
    </w:lvlOverride>
  </w:num>
  <w:num w:numId="33">
    <w:abstractNumId w:val="16"/>
  </w:num>
  <w:num w:numId="34">
    <w:abstractNumId w:val="15"/>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966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9388492D-C268-491A-8683-CFB449D424B3"/>
    <w:docVar w:name="LW_COVERPAGE_TYPE" w:val="1"/>
    <w:docVar w:name="LW_CROSSREFERENCE" w:val="{COM(2020) 385 final}"/>
    <w:docVar w:name="LW_DATE.ADOPT.CP_ISODATE" w:val="&lt;EMPTY&gt;"/>
    <w:docVar w:name="LW_DocType" w:val="NORMAL"/>
    <w:docVar w:name="LW_EMISSION" w:val="18.8.2020"/>
    <w:docVar w:name="LW_EMISSION_ISODATE" w:val="2020-08-18"/>
    <w:docVar w:name="LW_EMISSION_LOCATION" w:val="BRX"/>
    <w:docVar w:name="LW_EMISSION_PREFIX" w:val="Brussels, "/>
    <w:docVar w:name="LW_EMISSION_SUFFIX" w:val=" "/>
    <w:docVar w:name="LW_ID_DOCTYPE_NONLW" w:val="CP-025"/>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ON THE MANAGEMENT OF THE GUARANTEE FUND OF THE EUROPEAN FUND FOR STRATEGIC INVESTMENTS IN 2019"/>
    <w:docVar w:name="LW_PART_NBR" w:val="1"/>
    <w:docVar w:name="LW_PART_NBR_TOTAL" w:val="1"/>
    <w:docVar w:name="LW_REF.II.NEW.CP" w:val="&lt;UNUSED&gt;"/>
    <w:docVar w:name="LW_REF.II.NEW.CP_NUMBER" w:val="&lt;UNUSED&gt;"/>
    <w:docVar w:name="LW_REF.II.NEW.CP_YEAR" w:val="2020"/>
    <w:docVar w:name="LW_REF.INST.NEW" w:val="SWD"/>
    <w:docVar w:name="LW_REF.INST.NEW_ADOPTED" w:val="final"/>
    <w:docVar w:name="LW_REF.INST.NEW_TEXT" w:val="(2020) 1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REPORT FROM THE COMMISSION TO THE EUROPEAN PARLIAMENT, THE COUNCIL AND THE COURT OF AUDITOR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autoRedefine/>
    <w:uiPriority w:val="9"/>
    <w:qFormat/>
    <w:pPr>
      <w:keepNext/>
      <w:keepLines/>
      <w:numPr>
        <w:numId w:val="2"/>
      </w:numPr>
      <w:spacing w:before="480" w:after="60"/>
      <w:outlineLvl w:val="0"/>
    </w:pPr>
    <w:rPr>
      <w:rFonts w:asciiTheme="majorHAnsi" w:eastAsiaTheme="majorEastAsia" w:hAnsiTheme="majorHAnsi" w:cstheme="majorBidi"/>
      <w:b/>
      <w:bCs/>
      <w:smallCaps/>
      <w:noProof/>
      <w:color w:val="000000" w:themeColor="text1"/>
      <w:sz w:val="28"/>
      <w:szCs w:val="28"/>
    </w:rPr>
  </w:style>
  <w:style w:type="paragraph" w:styleId="Heading2">
    <w:name w:val="heading 2"/>
    <w:basedOn w:val="Normal"/>
    <w:next w:val="Normal"/>
    <w:link w:val="Heading2Char"/>
    <w:uiPriority w:val="9"/>
    <w:unhideWhenUsed/>
    <w:qFormat/>
    <w:pPr>
      <w:keepNext/>
      <w:keepLines/>
      <w:numPr>
        <w:numId w:val="17"/>
      </w:numPr>
      <w:spacing w:before="200"/>
      <w:outlineLvl w:val="1"/>
    </w:pPr>
    <w:rPr>
      <w:rFonts w:asciiTheme="majorHAnsi" w:eastAsiaTheme="majorEastAsia" w:hAnsiTheme="majorHAnsi" w:cstheme="majorBidi"/>
      <w:bCs/>
      <w:color w:val="000000" w:themeColor="text1"/>
      <w:sz w:val="28"/>
      <w:szCs w:val="26"/>
    </w:rPr>
  </w:style>
  <w:style w:type="paragraph" w:styleId="Heading3">
    <w:name w:val="heading 3"/>
    <w:basedOn w:val="Normal"/>
    <w:next w:val="Normal"/>
    <w:link w:val="Heading3Char"/>
    <w:uiPriority w:val="9"/>
    <w:unhideWhenUsed/>
    <w:qFormat/>
    <w:pPr>
      <w:keepNext/>
      <w:keepLines/>
      <w:numPr>
        <w:numId w:val="19"/>
      </w:numPr>
      <w:spacing w:before="200"/>
      <w:outlineLvl w:val="2"/>
    </w:pPr>
    <w:rPr>
      <w:rFonts w:asciiTheme="majorHAnsi" w:eastAsiaTheme="majorEastAsia" w:hAnsiTheme="majorHAnsi" w:cstheme="majorBidi"/>
      <w:bCs/>
      <w:smallCap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autoSpaceDE/>
      <w:autoSpaceDN/>
      <w:adjustRightInd/>
      <w:jc w:val="both"/>
    </w:pPr>
    <w:rPr>
      <w:rFonts w:eastAsiaTheme="minorHAnsi"/>
      <w:sz w:val="24"/>
      <w:szCs w:val="22"/>
      <w:lang w:eastAsia="en-US"/>
    </w:rPr>
  </w:style>
  <w:style w:type="paragraph" w:styleId="Header">
    <w:name w:val="header"/>
    <w:basedOn w:val="Normal"/>
    <w:link w:val="HeaderChar"/>
    <w:uiPriority w:val="99"/>
    <w:unhideWhenUsed/>
    <w:pPr>
      <w:widowControl/>
      <w:tabs>
        <w:tab w:val="center" w:pos="4535"/>
        <w:tab w:val="right" w:pos="9071"/>
      </w:tabs>
      <w:autoSpaceDE/>
      <w:autoSpaceDN/>
      <w:adjustRightInd/>
      <w:spacing w:after="120"/>
      <w:jc w:val="both"/>
    </w:pPr>
    <w:rPr>
      <w:rFonts w:eastAsiaTheme="minorHAnsi"/>
      <w:sz w:val="24"/>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widowControl/>
      <w:tabs>
        <w:tab w:val="center" w:pos="4535"/>
        <w:tab w:val="right" w:pos="9071"/>
        <w:tab w:val="right" w:pos="9921"/>
      </w:tabs>
      <w:autoSpaceDE/>
      <w:autoSpaceDN/>
      <w:adjustRightInd/>
      <w:spacing w:before="360"/>
      <w:ind w:left="-850" w:right="-850"/>
    </w:pPr>
    <w:rPr>
      <w:rFonts w:eastAsiaTheme="minorHAnsi"/>
      <w:sz w:val="24"/>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sz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eastAsia="en-GB"/>
    </w:rPr>
  </w:style>
  <w:style w:type="paragraph" w:customStyle="1" w:styleId="HeaderCoverPage">
    <w:name w:val="Header Cover Page"/>
    <w:basedOn w:val="Normal"/>
    <w:link w:val="HeaderCoverPageChar"/>
    <w:pPr>
      <w:tabs>
        <w:tab w:val="center" w:pos="4535"/>
        <w:tab w:val="right" w:pos="9071"/>
      </w:tabs>
      <w:spacing w:after="120"/>
      <w:jc w:val="both"/>
    </w:pPr>
    <w:rPr>
      <w:sz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eastAsia="en-GB"/>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unhideWhenUsed/>
    <w:qFormat/>
    <w:pPr>
      <w:spacing w:after="200"/>
    </w:pPr>
    <w:rPr>
      <w:b/>
      <w:bCs/>
      <w:color w:val="4F81BD" w:themeColor="accent1"/>
      <w:sz w:val="18"/>
      <w:szCs w:val="18"/>
    </w:rPr>
  </w:style>
  <w:style w:type="paragraph" w:customStyle="1" w:styleId="Text1">
    <w:name w:val="Text 1"/>
    <w:basedOn w:val="Normal"/>
    <w:link w:val="Text1Char"/>
    <w:pPr>
      <w:widowControl/>
      <w:autoSpaceDE/>
      <w:autoSpaceDN/>
      <w:adjustRightInd/>
      <w:spacing w:after="240"/>
      <w:ind w:left="482"/>
      <w:jc w:val="both"/>
    </w:pPr>
    <w:rPr>
      <w:sz w:val="24"/>
      <w:lang w:eastAsia="en-US"/>
    </w:rPr>
  </w:style>
  <w:style w:type="character" w:customStyle="1" w:styleId="Text1Char">
    <w:name w:val="Text 1 Char"/>
    <w:link w:val="Text1"/>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Text2">
    <w:name w:val="Text 2"/>
    <w:basedOn w:val="Normal"/>
    <w:pPr>
      <w:widowControl/>
      <w:tabs>
        <w:tab w:val="left" w:pos="2302"/>
      </w:tabs>
      <w:autoSpaceDE/>
      <w:autoSpaceDN/>
      <w:adjustRightInd/>
      <w:spacing w:after="240"/>
      <w:ind w:left="1202"/>
      <w:jc w:val="both"/>
    </w:pPr>
    <w:rPr>
      <w:sz w:val="24"/>
      <w:lang w:eastAsia="en-US"/>
    </w:rPr>
  </w:style>
  <w:style w:type="paragraph" w:styleId="Closing">
    <w:name w:val="Closing"/>
    <w:basedOn w:val="Normal"/>
    <w:next w:val="Signature"/>
    <w:link w:val="ClosingChar"/>
    <w:pPr>
      <w:widowControl/>
      <w:tabs>
        <w:tab w:val="left" w:pos="5103"/>
      </w:tabs>
      <w:autoSpaceDE/>
      <w:autoSpaceDN/>
      <w:adjustRightInd/>
      <w:spacing w:before="240" w:after="240"/>
      <w:ind w:left="5103"/>
    </w:pPr>
    <w:rPr>
      <w:sz w:val="24"/>
      <w:lang w:eastAsia="en-US"/>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Signature">
    <w:name w:val="Signature"/>
    <w:basedOn w:val="Normal"/>
    <w:link w:val="SignatureChar"/>
    <w:uiPriority w:val="99"/>
    <w:semiHidden/>
    <w:unhideWhenUsed/>
    <w:pPr>
      <w:ind w:left="4252"/>
    </w:pPr>
  </w:style>
  <w:style w:type="character" w:customStyle="1" w:styleId="SignatureChar">
    <w:name w:val="Signature Char"/>
    <w:basedOn w:val="DefaultParagraphFont"/>
    <w:link w:val="Signature"/>
    <w:uiPriority w:val="99"/>
    <w:semiHidden/>
    <w:rPr>
      <w:rFonts w:ascii="Times New Roman" w:eastAsia="Times New Roman" w:hAnsi="Times New Roman" w:cs="Times New Roman"/>
      <w:sz w:val="20"/>
      <w:szCs w:val="20"/>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eastAsia="Times New Roman" w:hAnsi="Times New Roman" w:cs="Times New Roman"/>
      <w:sz w:val="20"/>
      <w:szCs w:val="20"/>
      <w:lang w:eastAsia="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noProof/>
      <w:color w:val="000000" w:themeColor="text1"/>
      <w:sz w:val="28"/>
      <w:szCs w:val="28"/>
      <w:lang w:eastAsia="en-GB"/>
    </w:rPr>
  </w:style>
  <w:style w:type="paragraph" w:styleId="TOCHeading">
    <w:name w:val="TOC Heading"/>
    <w:basedOn w:val="Heading1"/>
    <w:next w:val="Normal"/>
    <w:uiPriority w:val="39"/>
    <w:unhideWhenUsed/>
    <w:qFormat/>
    <w:pPr>
      <w:widowControl/>
      <w:numPr>
        <w:numId w:val="0"/>
      </w:numPr>
      <w:autoSpaceDE/>
      <w:autoSpaceDN/>
      <w:adjustRightInd/>
      <w:spacing w:line="276" w:lineRule="auto"/>
      <w:outlineLvl w:val="9"/>
    </w:pPr>
    <w:rPr>
      <w:lang w:val="en-US" w:eastAsia="ja-JP"/>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000000" w:themeColor="text1"/>
      <w:sz w:val="28"/>
      <w:szCs w:val="26"/>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bCs/>
      <w:smallCaps/>
      <w:sz w:val="28"/>
      <w:szCs w:val="20"/>
      <w:lang w:eastAsia="en-GB"/>
    </w:rPr>
  </w:style>
  <w:style w:type="paragraph" w:styleId="TOC2">
    <w:name w:val="toc 2"/>
    <w:basedOn w:val="Normal"/>
    <w:next w:val="Normal"/>
    <w:autoRedefine/>
    <w:uiPriority w:val="39"/>
    <w:unhideWhenUsed/>
    <w:pPr>
      <w:tabs>
        <w:tab w:val="left" w:pos="880"/>
        <w:tab w:val="right" w:leader="dot" w:pos="9060"/>
      </w:tabs>
      <w:spacing w:after="100"/>
      <w:ind w:left="200" w:firstLine="226"/>
    </w:pPr>
  </w:style>
  <w:style w:type="paragraph" w:styleId="TOC3">
    <w:name w:val="toc 3"/>
    <w:basedOn w:val="Normal"/>
    <w:next w:val="Normal"/>
    <w:autoRedefine/>
    <w:uiPriority w:val="39"/>
    <w:unhideWhenUsed/>
    <w:pPr>
      <w:spacing w:after="100"/>
      <w:ind w:left="400"/>
    </w:pPr>
  </w:style>
  <w:style w:type="character" w:styleId="BookTitle">
    <w:name w:val="Book Title"/>
    <w:basedOn w:val="DefaultParagraphFont"/>
    <w:uiPriority w:val="33"/>
    <w:qFormat/>
    <w:rPr>
      <w:b/>
      <w:bCs/>
      <w:smallCaps/>
      <w:spacing w:val="5"/>
    </w:r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classification">
    <w:name w:val="Declassification"/>
    <w:basedOn w:val="Normal"/>
    <w:next w:val="Normal"/>
    <w:pPr>
      <w:widowControl/>
      <w:autoSpaceDE/>
      <w:autoSpaceDN/>
      <w:adjustRightInd/>
      <w:jc w:val="both"/>
    </w:pPr>
    <w:rPr>
      <w:rFonts w:eastAsiaTheme="minorHAnsi"/>
      <w:sz w:val="24"/>
      <w:szCs w:val="22"/>
      <w:lang w:eastAsia="en-US"/>
    </w:rPr>
  </w:style>
  <w:style w:type="paragraph" w:customStyle="1" w:styleId="HeaderLandscape">
    <w:name w:val="HeaderLandscape"/>
    <w:basedOn w:val="Normal"/>
    <w:pPr>
      <w:widowControl/>
      <w:tabs>
        <w:tab w:val="center" w:pos="7285"/>
        <w:tab w:val="right" w:pos="14003"/>
      </w:tabs>
      <w:autoSpaceDE/>
      <w:autoSpaceDN/>
      <w:adjustRightInd/>
      <w:spacing w:after="120"/>
      <w:jc w:val="both"/>
    </w:pPr>
    <w:rPr>
      <w:rFonts w:eastAsiaTheme="minorHAnsi"/>
      <w:sz w:val="24"/>
      <w:szCs w:val="22"/>
      <w:lang w:eastAsia="en-US"/>
    </w:rPr>
  </w:style>
  <w:style w:type="paragraph" w:customStyle="1" w:styleId="HeaderSensitivity">
    <w:name w:val="Header Sensitivity"/>
    <w:basedOn w:val="Normal"/>
    <w:pPr>
      <w:widowControl/>
      <w:pBdr>
        <w:top w:val="single" w:sz="4" w:space="1" w:color="auto"/>
        <w:left w:val="single" w:sz="4" w:space="4" w:color="auto"/>
        <w:bottom w:val="single" w:sz="4" w:space="1" w:color="auto"/>
        <w:right w:val="single" w:sz="4" w:space="4" w:color="auto"/>
      </w:pBdr>
      <w:autoSpaceDE/>
      <w:autoSpaceDN/>
      <w:adjustRightInd/>
      <w:spacing w:after="120"/>
      <w:ind w:left="113" w:right="113"/>
      <w:jc w:val="center"/>
    </w:pPr>
    <w:rPr>
      <w:b/>
      <w:sz w:val="32"/>
    </w:rPr>
  </w:style>
  <w:style w:type="paragraph" w:customStyle="1" w:styleId="FooterLandscape">
    <w:name w:val="FooterLandscape"/>
    <w:basedOn w:val="Normal"/>
    <w:pPr>
      <w:widowControl/>
      <w:tabs>
        <w:tab w:val="center" w:pos="7285"/>
        <w:tab w:val="center" w:pos="10913"/>
        <w:tab w:val="right" w:pos="15137"/>
      </w:tabs>
      <w:autoSpaceDE/>
      <w:autoSpaceDN/>
      <w:adjustRightInd/>
      <w:spacing w:before="360"/>
      <w:ind w:left="-567" w:right="-567"/>
    </w:pPr>
    <w:rPr>
      <w:rFonts w:eastAsiaTheme="minorHAnsi"/>
      <w:sz w:val="24"/>
      <w:szCs w:val="22"/>
      <w:lang w:eastAsia="en-US"/>
    </w:rPr>
  </w:style>
  <w:style w:type="paragraph" w:customStyle="1" w:styleId="FooterSensitivity">
    <w:name w:val="Footer Sensitivity"/>
    <w:basedOn w:val="Normal"/>
    <w:pPr>
      <w:widowControl/>
      <w:pBdr>
        <w:top w:val="single" w:sz="4" w:space="1" w:color="auto"/>
        <w:left w:val="single" w:sz="4" w:space="4" w:color="auto"/>
        <w:bottom w:val="single" w:sz="4" w:space="1" w:color="auto"/>
        <w:right w:val="single" w:sz="4" w:space="4" w:color="auto"/>
      </w:pBdr>
      <w:autoSpaceDE/>
      <w:autoSpaceDN/>
      <w:adjustRightInd/>
      <w:spacing w:before="360"/>
      <w:ind w:left="113" w:right="113"/>
      <w:jc w:val="center"/>
    </w:pPr>
    <w:rPr>
      <w:b/>
      <w:sz w:val="32"/>
    </w:rPr>
  </w:style>
  <w:style w:type="paragraph" w:customStyle="1" w:styleId="SecurityMarking">
    <w:name w:val="SecurityMarking"/>
    <w:basedOn w:val="Normal"/>
    <w:pPr>
      <w:widowControl/>
      <w:autoSpaceDE/>
      <w:autoSpaceDN/>
      <w:adjustRightInd/>
      <w:spacing w:line="276" w:lineRule="auto"/>
      <w:ind w:left="5103"/>
    </w:pPr>
    <w:rPr>
      <w:rFonts w:eastAsiaTheme="minorHAnsi"/>
      <w:sz w:val="28"/>
      <w:szCs w:val="22"/>
      <w:lang w:eastAsia="en-US"/>
    </w:rPr>
  </w:style>
  <w:style w:type="paragraph" w:customStyle="1" w:styleId="DateMarking">
    <w:name w:val="DateMarking"/>
    <w:basedOn w:val="Normal"/>
    <w:pPr>
      <w:widowControl/>
      <w:autoSpaceDE/>
      <w:autoSpaceDN/>
      <w:adjustRightInd/>
      <w:spacing w:line="276" w:lineRule="auto"/>
      <w:ind w:left="5103"/>
    </w:pPr>
    <w:rPr>
      <w:rFonts w:eastAsiaTheme="minorHAnsi"/>
      <w:i/>
      <w:sz w:val="28"/>
      <w:szCs w:val="22"/>
      <w:lang w:eastAsia="en-US"/>
    </w:rPr>
  </w:style>
  <w:style w:type="paragraph" w:customStyle="1" w:styleId="ReleasableTo">
    <w:name w:val="ReleasableTo"/>
    <w:basedOn w:val="Normal"/>
    <w:pPr>
      <w:widowControl/>
      <w:autoSpaceDE/>
      <w:autoSpaceDN/>
      <w:adjustRightInd/>
      <w:spacing w:line="276" w:lineRule="auto"/>
      <w:ind w:left="5103"/>
    </w:pPr>
    <w:rPr>
      <w:rFonts w:eastAsiaTheme="minorHAnsi"/>
      <w:i/>
      <w:sz w:val="28"/>
      <w:szCs w:val="22"/>
      <w:lang w:eastAsia="en-US"/>
    </w:rPr>
  </w:style>
  <w:style w:type="paragraph" w:customStyle="1" w:styleId="HeaderSensitivityRight">
    <w:name w:val="Header Sensitivity Right"/>
    <w:basedOn w:val="Normal"/>
    <w:pPr>
      <w:widowControl/>
      <w:autoSpaceDE/>
      <w:autoSpaceDN/>
      <w:adjustRightInd/>
      <w:spacing w:after="12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autoRedefine/>
    <w:uiPriority w:val="9"/>
    <w:qFormat/>
    <w:pPr>
      <w:keepNext/>
      <w:keepLines/>
      <w:numPr>
        <w:numId w:val="2"/>
      </w:numPr>
      <w:spacing w:before="480" w:after="60"/>
      <w:outlineLvl w:val="0"/>
    </w:pPr>
    <w:rPr>
      <w:rFonts w:asciiTheme="majorHAnsi" w:eastAsiaTheme="majorEastAsia" w:hAnsiTheme="majorHAnsi" w:cstheme="majorBidi"/>
      <w:b/>
      <w:bCs/>
      <w:smallCaps/>
      <w:noProof/>
      <w:color w:val="000000" w:themeColor="text1"/>
      <w:sz w:val="28"/>
      <w:szCs w:val="28"/>
    </w:rPr>
  </w:style>
  <w:style w:type="paragraph" w:styleId="Heading2">
    <w:name w:val="heading 2"/>
    <w:basedOn w:val="Normal"/>
    <w:next w:val="Normal"/>
    <w:link w:val="Heading2Char"/>
    <w:uiPriority w:val="9"/>
    <w:unhideWhenUsed/>
    <w:qFormat/>
    <w:pPr>
      <w:keepNext/>
      <w:keepLines/>
      <w:numPr>
        <w:numId w:val="17"/>
      </w:numPr>
      <w:spacing w:before="200"/>
      <w:outlineLvl w:val="1"/>
    </w:pPr>
    <w:rPr>
      <w:rFonts w:asciiTheme="majorHAnsi" w:eastAsiaTheme="majorEastAsia" w:hAnsiTheme="majorHAnsi" w:cstheme="majorBidi"/>
      <w:bCs/>
      <w:color w:val="000000" w:themeColor="text1"/>
      <w:sz w:val="28"/>
      <w:szCs w:val="26"/>
    </w:rPr>
  </w:style>
  <w:style w:type="paragraph" w:styleId="Heading3">
    <w:name w:val="heading 3"/>
    <w:basedOn w:val="Normal"/>
    <w:next w:val="Normal"/>
    <w:link w:val="Heading3Char"/>
    <w:uiPriority w:val="9"/>
    <w:unhideWhenUsed/>
    <w:qFormat/>
    <w:pPr>
      <w:keepNext/>
      <w:keepLines/>
      <w:numPr>
        <w:numId w:val="19"/>
      </w:numPr>
      <w:spacing w:before="200"/>
      <w:outlineLvl w:val="2"/>
    </w:pPr>
    <w:rPr>
      <w:rFonts w:asciiTheme="majorHAnsi" w:eastAsiaTheme="majorEastAsia" w:hAnsiTheme="majorHAnsi" w:cstheme="majorBidi"/>
      <w:bCs/>
      <w:smallCap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autoSpaceDE/>
      <w:autoSpaceDN/>
      <w:adjustRightInd/>
      <w:jc w:val="both"/>
    </w:pPr>
    <w:rPr>
      <w:rFonts w:eastAsiaTheme="minorHAnsi"/>
      <w:sz w:val="24"/>
      <w:szCs w:val="22"/>
      <w:lang w:eastAsia="en-US"/>
    </w:rPr>
  </w:style>
  <w:style w:type="paragraph" w:styleId="Header">
    <w:name w:val="header"/>
    <w:basedOn w:val="Normal"/>
    <w:link w:val="HeaderChar"/>
    <w:uiPriority w:val="99"/>
    <w:unhideWhenUsed/>
    <w:pPr>
      <w:widowControl/>
      <w:tabs>
        <w:tab w:val="center" w:pos="4535"/>
        <w:tab w:val="right" w:pos="9071"/>
      </w:tabs>
      <w:autoSpaceDE/>
      <w:autoSpaceDN/>
      <w:adjustRightInd/>
      <w:spacing w:after="120"/>
      <w:jc w:val="both"/>
    </w:pPr>
    <w:rPr>
      <w:rFonts w:eastAsiaTheme="minorHAnsi"/>
      <w:sz w:val="24"/>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widowControl/>
      <w:tabs>
        <w:tab w:val="center" w:pos="4535"/>
        <w:tab w:val="right" w:pos="9071"/>
        <w:tab w:val="right" w:pos="9921"/>
      </w:tabs>
      <w:autoSpaceDE/>
      <w:autoSpaceDN/>
      <w:adjustRightInd/>
      <w:spacing w:before="360"/>
      <w:ind w:left="-850" w:right="-850"/>
    </w:pPr>
    <w:rPr>
      <w:rFonts w:eastAsiaTheme="minorHAnsi"/>
      <w:sz w:val="24"/>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sz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eastAsia="en-GB"/>
    </w:rPr>
  </w:style>
  <w:style w:type="paragraph" w:customStyle="1" w:styleId="HeaderCoverPage">
    <w:name w:val="Header Cover Page"/>
    <w:basedOn w:val="Normal"/>
    <w:link w:val="HeaderCoverPageChar"/>
    <w:pPr>
      <w:tabs>
        <w:tab w:val="center" w:pos="4535"/>
        <w:tab w:val="right" w:pos="9071"/>
      </w:tabs>
      <w:spacing w:after="120"/>
      <w:jc w:val="both"/>
    </w:pPr>
    <w:rPr>
      <w:sz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eastAsia="en-GB"/>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unhideWhenUsed/>
    <w:qFormat/>
    <w:pPr>
      <w:spacing w:after="200"/>
    </w:pPr>
    <w:rPr>
      <w:b/>
      <w:bCs/>
      <w:color w:val="4F81BD" w:themeColor="accent1"/>
      <w:sz w:val="18"/>
      <w:szCs w:val="18"/>
    </w:rPr>
  </w:style>
  <w:style w:type="paragraph" w:customStyle="1" w:styleId="Text1">
    <w:name w:val="Text 1"/>
    <w:basedOn w:val="Normal"/>
    <w:link w:val="Text1Char"/>
    <w:pPr>
      <w:widowControl/>
      <w:autoSpaceDE/>
      <w:autoSpaceDN/>
      <w:adjustRightInd/>
      <w:spacing w:after="240"/>
      <w:ind w:left="482"/>
      <w:jc w:val="both"/>
    </w:pPr>
    <w:rPr>
      <w:sz w:val="24"/>
      <w:lang w:eastAsia="en-US"/>
    </w:rPr>
  </w:style>
  <w:style w:type="character" w:customStyle="1" w:styleId="Text1Char">
    <w:name w:val="Text 1 Char"/>
    <w:link w:val="Text1"/>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Text2">
    <w:name w:val="Text 2"/>
    <w:basedOn w:val="Normal"/>
    <w:pPr>
      <w:widowControl/>
      <w:tabs>
        <w:tab w:val="left" w:pos="2302"/>
      </w:tabs>
      <w:autoSpaceDE/>
      <w:autoSpaceDN/>
      <w:adjustRightInd/>
      <w:spacing w:after="240"/>
      <w:ind w:left="1202"/>
      <w:jc w:val="both"/>
    </w:pPr>
    <w:rPr>
      <w:sz w:val="24"/>
      <w:lang w:eastAsia="en-US"/>
    </w:rPr>
  </w:style>
  <w:style w:type="paragraph" w:styleId="Closing">
    <w:name w:val="Closing"/>
    <w:basedOn w:val="Normal"/>
    <w:next w:val="Signature"/>
    <w:link w:val="ClosingChar"/>
    <w:pPr>
      <w:widowControl/>
      <w:tabs>
        <w:tab w:val="left" w:pos="5103"/>
      </w:tabs>
      <w:autoSpaceDE/>
      <w:autoSpaceDN/>
      <w:adjustRightInd/>
      <w:spacing w:before="240" w:after="240"/>
      <w:ind w:left="5103"/>
    </w:pPr>
    <w:rPr>
      <w:sz w:val="24"/>
      <w:lang w:eastAsia="en-US"/>
    </w:r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Signature">
    <w:name w:val="Signature"/>
    <w:basedOn w:val="Normal"/>
    <w:link w:val="SignatureChar"/>
    <w:uiPriority w:val="99"/>
    <w:semiHidden/>
    <w:unhideWhenUsed/>
    <w:pPr>
      <w:ind w:left="4252"/>
    </w:pPr>
  </w:style>
  <w:style w:type="character" w:customStyle="1" w:styleId="SignatureChar">
    <w:name w:val="Signature Char"/>
    <w:basedOn w:val="DefaultParagraphFont"/>
    <w:link w:val="Signature"/>
    <w:uiPriority w:val="99"/>
    <w:semiHidden/>
    <w:rPr>
      <w:rFonts w:ascii="Times New Roman" w:eastAsia="Times New Roman" w:hAnsi="Times New Roman" w:cs="Times New Roman"/>
      <w:sz w:val="20"/>
      <w:szCs w:val="20"/>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eastAsia="Times New Roman" w:hAnsi="Times New Roman" w:cs="Times New Roman"/>
      <w:sz w:val="20"/>
      <w:szCs w:val="20"/>
      <w:lang w:eastAsia="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noProof/>
      <w:color w:val="000000" w:themeColor="text1"/>
      <w:sz w:val="28"/>
      <w:szCs w:val="28"/>
      <w:lang w:eastAsia="en-GB"/>
    </w:rPr>
  </w:style>
  <w:style w:type="paragraph" w:styleId="TOCHeading">
    <w:name w:val="TOC Heading"/>
    <w:basedOn w:val="Heading1"/>
    <w:next w:val="Normal"/>
    <w:uiPriority w:val="39"/>
    <w:unhideWhenUsed/>
    <w:qFormat/>
    <w:pPr>
      <w:widowControl/>
      <w:numPr>
        <w:numId w:val="0"/>
      </w:numPr>
      <w:autoSpaceDE/>
      <w:autoSpaceDN/>
      <w:adjustRightInd/>
      <w:spacing w:line="276" w:lineRule="auto"/>
      <w:outlineLvl w:val="9"/>
    </w:pPr>
    <w:rPr>
      <w:lang w:val="en-US" w:eastAsia="ja-JP"/>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000000" w:themeColor="text1"/>
      <w:sz w:val="28"/>
      <w:szCs w:val="26"/>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bCs/>
      <w:smallCaps/>
      <w:sz w:val="28"/>
      <w:szCs w:val="20"/>
      <w:lang w:eastAsia="en-GB"/>
    </w:rPr>
  </w:style>
  <w:style w:type="paragraph" w:styleId="TOC2">
    <w:name w:val="toc 2"/>
    <w:basedOn w:val="Normal"/>
    <w:next w:val="Normal"/>
    <w:autoRedefine/>
    <w:uiPriority w:val="39"/>
    <w:unhideWhenUsed/>
    <w:pPr>
      <w:tabs>
        <w:tab w:val="left" w:pos="880"/>
        <w:tab w:val="right" w:leader="dot" w:pos="9060"/>
      </w:tabs>
      <w:spacing w:after="100"/>
      <w:ind w:left="200" w:firstLine="226"/>
    </w:pPr>
  </w:style>
  <w:style w:type="paragraph" w:styleId="TOC3">
    <w:name w:val="toc 3"/>
    <w:basedOn w:val="Normal"/>
    <w:next w:val="Normal"/>
    <w:autoRedefine/>
    <w:uiPriority w:val="39"/>
    <w:unhideWhenUsed/>
    <w:pPr>
      <w:spacing w:after="100"/>
      <w:ind w:left="400"/>
    </w:pPr>
  </w:style>
  <w:style w:type="character" w:styleId="BookTitle">
    <w:name w:val="Book Title"/>
    <w:basedOn w:val="DefaultParagraphFont"/>
    <w:uiPriority w:val="33"/>
    <w:qFormat/>
    <w:rPr>
      <w:b/>
      <w:bCs/>
      <w:smallCaps/>
      <w:spacing w:val="5"/>
    </w:r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classification">
    <w:name w:val="Declassification"/>
    <w:basedOn w:val="Normal"/>
    <w:next w:val="Normal"/>
    <w:pPr>
      <w:widowControl/>
      <w:autoSpaceDE/>
      <w:autoSpaceDN/>
      <w:adjustRightInd/>
      <w:jc w:val="both"/>
    </w:pPr>
    <w:rPr>
      <w:rFonts w:eastAsiaTheme="minorHAnsi"/>
      <w:sz w:val="24"/>
      <w:szCs w:val="22"/>
      <w:lang w:eastAsia="en-US"/>
    </w:rPr>
  </w:style>
  <w:style w:type="paragraph" w:customStyle="1" w:styleId="HeaderLandscape">
    <w:name w:val="HeaderLandscape"/>
    <w:basedOn w:val="Normal"/>
    <w:pPr>
      <w:widowControl/>
      <w:tabs>
        <w:tab w:val="center" w:pos="7285"/>
        <w:tab w:val="right" w:pos="14003"/>
      </w:tabs>
      <w:autoSpaceDE/>
      <w:autoSpaceDN/>
      <w:adjustRightInd/>
      <w:spacing w:after="120"/>
      <w:jc w:val="both"/>
    </w:pPr>
    <w:rPr>
      <w:rFonts w:eastAsiaTheme="minorHAnsi"/>
      <w:sz w:val="24"/>
      <w:szCs w:val="22"/>
      <w:lang w:eastAsia="en-US"/>
    </w:rPr>
  </w:style>
  <w:style w:type="paragraph" w:customStyle="1" w:styleId="HeaderSensitivity">
    <w:name w:val="Header Sensitivity"/>
    <w:basedOn w:val="Normal"/>
    <w:pPr>
      <w:widowControl/>
      <w:pBdr>
        <w:top w:val="single" w:sz="4" w:space="1" w:color="auto"/>
        <w:left w:val="single" w:sz="4" w:space="4" w:color="auto"/>
        <w:bottom w:val="single" w:sz="4" w:space="1" w:color="auto"/>
        <w:right w:val="single" w:sz="4" w:space="4" w:color="auto"/>
      </w:pBdr>
      <w:autoSpaceDE/>
      <w:autoSpaceDN/>
      <w:adjustRightInd/>
      <w:spacing w:after="120"/>
      <w:ind w:left="113" w:right="113"/>
      <w:jc w:val="center"/>
    </w:pPr>
    <w:rPr>
      <w:b/>
      <w:sz w:val="32"/>
    </w:rPr>
  </w:style>
  <w:style w:type="paragraph" w:customStyle="1" w:styleId="FooterLandscape">
    <w:name w:val="FooterLandscape"/>
    <w:basedOn w:val="Normal"/>
    <w:pPr>
      <w:widowControl/>
      <w:tabs>
        <w:tab w:val="center" w:pos="7285"/>
        <w:tab w:val="center" w:pos="10913"/>
        <w:tab w:val="right" w:pos="15137"/>
      </w:tabs>
      <w:autoSpaceDE/>
      <w:autoSpaceDN/>
      <w:adjustRightInd/>
      <w:spacing w:before="360"/>
      <w:ind w:left="-567" w:right="-567"/>
    </w:pPr>
    <w:rPr>
      <w:rFonts w:eastAsiaTheme="minorHAnsi"/>
      <w:sz w:val="24"/>
      <w:szCs w:val="22"/>
      <w:lang w:eastAsia="en-US"/>
    </w:rPr>
  </w:style>
  <w:style w:type="paragraph" w:customStyle="1" w:styleId="FooterSensitivity">
    <w:name w:val="Footer Sensitivity"/>
    <w:basedOn w:val="Normal"/>
    <w:pPr>
      <w:widowControl/>
      <w:pBdr>
        <w:top w:val="single" w:sz="4" w:space="1" w:color="auto"/>
        <w:left w:val="single" w:sz="4" w:space="4" w:color="auto"/>
        <w:bottom w:val="single" w:sz="4" w:space="1" w:color="auto"/>
        <w:right w:val="single" w:sz="4" w:space="4" w:color="auto"/>
      </w:pBdr>
      <w:autoSpaceDE/>
      <w:autoSpaceDN/>
      <w:adjustRightInd/>
      <w:spacing w:before="360"/>
      <w:ind w:left="113" w:right="113"/>
      <w:jc w:val="center"/>
    </w:pPr>
    <w:rPr>
      <w:b/>
      <w:sz w:val="32"/>
    </w:rPr>
  </w:style>
  <w:style w:type="paragraph" w:customStyle="1" w:styleId="SecurityMarking">
    <w:name w:val="SecurityMarking"/>
    <w:basedOn w:val="Normal"/>
    <w:pPr>
      <w:widowControl/>
      <w:autoSpaceDE/>
      <w:autoSpaceDN/>
      <w:adjustRightInd/>
      <w:spacing w:line="276" w:lineRule="auto"/>
      <w:ind w:left="5103"/>
    </w:pPr>
    <w:rPr>
      <w:rFonts w:eastAsiaTheme="minorHAnsi"/>
      <w:sz w:val="28"/>
      <w:szCs w:val="22"/>
      <w:lang w:eastAsia="en-US"/>
    </w:rPr>
  </w:style>
  <w:style w:type="paragraph" w:customStyle="1" w:styleId="DateMarking">
    <w:name w:val="DateMarking"/>
    <w:basedOn w:val="Normal"/>
    <w:pPr>
      <w:widowControl/>
      <w:autoSpaceDE/>
      <w:autoSpaceDN/>
      <w:adjustRightInd/>
      <w:spacing w:line="276" w:lineRule="auto"/>
      <w:ind w:left="5103"/>
    </w:pPr>
    <w:rPr>
      <w:rFonts w:eastAsiaTheme="minorHAnsi"/>
      <w:i/>
      <w:sz w:val="28"/>
      <w:szCs w:val="22"/>
      <w:lang w:eastAsia="en-US"/>
    </w:rPr>
  </w:style>
  <w:style w:type="paragraph" w:customStyle="1" w:styleId="ReleasableTo">
    <w:name w:val="ReleasableTo"/>
    <w:basedOn w:val="Normal"/>
    <w:pPr>
      <w:widowControl/>
      <w:autoSpaceDE/>
      <w:autoSpaceDN/>
      <w:adjustRightInd/>
      <w:spacing w:line="276" w:lineRule="auto"/>
      <w:ind w:left="5103"/>
    </w:pPr>
    <w:rPr>
      <w:rFonts w:eastAsiaTheme="minorHAnsi"/>
      <w:i/>
      <w:sz w:val="28"/>
      <w:szCs w:val="22"/>
      <w:lang w:eastAsia="en-US"/>
    </w:rPr>
  </w:style>
  <w:style w:type="paragraph" w:customStyle="1" w:styleId="HeaderSensitivityRight">
    <w:name w:val="Header Sensitivity Right"/>
    <w:basedOn w:val="Normal"/>
    <w:pPr>
      <w:widowControl/>
      <w:autoSpaceDE/>
      <w:autoSpaceDN/>
      <w:adjustRightInd/>
      <w:spacing w:after="12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607684">
      <w:bodyDiv w:val="1"/>
      <w:marLeft w:val="0"/>
      <w:marRight w:val="0"/>
      <w:marTop w:val="0"/>
      <w:marBottom w:val="0"/>
      <w:divBdr>
        <w:top w:val="none" w:sz="0" w:space="0" w:color="auto"/>
        <w:left w:val="none" w:sz="0" w:space="0" w:color="auto"/>
        <w:bottom w:val="none" w:sz="0" w:space="0" w:color="auto"/>
        <w:right w:val="none" w:sz="0" w:space="0" w:color="auto"/>
      </w:divBdr>
    </w:div>
    <w:div w:id="1105543661">
      <w:bodyDiv w:val="1"/>
      <w:marLeft w:val="0"/>
      <w:marRight w:val="0"/>
      <w:marTop w:val="0"/>
      <w:marBottom w:val="0"/>
      <w:divBdr>
        <w:top w:val="none" w:sz="0" w:space="0" w:color="auto"/>
        <w:left w:val="none" w:sz="0" w:space="0" w:color="auto"/>
        <w:bottom w:val="none" w:sz="0" w:space="0" w:color="auto"/>
        <w:right w:val="none" w:sz="0" w:space="0" w:color="auto"/>
      </w:divBdr>
    </w:div>
    <w:div w:id="1163742039">
      <w:bodyDiv w:val="1"/>
      <w:marLeft w:val="0"/>
      <w:marRight w:val="0"/>
      <w:marTop w:val="0"/>
      <w:marBottom w:val="0"/>
      <w:divBdr>
        <w:top w:val="none" w:sz="0" w:space="0" w:color="auto"/>
        <w:left w:val="none" w:sz="0" w:space="0" w:color="auto"/>
        <w:bottom w:val="none" w:sz="0" w:space="0" w:color="auto"/>
        <w:right w:val="none" w:sz="0" w:space="0" w:color="auto"/>
      </w:divBdr>
    </w:div>
    <w:div w:id="1502503913">
      <w:bodyDiv w:val="1"/>
      <w:marLeft w:val="0"/>
      <w:marRight w:val="0"/>
      <w:marTop w:val="0"/>
      <w:marBottom w:val="0"/>
      <w:divBdr>
        <w:top w:val="none" w:sz="0" w:space="0" w:color="auto"/>
        <w:left w:val="none" w:sz="0" w:space="0" w:color="auto"/>
        <w:bottom w:val="none" w:sz="0" w:space="0" w:color="auto"/>
        <w:right w:val="none" w:sz="0" w:space="0" w:color="auto"/>
      </w:divBdr>
    </w:div>
    <w:div w:id="159478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image" Target="cid:image001.png@01D661E0.C9ECDB80" TargetMode="External"/><Relationship Id="rId42" Type="http://schemas.openxmlformats.org/officeDocument/2006/relationships/footer" Target="footer12.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image" Target="media/image4.gif"/><Relationship Id="rId38"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image" Target="media/image3.emf"/><Relationship Id="rId37" Type="http://schemas.openxmlformats.org/officeDocument/2006/relationships/header" Target="header10.xml"/><Relationship Id="rId40"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image" Target="media/image5.png"/><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image" Target="media/image2.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chart" Target="charts/chart1.xm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1D4C-4675-BC39-BDD46E4658A3}"/>
              </c:ext>
            </c:extLst>
          </c:dPt>
          <c:dPt>
            <c:idx val="1"/>
            <c:bubble3D val="0"/>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1D4C-4675-BC39-BDD46E4658A3}"/>
              </c:ext>
            </c:extLst>
          </c:dPt>
          <c:dPt>
            <c:idx val="2"/>
            <c:bubble3D val="0"/>
            <c:spPr>
              <a:solidFill>
                <a:schemeClr val="accent3"/>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1D4C-4675-BC39-BDD46E4658A3}"/>
              </c:ext>
            </c:extLst>
          </c:dPt>
          <c:dPt>
            <c:idx val="3"/>
            <c:bubble3D val="0"/>
            <c:spPr>
              <a:solidFill>
                <a:schemeClr val="accent4"/>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1D4C-4675-BC39-BDD46E4658A3}"/>
              </c:ext>
            </c:extLst>
          </c:dPt>
          <c:dPt>
            <c:idx val="4"/>
            <c:bubble3D val="0"/>
            <c:spPr>
              <a:solidFill>
                <a:schemeClr val="accent5"/>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1D4C-4675-BC39-BDD46E4658A3}"/>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1"/>
              <c:showCatName val="1"/>
              <c:showSerName val="0"/>
              <c:showPercent val="0"/>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1"/>
              <c:showCatName val="1"/>
              <c:showSerName val="0"/>
              <c:showPercent val="0"/>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1"/>
              <c:showCatName val="1"/>
              <c:showSerName val="0"/>
              <c:showPercent val="0"/>
              <c:showBubbleSize val="0"/>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'EFSI Working'!$A$195:$A$199</c:f>
              <c:strCache>
                <c:ptCount val="5"/>
                <c:pt idx="0">
                  <c:v>BB</c:v>
                </c:pt>
                <c:pt idx="1">
                  <c:v>BBB</c:v>
                </c:pt>
                <c:pt idx="2">
                  <c:v>A</c:v>
                </c:pt>
                <c:pt idx="3">
                  <c:v>AA</c:v>
                </c:pt>
                <c:pt idx="4">
                  <c:v>AAA</c:v>
                </c:pt>
              </c:strCache>
            </c:strRef>
          </c:cat>
          <c:val>
            <c:numRef>
              <c:f>'EFSI Working'!$C$195:$C$199</c:f>
              <c:numCache>
                <c:formatCode>0.00%</c:formatCode>
                <c:ptCount val="5"/>
                <c:pt idx="0">
                  <c:v>2.9635335893262428E-2</c:v>
                </c:pt>
                <c:pt idx="1">
                  <c:v>0.13866193424961498</c:v>
                </c:pt>
                <c:pt idx="2">
                  <c:v>0.26693851758965353</c:v>
                </c:pt>
                <c:pt idx="3">
                  <c:v>0.30048899820578262</c:v>
                </c:pt>
                <c:pt idx="4">
                  <c:v>0.26427521406168647</c:v>
                </c:pt>
              </c:numCache>
            </c:numRef>
          </c:val>
          <c:extLst xmlns:c16r2="http://schemas.microsoft.com/office/drawing/2015/06/chart">
            <c:ext xmlns:c16="http://schemas.microsoft.com/office/drawing/2014/chart" uri="{C3380CC4-5D6E-409C-BE32-E72D297353CC}">
              <c16:uniqueId val="{0000000A-1D4C-4675-BC39-BDD46E4658A3}"/>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B6DBBE4080A42C4C92384E6ED6E65D72" ma:contentTypeVersion="5" ma:contentTypeDescription="Create a new document in this library." ma:contentTypeScope="" ma:versionID="5df73a2c87b55813fd5254994540543a">
  <xsd:schema xmlns:xsd="http://www.w3.org/2001/XMLSchema" xmlns:xs="http://www.w3.org/2001/XMLSchema" xmlns:p="http://schemas.microsoft.com/office/2006/metadata/properties" xmlns:ns3="682a6ebd-b295-4efd-938e-7e26ec0e4a02" targetNamespace="http://schemas.microsoft.com/office/2006/metadata/properties" ma:root="true" ma:fieldsID="e00d8e8d473367c27dca0cc356b53803" ns3:_="">
    <xsd:import namespace="682a6ebd-b295-4efd-938e-7e26ec0e4a02"/>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element ref="ns3: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a6ebd-b295-4efd-938e-7e26ec0e4a0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element name="Target_x0020_Audiences" ma:index="18"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682a6ebd-b295-4efd-938e-7e26ec0e4a02">EN</EC_Collab_DocumentLanguage>
    <EC_Collab_Reference xmlns="682a6ebd-b295-4efd-938e-7e26ec0e4a02" xsi:nil="true"/>
    <EC_Collab_Status xmlns="682a6ebd-b295-4efd-938e-7e26ec0e4a02">Not Started</EC_Collab_Status>
    <EC_ARES_DATE_TRANSFERRED xmlns="682a6ebd-b295-4efd-938e-7e26ec0e4a02" xsi:nil="true"/>
    <EC_ARES_NUMBER xmlns="682a6ebd-b295-4efd-938e-7e26ec0e4a02">
      <Url xsi:nil="true"/>
      <Description xsi:nil="true"/>
    </EC_ARES_NUMBER>
    <Target_x0020_Audiences xmlns="682a6ebd-b295-4efd-938e-7e26ec0e4a02" xsi:nil="true"/>
    <EC_ARES_TRANSFERRED_BY xmlns="682a6ebd-b295-4efd-938e-7e26ec0e4a0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7C13F-F54F-4D48-83AB-70F9F0379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a6ebd-b295-4efd-938e-7e26ec0e4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80680-8166-4E4A-923D-3BEC263CB6D6}">
  <ds:schemaRefs>
    <ds:schemaRef ds:uri="http://schemas.microsoft.com/sharepoint/v3/contenttype/forms"/>
  </ds:schemaRefs>
</ds:datastoreItem>
</file>

<file path=customXml/itemProps3.xml><?xml version="1.0" encoding="utf-8"?>
<ds:datastoreItem xmlns:ds="http://schemas.openxmlformats.org/officeDocument/2006/customXml" ds:itemID="{F62E3112-1D22-4BAE-87C4-0846D351D5FA}">
  <ds:schemaRefs>
    <ds:schemaRef ds:uri="http://purl.org/dc/terms/"/>
    <ds:schemaRef ds:uri="http://schemas.microsoft.com/office/2006/documentManagement/types"/>
    <ds:schemaRef ds:uri="682a6ebd-b295-4efd-938e-7e26ec0e4a02"/>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6E060B5-3E9F-4E56-8F2B-2ED53B114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1527</Words>
  <Characters>7515</Characters>
  <Application>Microsoft Office Word</Application>
  <DocSecurity>0</DocSecurity>
  <Lines>417</Lines>
  <Paragraphs>273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2018-03-21T10:54:00Z</cp:lastPrinted>
  <dcterms:created xsi:type="dcterms:W3CDTF">2020-07-24T16:12:00Z</dcterms:created>
  <dcterms:modified xsi:type="dcterms:W3CDTF">2020-08-14T14:24:00Z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CP-025</vt:lpwstr>
  </property>
  <property fmtid="{D5CDD505-2E9C-101B-9397-08002B2CF9AE}" pid="9" name="_LW_INVALIDATED__LW_INVALIDATED__LW_INVALIDATED_ContentTypeId">
    <vt:lpwstr>0x010100258AA79CEB83498886A3A0868112325000B6DBBE4080A42C4C92384E6ED6E65D72</vt:lpwstr>
  </property>
</Properties>
</file>