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A0D1797E-C78E-48A6-96C1-1B6408075E6B" style="width:450.7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OCHeading"/>
        <w:rPr>
          <w:noProof/>
        </w:rPr>
      </w:pPr>
      <w:bookmarkStart w:id="1" w:name="_GoBack"/>
      <w:bookmarkEnd w:id="1"/>
      <w:r>
        <w:rPr>
          <w:noProof/>
        </w:rPr>
        <w:lastRenderedPageBreak/>
        <w:t>Table des matières</w:t>
      </w:r>
    </w:p>
    <w:p>
      <w:pPr>
        <w:pStyle w:val="TOC1"/>
        <w:rPr>
          <w:rFonts w:asciiTheme="minorHAnsi" w:eastAsiaTheme="minorEastAsia" w:hAnsiTheme="minorHAnsi" w:cstheme="minorBidi"/>
          <w:noProof/>
          <w:sz w:val="22"/>
          <w:lang w:val="en-US" w:eastAsia="en-US"/>
        </w:rPr>
      </w:pPr>
      <w:r>
        <w:rPr>
          <w:noProof/>
        </w:rPr>
        <w:fldChar w:fldCharType="begin"/>
      </w:r>
      <w:r>
        <w:rPr>
          <w:noProof/>
        </w:rPr>
        <w:instrText xml:space="preserve"> TOC \o "1-3" \h \z \u </w:instrText>
      </w:r>
      <w:r>
        <w:rPr>
          <w:noProof/>
        </w:rPr>
        <w:fldChar w:fldCharType="separate"/>
      </w:r>
      <w:hyperlink w:anchor="_Toc48126084" w:history="1">
        <w:r>
          <w:rPr>
            <w:rStyle w:val="Hyperlink"/>
            <w:b/>
            <w:smallCaps/>
            <w:noProof/>
          </w:rPr>
          <w:t>1.</w:t>
        </w:r>
        <w:r>
          <w:rPr>
            <w:rFonts w:asciiTheme="minorHAnsi" w:eastAsiaTheme="minorEastAsia" w:hAnsiTheme="minorHAnsi" w:cstheme="minorBidi"/>
            <w:noProof/>
            <w:sz w:val="22"/>
            <w:lang w:val="en-US" w:eastAsia="en-US"/>
          </w:rPr>
          <w:tab/>
        </w:r>
        <w:r>
          <w:rPr>
            <w:rStyle w:val="Hyperlink"/>
            <w:b/>
            <w:smallCaps/>
            <w:noProof/>
          </w:rPr>
          <w:t>Procédure budgétaire</w:t>
        </w:r>
        <w:r>
          <w:rPr>
            <w:noProof/>
            <w:webHidden/>
          </w:rPr>
          <w:tab/>
        </w:r>
        <w:r>
          <w:rPr>
            <w:noProof/>
            <w:webHidden/>
          </w:rPr>
          <w:fldChar w:fldCharType="begin"/>
        </w:r>
        <w:r>
          <w:rPr>
            <w:noProof/>
            <w:webHidden/>
          </w:rPr>
          <w:instrText xml:space="preserve"> PAGEREF _Toc48126084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en-US" w:eastAsia="en-US"/>
        </w:rPr>
      </w:pPr>
      <w:hyperlink w:anchor="_Toc48126085" w:history="1">
        <w:r>
          <w:rPr>
            <w:rStyle w:val="Hyperlink"/>
            <w:b/>
            <w:noProof/>
          </w:rPr>
          <w:t>1.1.</w:t>
        </w:r>
        <w:r>
          <w:rPr>
            <w:rFonts w:asciiTheme="minorHAnsi" w:eastAsiaTheme="minorEastAsia" w:hAnsiTheme="minorHAnsi" w:cstheme="minorBidi"/>
            <w:noProof/>
            <w:sz w:val="22"/>
            <w:lang w:val="en-US" w:eastAsia="en-US"/>
          </w:rPr>
          <w:tab/>
        </w:r>
        <w:r>
          <w:rPr>
            <w:rStyle w:val="Hyperlink"/>
            <w:b/>
            <w:noProof/>
          </w:rPr>
          <w:t>Cadre financier</w:t>
        </w:r>
        <w:r>
          <w:rPr>
            <w:noProof/>
            <w:webHidden/>
          </w:rPr>
          <w:tab/>
        </w:r>
        <w:r>
          <w:rPr>
            <w:noProof/>
            <w:webHidden/>
          </w:rPr>
          <w:fldChar w:fldCharType="begin"/>
        </w:r>
        <w:r>
          <w:rPr>
            <w:noProof/>
            <w:webHidden/>
          </w:rPr>
          <w:instrText xml:space="preserve"> PAGEREF _Toc48126085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en-US" w:eastAsia="en-US"/>
        </w:rPr>
      </w:pPr>
      <w:hyperlink w:anchor="_Toc48126086" w:history="1">
        <w:r>
          <w:rPr>
            <w:rStyle w:val="Hyperlink"/>
            <w:b/>
            <w:noProof/>
          </w:rPr>
          <w:t>1.2.</w:t>
        </w:r>
        <w:r>
          <w:rPr>
            <w:rFonts w:asciiTheme="minorHAnsi" w:eastAsiaTheme="minorEastAsia" w:hAnsiTheme="minorHAnsi" w:cstheme="minorBidi"/>
            <w:noProof/>
            <w:sz w:val="22"/>
            <w:lang w:val="en-US" w:eastAsia="en-US"/>
          </w:rPr>
          <w:tab/>
        </w:r>
        <w:r>
          <w:rPr>
            <w:rStyle w:val="Hyperlink"/>
            <w:b/>
            <w:noProof/>
          </w:rPr>
          <w:t>Projet de budget (PB) 2019</w:t>
        </w:r>
        <w:r>
          <w:rPr>
            <w:noProof/>
            <w:webHidden/>
          </w:rPr>
          <w:tab/>
        </w:r>
        <w:r>
          <w:rPr>
            <w:noProof/>
            <w:webHidden/>
          </w:rPr>
          <w:fldChar w:fldCharType="begin"/>
        </w:r>
        <w:r>
          <w:rPr>
            <w:noProof/>
            <w:webHidden/>
          </w:rPr>
          <w:instrText xml:space="preserve"> PAGEREF _Toc48126086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en-US" w:eastAsia="en-US"/>
        </w:rPr>
      </w:pPr>
      <w:hyperlink w:anchor="_Toc48126087" w:history="1">
        <w:r>
          <w:rPr>
            <w:rStyle w:val="Hyperlink"/>
            <w:b/>
            <w:noProof/>
          </w:rPr>
          <w:t>1.3.</w:t>
        </w:r>
        <w:r>
          <w:rPr>
            <w:rFonts w:asciiTheme="minorHAnsi" w:eastAsiaTheme="minorEastAsia" w:hAnsiTheme="minorHAnsi" w:cstheme="minorBidi"/>
            <w:noProof/>
            <w:sz w:val="22"/>
            <w:lang w:val="en-US" w:eastAsia="en-US"/>
          </w:rPr>
          <w:tab/>
        </w:r>
        <w:r>
          <w:rPr>
            <w:rStyle w:val="Hyperlink"/>
            <w:b/>
            <w:noProof/>
          </w:rPr>
          <w:t>Adoption du budget 2019</w:t>
        </w:r>
        <w:r>
          <w:rPr>
            <w:noProof/>
            <w:webHidden/>
          </w:rPr>
          <w:tab/>
        </w:r>
        <w:r>
          <w:rPr>
            <w:noProof/>
            <w:webHidden/>
          </w:rPr>
          <w:fldChar w:fldCharType="begin"/>
        </w:r>
        <w:r>
          <w:rPr>
            <w:noProof/>
            <w:webHidden/>
          </w:rPr>
          <w:instrText xml:space="preserve"> PAGEREF _Toc48126087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en-US" w:eastAsia="en-US"/>
        </w:rPr>
      </w:pPr>
      <w:hyperlink w:anchor="_Toc48126088" w:history="1">
        <w:r>
          <w:rPr>
            <w:rStyle w:val="Hyperlink"/>
            <w:b/>
            <w:noProof/>
          </w:rPr>
          <w:t>1.4.</w:t>
        </w:r>
        <w:r>
          <w:rPr>
            <w:rFonts w:asciiTheme="minorHAnsi" w:eastAsiaTheme="minorEastAsia" w:hAnsiTheme="minorHAnsi" w:cstheme="minorBidi"/>
            <w:noProof/>
            <w:sz w:val="22"/>
            <w:lang w:val="en-US" w:eastAsia="en-US"/>
          </w:rPr>
          <w:tab/>
        </w:r>
        <w:r>
          <w:rPr>
            <w:rStyle w:val="Hyperlink"/>
            <w:b/>
            <w:noProof/>
          </w:rPr>
          <w:t>Adoption des budgets rectificatifs</w:t>
        </w:r>
        <w:r>
          <w:rPr>
            <w:noProof/>
            <w:webHidden/>
          </w:rPr>
          <w:tab/>
        </w:r>
        <w:r>
          <w:rPr>
            <w:noProof/>
            <w:webHidden/>
          </w:rPr>
          <w:fldChar w:fldCharType="begin"/>
        </w:r>
        <w:r>
          <w:rPr>
            <w:noProof/>
            <w:webHidden/>
          </w:rPr>
          <w:instrText xml:space="preserve"> PAGEREF _Toc48126088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lang w:val="en-US" w:eastAsia="en-US"/>
        </w:rPr>
      </w:pPr>
      <w:hyperlink w:anchor="_Toc48126089" w:history="1">
        <w:r>
          <w:rPr>
            <w:rStyle w:val="Hyperlink"/>
            <w:b/>
            <w:smallCaps/>
            <w:noProof/>
          </w:rPr>
          <w:t>2.</w:t>
        </w:r>
        <w:r>
          <w:rPr>
            <w:rFonts w:asciiTheme="minorHAnsi" w:eastAsiaTheme="minorEastAsia" w:hAnsiTheme="minorHAnsi" w:cstheme="minorBidi"/>
            <w:noProof/>
            <w:sz w:val="22"/>
            <w:lang w:val="en-US" w:eastAsia="en-US"/>
          </w:rPr>
          <w:tab/>
        </w:r>
        <w:r>
          <w:rPr>
            <w:rStyle w:val="Hyperlink"/>
            <w:b/>
            <w:smallCaps/>
            <w:noProof/>
          </w:rPr>
          <w:t>Gestion des crédits</w:t>
        </w:r>
        <w:r>
          <w:rPr>
            <w:noProof/>
            <w:webHidden/>
          </w:rPr>
          <w:tab/>
        </w:r>
        <w:r>
          <w:rPr>
            <w:noProof/>
            <w:webHidden/>
          </w:rPr>
          <w:fldChar w:fldCharType="begin"/>
        </w:r>
        <w:r>
          <w:rPr>
            <w:noProof/>
            <w:webHidden/>
          </w:rPr>
          <w:instrText xml:space="preserve"> PAGEREF _Toc48126089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en-US" w:eastAsia="en-US"/>
        </w:rPr>
      </w:pPr>
      <w:hyperlink w:anchor="_Toc48126090" w:history="1">
        <w:r>
          <w:rPr>
            <w:rStyle w:val="Hyperlink"/>
            <w:b/>
            <w:noProof/>
          </w:rPr>
          <w:t>2.1.</w:t>
        </w:r>
        <w:r>
          <w:rPr>
            <w:rFonts w:asciiTheme="minorHAnsi" w:eastAsiaTheme="minorEastAsia" w:hAnsiTheme="minorHAnsi" w:cstheme="minorBidi"/>
            <w:noProof/>
            <w:sz w:val="22"/>
            <w:lang w:val="en-US" w:eastAsia="en-US"/>
          </w:rPr>
          <w:tab/>
        </w:r>
        <w:r>
          <w:rPr>
            <w:rStyle w:val="Hyperlink"/>
            <w:b/>
            <w:noProof/>
          </w:rPr>
          <w:t>Gestion des crédits d’engagement</w:t>
        </w:r>
        <w:r>
          <w:rPr>
            <w:noProof/>
            <w:webHidden/>
          </w:rPr>
          <w:tab/>
        </w:r>
        <w:r>
          <w:rPr>
            <w:noProof/>
            <w:webHidden/>
          </w:rPr>
          <w:fldChar w:fldCharType="begin"/>
        </w:r>
        <w:r>
          <w:rPr>
            <w:noProof/>
            <w:webHidden/>
          </w:rPr>
          <w:instrText xml:space="preserve"> PAGEREF _Toc48126090 \h </w:instrText>
        </w:r>
        <w:r>
          <w:rPr>
            <w:noProof/>
            <w:webHidden/>
          </w:rPr>
        </w:r>
        <w:r>
          <w:rPr>
            <w:noProof/>
            <w:webHidden/>
          </w:rPr>
          <w:fldChar w:fldCharType="separate"/>
        </w:r>
        <w:r>
          <w:rPr>
            <w:noProof/>
            <w:webHidden/>
          </w:rPr>
          <w:t>3</w:t>
        </w:r>
        <w:r>
          <w:rPr>
            <w:noProof/>
            <w:webHidden/>
          </w:rPr>
          <w:fldChar w:fldCharType="end"/>
        </w:r>
      </w:hyperlink>
    </w:p>
    <w:p>
      <w:pPr>
        <w:pStyle w:val="TOC3"/>
        <w:rPr>
          <w:rFonts w:asciiTheme="minorHAnsi" w:eastAsiaTheme="minorEastAsia" w:hAnsiTheme="minorHAnsi" w:cstheme="minorBidi"/>
          <w:noProof/>
          <w:sz w:val="22"/>
          <w:lang w:val="en-US" w:eastAsia="en-US"/>
        </w:rPr>
      </w:pPr>
      <w:hyperlink w:anchor="_Toc48126091" w:history="1">
        <w:r>
          <w:rPr>
            <w:rStyle w:val="Hyperlink"/>
            <w:i/>
            <w:noProof/>
          </w:rPr>
          <w:t>2.1.1.</w:t>
        </w:r>
        <w:r>
          <w:rPr>
            <w:rFonts w:asciiTheme="minorHAnsi" w:eastAsiaTheme="minorEastAsia" w:hAnsiTheme="minorHAnsi" w:cstheme="minorBidi"/>
            <w:noProof/>
            <w:sz w:val="22"/>
            <w:lang w:val="en-US" w:eastAsia="en-US"/>
          </w:rPr>
          <w:tab/>
        </w:r>
        <w:r>
          <w:rPr>
            <w:rStyle w:val="Hyperlink"/>
            <w:i/>
            <w:noProof/>
          </w:rPr>
          <w:t>Programmes de développement rural du Feader</w:t>
        </w:r>
        <w:r>
          <w:rPr>
            <w:noProof/>
            <w:webHidden/>
          </w:rPr>
          <w:tab/>
        </w:r>
        <w:r>
          <w:rPr>
            <w:noProof/>
            <w:webHidden/>
          </w:rPr>
          <w:fldChar w:fldCharType="begin"/>
        </w:r>
        <w:r>
          <w:rPr>
            <w:noProof/>
            <w:webHidden/>
          </w:rPr>
          <w:instrText xml:space="preserve"> PAGEREF _Toc48126091 \h </w:instrText>
        </w:r>
        <w:r>
          <w:rPr>
            <w:noProof/>
            <w:webHidden/>
          </w:rPr>
        </w:r>
        <w:r>
          <w:rPr>
            <w:noProof/>
            <w:webHidden/>
          </w:rPr>
          <w:fldChar w:fldCharType="separate"/>
        </w:r>
        <w:r>
          <w:rPr>
            <w:noProof/>
            <w:webHidden/>
          </w:rPr>
          <w:t>3</w:t>
        </w:r>
        <w:r>
          <w:rPr>
            <w:noProof/>
            <w:webHidden/>
          </w:rPr>
          <w:fldChar w:fldCharType="end"/>
        </w:r>
      </w:hyperlink>
    </w:p>
    <w:p>
      <w:pPr>
        <w:pStyle w:val="TOC3"/>
        <w:rPr>
          <w:rFonts w:asciiTheme="minorHAnsi" w:eastAsiaTheme="minorEastAsia" w:hAnsiTheme="minorHAnsi" w:cstheme="minorBidi"/>
          <w:noProof/>
          <w:sz w:val="22"/>
          <w:lang w:val="en-US" w:eastAsia="en-US"/>
        </w:rPr>
      </w:pPr>
      <w:hyperlink w:anchor="_Toc48126092" w:history="1">
        <w:r>
          <w:rPr>
            <w:rStyle w:val="Hyperlink"/>
            <w:i/>
            <w:noProof/>
          </w:rPr>
          <w:t>2.1.2.</w:t>
        </w:r>
        <w:r>
          <w:rPr>
            <w:rFonts w:asciiTheme="minorHAnsi" w:eastAsiaTheme="minorEastAsia" w:hAnsiTheme="minorHAnsi" w:cstheme="minorBidi"/>
            <w:noProof/>
            <w:sz w:val="22"/>
            <w:lang w:val="en-US" w:eastAsia="en-US"/>
          </w:rPr>
          <w:tab/>
        </w:r>
        <w:r>
          <w:rPr>
            <w:rStyle w:val="Hyperlink"/>
            <w:i/>
            <w:noProof/>
          </w:rPr>
          <w:t>Assistance technique</w:t>
        </w:r>
        <w:r>
          <w:rPr>
            <w:noProof/>
            <w:webHidden/>
          </w:rPr>
          <w:tab/>
        </w:r>
        <w:r>
          <w:rPr>
            <w:noProof/>
            <w:webHidden/>
          </w:rPr>
          <w:fldChar w:fldCharType="begin"/>
        </w:r>
        <w:r>
          <w:rPr>
            <w:noProof/>
            <w:webHidden/>
          </w:rPr>
          <w:instrText xml:space="preserve"> PAGEREF _Toc48126092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lang w:val="en-US" w:eastAsia="en-US"/>
        </w:rPr>
      </w:pPr>
      <w:hyperlink w:anchor="_Toc48126093" w:history="1">
        <w:r>
          <w:rPr>
            <w:rStyle w:val="Hyperlink"/>
            <w:b/>
            <w:noProof/>
          </w:rPr>
          <w:t>2.2.</w:t>
        </w:r>
        <w:r>
          <w:rPr>
            <w:rFonts w:asciiTheme="minorHAnsi" w:eastAsiaTheme="minorEastAsia" w:hAnsiTheme="minorHAnsi" w:cstheme="minorBidi"/>
            <w:noProof/>
            <w:sz w:val="22"/>
            <w:lang w:val="en-US" w:eastAsia="en-US"/>
          </w:rPr>
          <w:tab/>
        </w:r>
        <w:r>
          <w:rPr>
            <w:rStyle w:val="Hyperlink"/>
            <w:b/>
            <w:noProof/>
          </w:rPr>
          <w:t>Gestion des crédits de paiement</w:t>
        </w:r>
        <w:r>
          <w:rPr>
            <w:noProof/>
            <w:webHidden/>
          </w:rPr>
          <w:tab/>
        </w:r>
        <w:r>
          <w:rPr>
            <w:noProof/>
            <w:webHidden/>
          </w:rPr>
          <w:fldChar w:fldCharType="begin"/>
        </w:r>
        <w:r>
          <w:rPr>
            <w:noProof/>
            <w:webHidden/>
          </w:rPr>
          <w:instrText xml:space="preserve"> PAGEREF _Toc48126093 \h </w:instrText>
        </w:r>
        <w:r>
          <w:rPr>
            <w:noProof/>
            <w:webHidden/>
          </w:rPr>
        </w:r>
        <w:r>
          <w:rPr>
            <w:noProof/>
            <w:webHidden/>
          </w:rPr>
          <w:fldChar w:fldCharType="separate"/>
        </w:r>
        <w:r>
          <w:rPr>
            <w:noProof/>
            <w:webHidden/>
          </w:rPr>
          <w:t>4</w:t>
        </w:r>
        <w:r>
          <w:rPr>
            <w:noProof/>
            <w:webHidden/>
          </w:rPr>
          <w:fldChar w:fldCharType="end"/>
        </w:r>
      </w:hyperlink>
    </w:p>
    <w:p>
      <w:pPr>
        <w:pStyle w:val="TOC3"/>
        <w:rPr>
          <w:rFonts w:asciiTheme="minorHAnsi" w:eastAsiaTheme="minorEastAsia" w:hAnsiTheme="minorHAnsi" w:cstheme="minorBidi"/>
          <w:noProof/>
          <w:sz w:val="22"/>
          <w:lang w:val="en-US" w:eastAsia="en-US"/>
        </w:rPr>
      </w:pPr>
      <w:hyperlink w:anchor="_Toc48126094" w:history="1">
        <w:r>
          <w:rPr>
            <w:rStyle w:val="Hyperlink"/>
            <w:i/>
            <w:noProof/>
          </w:rPr>
          <w:t>2.2.1.</w:t>
        </w:r>
        <w:r>
          <w:rPr>
            <w:rFonts w:asciiTheme="minorHAnsi" w:eastAsiaTheme="minorEastAsia" w:hAnsiTheme="minorHAnsi" w:cstheme="minorBidi"/>
            <w:noProof/>
            <w:sz w:val="22"/>
            <w:lang w:val="en-US" w:eastAsia="en-US"/>
          </w:rPr>
          <w:tab/>
        </w:r>
        <w:r>
          <w:rPr>
            <w:rStyle w:val="Hyperlink"/>
            <w:i/>
            <w:noProof/>
          </w:rPr>
          <w:t>Programmes de développement rural du Feader</w:t>
        </w:r>
        <w:r>
          <w:rPr>
            <w:noProof/>
            <w:webHidden/>
          </w:rPr>
          <w:tab/>
        </w:r>
        <w:r>
          <w:rPr>
            <w:noProof/>
            <w:webHidden/>
          </w:rPr>
          <w:fldChar w:fldCharType="begin"/>
        </w:r>
        <w:r>
          <w:rPr>
            <w:noProof/>
            <w:webHidden/>
          </w:rPr>
          <w:instrText xml:space="preserve"> PAGEREF _Toc48126094 \h </w:instrText>
        </w:r>
        <w:r>
          <w:rPr>
            <w:noProof/>
            <w:webHidden/>
          </w:rPr>
        </w:r>
        <w:r>
          <w:rPr>
            <w:noProof/>
            <w:webHidden/>
          </w:rPr>
          <w:fldChar w:fldCharType="separate"/>
        </w:r>
        <w:r>
          <w:rPr>
            <w:noProof/>
            <w:webHidden/>
          </w:rPr>
          <w:t>4</w:t>
        </w:r>
        <w:r>
          <w:rPr>
            <w:noProof/>
            <w:webHidden/>
          </w:rPr>
          <w:fldChar w:fldCharType="end"/>
        </w:r>
      </w:hyperlink>
    </w:p>
    <w:p>
      <w:pPr>
        <w:pStyle w:val="TOC3"/>
        <w:rPr>
          <w:rFonts w:asciiTheme="minorHAnsi" w:eastAsiaTheme="minorEastAsia" w:hAnsiTheme="minorHAnsi" w:cstheme="minorBidi"/>
          <w:noProof/>
          <w:sz w:val="22"/>
          <w:lang w:val="en-US" w:eastAsia="en-US"/>
        </w:rPr>
      </w:pPr>
      <w:hyperlink w:anchor="_Toc48126095" w:history="1">
        <w:r>
          <w:rPr>
            <w:rStyle w:val="Hyperlink"/>
            <w:i/>
            <w:noProof/>
          </w:rPr>
          <w:t>2.2.2.</w:t>
        </w:r>
        <w:r>
          <w:rPr>
            <w:rFonts w:asciiTheme="minorHAnsi" w:eastAsiaTheme="minorEastAsia" w:hAnsiTheme="minorHAnsi" w:cstheme="minorBidi"/>
            <w:noProof/>
            <w:sz w:val="22"/>
            <w:lang w:val="en-US" w:eastAsia="en-US"/>
          </w:rPr>
          <w:tab/>
        </w:r>
        <w:r>
          <w:rPr>
            <w:rStyle w:val="Hyperlink"/>
            <w:i/>
            <w:noProof/>
          </w:rPr>
          <w:t>Assistance technique</w:t>
        </w:r>
        <w:r>
          <w:rPr>
            <w:noProof/>
            <w:webHidden/>
          </w:rPr>
          <w:tab/>
        </w:r>
        <w:r>
          <w:rPr>
            <w:noProof/>
            <w:webHidden/>
          </w:rPr>
          <w:fldChar w:fldCharType="begin"/>
        </w:r>
        <w:r>
          <w:rPr>
            <w:noProof/>
            <w:webHidden/>
          </w:rPr>
          <w:instrText xml:space="preserve"> PAGEREF _Toc48126095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lang w:val="en-US" w:eastAsia="en-US"/>
        </w:rPr>
      </w:pPr>
      <w:hyperlink w:anchor="_Toc48126096" w:history="1">
        <w:r>
          <w:rPr>
            <w:rStyle w:val="Hyperlink"/>
            <w:b/>
            <w:smallCaps/>
            <w:noProof/>
          </w:rPr>
          <w:t>3.</w:t>
        </w:r>
        <w:r>
          <w:rPr>
            <w:rFonts w:asciiTheme="minorHAnsi" w:eastAsiaTheme="minorEastAsia" w:hAnsiTheme="minorHAnsi" w:cstheme="minorBidi"/>
            <w:noProof/>
            <w:sz w:val="22"/>
            <w:lang w:val="en-US" w:eastAsia="en-US"/>
          </w:rPr>
          <w:tab/>
        </w:r>
        <w:r>
          <w:rPr>
            <w:rStyle w:val="Hyperlink"/>
            <w:b/>
            <w:smallCaps/>
            <w:noProof/>
          </w:rPr>
          <w:t>Exécution du budget 2019 du Feader</w:t>
        </w:r>
        <w:r>
          <w:rPr>
            <w:noProof/>
            <w:webHidden/>
          </w:rPr>
          <w:tab/>
        </w:r>
        <w:r>
          <w:rPr>
            <w:noProof/>
            <w:webHidden/>
          </w:rPr>
          <w:fldChar w:fldCharType="begin"/>
        </w:r>
        <w:r>
          <w:rPr>
            <w:noProof/>
            <w:webHidden/>
          </w:rPr>
          <w:instrText xml:space="preserve"> PAGEREF _Toc48126096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lang w:val="en-US" w:eastAsia="en-US"/>
        </w:rPr>
      </w:pPr>
      <w:hyperlink w:anchor="_Toc48126097" w:history="1">
        <w:r>
          <w:rPr>
            <w:rStyle w:val="Hyperlink"/>
            <w:b/>
            <w:noProof/>
          </w:rPr>
          <w:t>3.1.</w:t>
        </w:r>
        <w:r>
          <w:rPr>
            <w:rFonts w:asciiTheme="minorHAnsi" w:eastAsiaTheme="minorEastAsia" w:hAnsiTheme="minorHAnsi" w:cstheme="minorBidi"/>
            <w:noProof/>
            <w:sz w:val="22"/>
            <w:lang w:val="en-US" w:eastAsia="en-US"/>
          </w:rPr>
          <w:tab/>
        </w:r>
        <w:r>
          <w:rPr>
            <w:rStyle w:val="Hyperlink"/>
            <w:b/>
            <w:noProof/>
          </w:rPr>
          <w:t>Exécution des crédits d’engagement</w:t>
        </w:r>
        <w:r>
          <w:rPr>
            <w:noProof/>
            <w:webHidden/>
          </w:rPr>
          <w:tab/>
        </w:r>
        <w:r>
          <w:rPr>
            <w:noProof/>
            <w:webHidden/>
          </w:rPr>
          <w:fldChar w:fldCharType="begin"/>
        </w:r>
        <w:r>
          <w:rPr>
            <w:noProof/>
            <w:webHidden/>
          </w:rPr>
          <w:instrText xml:space="preserve"> PAGEREF _Toc48126097 \h </w:instrText>
        </w:r>
        <w:r>
          <w:rPr>
            <w:noProof/>
            <w:webHidden/>
          </w:rPr>
        </w:r>
        <w:r>
          <w:rPr>
            <w:noProof/>
            <w:webHidden/>
          </w:rPr>
          <w:fldChar w:fldCharType="separate"/>
        </w:r>
        <w:r>
          <w:rPr>
            <w:noProof/>
            <w:webHidden/>
          </w:rPr>
          <w:t>5</w:t>
        </w:r>
        <w:r>
          <w:rPr>
            <w:noProof/>
            <w:webHidden/>
          </w:rPr>
          <w:fldChar w:fldCharType="end"/>
        </w:r>
      </w:hyperlink>
    </w:p>
    <w:p>
      <w:pPr>
        <w:pStyle w:val="TOC3"/>
        <w:rPr>
          <w:rFonts w:asciiTheme="minorHAnsi" w:eastAsiaTheme="minorEastAsia" w:hAnsiTheme="minorHAnsi" w:cstheme="minorBidi"/>
          <w:noProof/>
          <w:sz w:val="22"/>
          <w:lang w:val="en-US" w:eastAsia="en-US"/>
        </w:rPr>
      </w:pPr>
      <w:hyperlink w:anchor="_Toc48126098" w:history="1">
        <w:r>
          <w:rPr>
            <w:rStyle w:val="Hyperlink"/>
            <w:i/>
            <w:noProof/>
          </w:rPr>
          <w:t>3.1.1.</w:t>
        </w:r>
        <w:r>
          <w:rPr>
            <w:rFonts w:asciiTheme="minorHAnsi" w:eastAsiaTheme="minorEastAsia" w:hAnsiTheme="minorHAnsi" w:cstheme="minorBidi"/>
            <w:noProof/>
            <w:sz w:val="22"/>
            <w:lang w:val="en-US" w:eastAsia="en-US"/>
          </w:rPr>
          <w:tab/>
        </w:r>
        <w:r>
          <w:rPr>
            <w:rStyle w:val="Hyperlink"/>
            <w:i/>
            <w:noProof/>
          </w:rPr>
          <w:t>Programmes de développement rural du Feader</w:t>
        </w:r>
        <w:r>
          <w:rPr>
            <w:noProof/>
            <w:webHidden/>
          </w:rPr>
          <w:tab/>
        </w:r>
        <w:r>
          <w:rPr>
            <w:noProof/>
            <w:webHidden/>
          </w:rPr>
          <w:fldChar w:fldCharType="begin"/>
        </w:r>
        <w:r>
          <w:rPr>
            <w:noProof/>
            <w:webHidden/>
          </w:rPr>
          <w:instrText xml:space="preserve"> PAGEREF _Toc48126098 \h </w:instrText>
        </w:r>
        <w:r>
          <w:rPr>
            <w:noProof/>
            <w:webHidden/>
          </w:rPr>
        </w:r>
        <w:r>
          <w:rPr>
            <w:noProof/>
            <w:webHidden/>
          </w:rPr>
          <w:fldChar w:fldCharType="separate"/>
        </w:r>
        <w:r>
          <w:rPr>
            <w:noProof/>
            <w:webHidden/>
          </w:rPr>
          <w:t>5</w:t>
        </w:r>
        <w:r>
          <w:rPr>
            <w:noProof/>
            <w:webHidden/>
          </w:rPr>
          <w:fldChar w:fldCharType="end"/>
        </w:r>
      </w:hyperlink>
    </w:p>
    <w:p>
      <w:pPr>
        <w:pStyle w:val="TOC3"/>
        <w:rPr>
          <w:rFonts w:asciiTheme="minorHAnsi" w:eastAsiaTheme="minorEastAsia" w:hAnsiTheme="minorHAnsi" w:cstheme="minorBidi"/>
          <w:noProof/>
          <w:sz w:val="22"/>
          <w:lang w:val="en-US" w:eastAsia="en-US"/>
        </w:rPr>
      </w:pPr>
      <w:hyperlink w:anchor="_Toc48126099" w:history="1">
        <w:r>
          <w:rPr>
            <w:rStyle w:val="Hyperlink"/>
            <w:i/>
            <w:noProof/>
          </w:rPr>
          <w:t>3.1.2.</w:t>
        </w:r>
        <w:r>
          <w:rPr>
            <w:rFonts w:asciiTheme="minorHAnsi" w:eastAsiaTheme="minorEastAsia" w:hAnsiTheme="minorHAnsi" w:cstheme="minorBidi"/>
            <w:noProof/>
            <w:sz w:val="22"/>
            <w:lang w:val="en-US" w:eastAsia="en-US"/>
          </w:rPr>
          <w:tab/>
        </w:r>
        <w:r>
          <w:rPr>
            <w:rStyle w:val="Hyperlink"/>
            <w:i/>
            <w:noProof/>
          </w:rPr>
          <w:t>Assistance technique</w:t>
        </w:r>
        <w:r>
          <w:rPr>
            <w:noProof/>
            <w:webHidden/>
          </w:rPr>
          <w:tab/>
        </w:r>
        <w:r>
          <w:rPr>
            <w:noProof/>
            <w:webHidden/>
          </w:rPr>
          <w:fldChar w:fldCharType="begin"/>
        </w:r>
        <w:r>
          <w:rPr>
            <w:noProof/>
            <w:webHidden/>
          </w:rPr>
          <w:instrText xml:space="preserve"> PAGEREF _Toc48126099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lang w:val="en-US" w:eastAsia="en-US"/>
        </w:rPr>
      </w:pPr>
      <w:hyperlink w:anchor="_Toc48126100" w:history="1">
        <w:r>
          <w:rPr>
            <w:rStyle w:val="Hyperlink"/>
            <w:b/>
            <w:noProof/>
          </w:rPr>
          <w:t>3.2.</w:t>
        </w:r>
        <w:r>
          <w:rPr>
            <w:rFonts w:asciiTheme="minorHAnsi" w:eastAsiaTheme="minorEastAsia" w:hAnsiTheme="minorHAnsi" w:cstheme="minorBidi"/>
            <w:noProof/>
            <w:sz w:val="22"/>
            <w:lang w:val="en-US" w:eastAsia="en-US"/>
          </w:rPr>
          <w:tab/>
        </w:r>
        <w:r>
          <w:rPr>
            <w:rStyle w:val="Hyperlink"/>
            <w:b/>
            <w:noProof/>
          </w:rPr>
          <w:t>Exécution des crédits de paiement</w:t>
        </w:r>
        <w:r>
          <w:rPr>
            <w:noProof/>
            <w:webHidden/>
          </w:rPr>
          <w:tab/>
        </w:r>
        <w:r>
          <w:rPr>
            <w:noProof/>
            <w:webHidden/>
          </w:rPr>
          <w:fldChar w:fldCharType="begin"/>
        </w:r>
        <w:r>
          <w:rPr>
            <w:noProof/>
            <w:webHidden/>
          </w:rPr>
          <w:instrText xml:space="preserve"> PAGEREF _Toc48126100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noProof/>
          <w:sz w:val="22"/>
          <w:lang w:val="en-US" w:eastAsia="en-US"/>
        </w:rPr>
      </w:pPr>
      <w:hyperlink w:anchor="_Toc48126101" w:history="1">
        <w:r>
          <w:rPr>
            <w:rStyle w:val="Hyperlink"/>
            <w:i/>
            <w:noProof/>
          </w:rPr>
          <w:t>3.2.1.</w:t>
        </w:r>
        <w:r>
          <w:rPr>
            <w:rFonts w:asciiTheme="minorHAnsi" w:eastAsiaTheme="minorEastAsia" w:hAnsiTheme="minorHAnsi" w:cstheme="minorBidi"/>
            <w:noProof/>
            <w:sz w:val="22"/>
            <w:lang w:val="en-US" w:eastAsia="en-US"/>
          </w:rPr>
          <w:tab/>
        </w:r>
        <w:r>
          <w:rPr>
            <w:rStyle w:val="Hyperlink"/>
            <w:i/>
            <w:noProof/>
          </w:rPr>
          <w:t>Programmes de développement rural du Feader</w:t>
        </w:r>
        <w:r>
          <w:rPr>
            <w:noProof/>
            <w:webHidden/>
          </w:rPr>
          <w:tab/>
        </w:r>
        <w:r>
          <w:rPr>
            <w:noProof/>
            <w:webHidden/>
          </w:rPr>
          <w:fldChar w:fldCharType="begin"/>
        </w:r>
        <w:r>
          <w:rPr>
            <w:noProof/>
            <w:webHidden/>
          </w:rPr>
          <w:instrText xml:space="preserve"> PAGEREF _Toc48126101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noProof/>
          <w:sz w:val="22"/>
          <w:lang w:val="en-US" w:eastAsia="en-US"/>
        </w:rPr>
      </w:pPr>
      <w:hyperlink w:anchor="_Toc48126102" w:history="1">
        <w:r>
          <w:rPr>
            <w:rStyle w:val="Hyperlink"/>
            <w:i/>
            <w:noProof/>
          </w:rPr>
          <w:t>3.2.2.</w:t>
        </w:r>
        <w:r>
          <w:rPr>
            <w:rFonts w:asciiTheme="minorHAnsi" w:eastAsiaTheme="minorEastAsia" w:hAnsiTheme="minorHAnsi" w:cstheme="minorBidi"/>
            <w:noProof/>
            <w:sz w:val="22"/>
            <w:lang w:val="en-US" w:eastAsia="en-US"/>
          </w:rPr>
          <w:tab/>
        </w:r>
        <w:r>
          <w:rPr>
            <w:rStyle w:val="Hyperlink"/>
            <w:i/>
            <w:noProof/>
          </w:rPr>
          <w:t>Assistance technique</w:t>
        </w:r>
        <w:r>
          <w:rPr>
            <w:noProof/>
            <w:webHidden/>
          </w:rPr>
          <w:tab/>
        </w:r>
        <w:r>
          <w:rPr>
            <w:noProof/>
            <w:webHidden/>
          </w:rPr>
          <w:fldChar w:fldCharType="begin"/>
        </w:r>
        <w:r>
          <w:rPr>
            <w:noProof/>
            <w:webHidden/>
          </w:rPr>
          <w:instrText xml:space="preserve"> PAGEREF _Toc48126102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noProof/>
          <w:sz w:val="22"/>
          <w:lang w:val="en-US" w:eastAsia="en-US"/>
        </w:rPr>
      </w:pPr>
      <w:hyperlink w:anchor="_Toc48126103" w:history="1">
        <w:r>
          <w:rPr>
            <w:rStyle w:val="Hyperlink"/>
            <w:b/>
            <w:noProof/>
          </w:rPr>
          <w:t>3.3.</w:t>
        </w:r>
        <w:r>
          <w:rPr>
            <w:rFonts w:asciiTheme="minorHAnsi" w:eastAsiaTheme="minorEastAsia" w:hAnsiTheme="minorHAnsi" w:cstheme="minorBidi"/>
            <w:noProof/>
            <w:sz w:val="22"/>
            <w:lang w:val="en-US" w:eastAsia="en-US"/>
          </w:rPr>
          <w:tab/>
        </w:r>
        <w:r>
          <w:rPr>
            <w:rStyle w:val="Hyperlink"/>
            <w:b/>
            <w:noProof/>
          </w:rPr>
          <w:t>Analyse des dépenses déclarées par mesure</w:t>
        </w:r>
        <w:r>
          <w:rPr>
            <w:noProof/>
            <w:webHidden/>
          </w:rPr>
          <w:tab/>
        </w:r>
        <w:r>
          <w:rPr>
            <w:noProof/>
            <w:webHidden/>
          </w:rPr>
          <w:fldChar w:fldCharType="begin"/>
        </w:r>
        <w:r>
          <w:rPr>
            <w:noProof/>
            <w:webHidden/>
          </w:rPr>
          <w:instrText xml:space="preserve"> PAGEREF _Toc48126103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noProof/>
          <w:sz w:val="22"/>
          <w:lang w:val="en-US" w:eastAsia="en-US"/>
        </w:rPr>
      </w:pPr>
      <w:hyperlink w:anchor="_Toc48126104" w:history="1">
        <w:r>
          <w:rPr>
            <w:rStyle w:val="Hyperlink"/>
            <w:b/>
            <w:noProof/>
          </w:rPr>
          <w:t>3.4.</w:t>
        </w:r>
        <w:r>
          <w:rPr>
            <w:rFonts w:asciiTheme="minorHAnsi" w:eastAsiaTheme="minorEastAsia" w:hAnsiTheme="minorHAnsi" w:cstheme="minorBidi"/>
            <w:noProof/>
            <w:sz w:val="22"/>
            <w:lang w:val="en-US" w:eastAsia="en-US"/>
          </w:rPr>
          <w:tab/>
        </w:r>
        <w:r>
          <w:rPr>
            <w:rStyle w:val="Hyperlink"/>
            <w:b/>
            <w:noProof/>
          </w:rPr>
          <w:t>Exécution des programmes du Feader</w:t>
        </w:r>
        <w:r>
          <w:rPr>
            <w:noProof/>
            <w:webHidden/>
          </w:rPr>
          <w:tab/>
        </w:r>
        <w:r>
          <w:rPr>
            <w:noProof/>
            <w:webHidden/>
          </w:rPr>
          <w:fldChar w:fldCharType="begin"/>
        </w:r>
        <w:r>
          <w:rPr>
            <w:noProof/>
            <w:webHidden/>
          </w:rPr>
          <w:instrText xml:space="preserve"> PAGEREF _Toc48126104 \h </w:instrText>
        </w:r>
        <w:r>
          <w:rPr>
            <w:noProof/>
            <w:webHidden/>
          </w:rPr>
        </w:r>
        <w:r>
          <w:rPr>
            <w:noProof/>
            <w:webHidden/>
          </w:rPr>
          <w:fldChar w:fldCharType="separate"/>
        </w:r>
        <w:r>
          <w:rPr>
            <w:noProof/>
            <w:webHidden/>
          </w:rPr>
          <w:t>14</w:t>
        </w:r>
        <w:r>
          <w:rPr>
            <w:noProof/>
            <w:webHidden/>
          </w:rPr>
          <w:fldChar w:fldCharType="end"/>
        </w:r>
      </w:hyperlink>
    </w:p>
    <w:p>
      <w:pPr>
        <w:pStyle w:val="TOC3"/>
        <w:rPr>
          <w:rFonts w:asciiTheme="minorHAnsi" w:eastAsiaTheme="minorEastAsia" w:hAnsiTheme="minorHAnsi" w:cstheme="minorBidi"/>
          <w:noProof/>
          <w:sz w:val="22"/>
          <w:lang w:val="en-US" w:eastAsia="en-US"/>
        </w:rPr>
      </w:pPr>
      <w:hyperlink w:anchor="_Toc48126105" w:history="1">
        <w:r>
          <w:rPr>
            <w:rStyle w:val="Hyperlink"/>
            <w:i/>
            <w:noProof/>
          </w:rPr>
          <w:t>3.4.1.</w:t>
        </w:r>
        <w:r>
          <w:rPr>
            <w:rFonts w:asciiTheme="minorHAnsi" w:eastAsiaTheme="minorEastAsia" w:hAnsiTheme="minorHAnsi" w:cstheme="minorBidi"/>
            <w:noProof/>
            <w:sz w:val="22"/>
            <w:lang w:val="en-US" w:eastAsia="en-US"/>
          </w:rPr>
          <w:tab/>
        </w:r>
        <w:r>
          <w:rPr>
            <w:rStyle w:val="Hyperlink"/>
            <w:i/>
            <w:noProof/>
          </w:rPr>
          <w:t>Période de programmation 2007-2013</w:t>
        </w:r>
        <w:r>
          <w:rPr>
            <w:noProof/>
            <w:webHidden/>
          </w:rPr>
          <w:tab/>
        </w:r>
        <w:r>
          <w:rPr>
            <w:noProof/>
            <w:webHidden/>
          </w:rPr>
          <w:fldChar w:fldCharType="begin"/>
        </w:r>
        <w:r>
          <w:rPr>
            <w:noProof/>
            <w:webHidden/>
          </w:rPr>
          <w:instrText xml:space="preserve"> PAGEREF _Toc48126105 \h </w:instrText>
        </w:r>
        <w:r>
          <w:rPr>
            <w:noProof/>
            <w:webHidden/>
          </w:rPr>
        </w:r>
        <w:r>
          <w:rPr>
            <w:noProof/>
            <w:webHidden/>
          </w:rPr>
          <w:fldChar w:fldCharType="separate"/>
        </w:r>
        <w:r>
          <w:rPr>
            <w:noProof/>
            <w:webHidden/>
          </w:rPr>
          <w:t>14</w:t>
        </w:r>
        <w:r>
          <w:rPr>
            <w:noProof/>
            <w:webHidden/>
          </w:rPr>
          <w:fldChar w:fldCharType="end"/>
        </w:r>
      </w:hyperlink>
    </w:p>
    <w:p>
      <w:pPr>
        <w:pStyle w:val="TOC3"/>
        <w:rPr>
          <w:rFonts w:asciiTheme="minorHAnsi" w:eastAsiaTheme="minorEastAsia" w:hAnsiTheme="minorHAnsi" w:cstheme="minorBidi"/>
          <w:noProof/>
          <w:sz w:val="22"/>
          <w:lang w:val="en-US" w:eastAsia="en-US"/>
        </w:rPr>
      </w:pPr>
      <w:hyperlink w:anchor="_Toc48126106" w:history="1">
        <w:r>
          <w:rPr>
            <w:rStyle w:val="Hyperlink"/>
            <w:i/>
            <w:noProof/>
          </w:rPr>
          <w:t>3.4.2.</w:t>
        </w:r>
        <w:r>
          <w:rPr>
            <w:rFonts w:asciiTheme="minorHAnsi" w:eastAsiaTheme="minorEastAsia" w:hAnsiTheme="minorHAnsi" w:cstheme="minorBidi"/>
            <w:noProof/>
            <w:sz w:val="22"/>
            <w:lang w:val="en-US" w:eastAsia="en-US"/>
          </w:rPr>
          <w:tab/>
        </w:r>
        <w:r>
          <w:rPr>
            <w:rStyle w:val="Hyperlink"/>
            <w:i/>
            <w:noProof/>
          </w:rPr>
          <w:t>Période de programmation 2014-2020</w:t>
        </w:r>
        <w:r>
          <w:rPr>
            <w:noProof/>
            <w:webHidden/>
          </w:rPr>
          <w:tab/>
        </w:r>
        <w:r>
          <w:rPr>
            <w:noProof/>
            <w:webHidden/>
          </w:rPr>
          <w:fldChar w:fldCharType="begin"/>
        </w:r>
        <w:r>
          <w:rPr>
            <w:noProof/>
            <w:webHidden/>
          </w:rPr>
          <w:instrText xml:space="preserve"> PAGEREF _Toc48126106 \h </w:instrText>
        </w:r>
        <w:r>
          <w:rPr>
            <w:noProof/>
            <w:webHidden/>
          </w:rPr>
        </w:r>
        <w:r>
          <w:rPr>
            <w:noProof/>
            <w:webHidden/>
          </w:rPr>
          <w:fldChar w:fldCharType="separate"/>
        </w:r>
        <w:r>
          <w:rPr>
            <w:noProof/>
            <w:webHidden/>
          </w:rPr>
          <w:t>14</w:t>
        </w:r>
        <w:r>
          <w:rPr>
            <w:noProof/>
            <w:webHidden/>
          </w:rPr>
          <w:fldChar w:fldCharType="end"/>
        </w:r>
      </w:hyperlink>
    </w:p>
    <w:p>
      <w:pPr>
        <w:rPr>
          <w:noProof/>
        </w:rPr>
      </w:pPr>
      <w:r>
        <w:rPr>
          <w:b/>
          <w:bCs/>
          <w:noProof/>
        </w:rPr>
        <w:fldChar w:fldCharType="end"/>
      </w:r>
    </w:p>
    <w:p>
      <w:pPr>
        <w:rPr>
          <w:noProof/>
          <w:lang w:val="fr-BE"/>
        </w:rPr>
      </w:pPr>
    </w:p>
    <w:p>
      <w:pPr>
        <w:rPr>
          <w:noProof/>
        </w:rPr>
      </w:pPr>
    </w:p>
    <w:p>
      <w:pPr>
        <w:rPr>
          <w:noProof/>
        </w:rPr>
      </w:pPr>
    </w:p>
    <w:p>
      <w:pPr>
        <w:rPr>
          <w:noProof/>
        </w:rPr>
      </w:pPr>
    </w:p>
    <w:p>
      <w:pPr>
        <w:rPr>
          <w:noProof/>
        </w:rPr>
      </w:pPr>
    </w:p>
    <w:p>
      <w:pPr>
        <w:rPr>
          <w:noProof/>
        </w:rPr>
      </w:pPr>
    </w:p>
    <w:p>
      <w:pPr>
        <w:rPr>
          <w:noProof/>
        </w:rPr>
      </w:pPr>
    </w:p>
    <w:p>
      <w:pPr>
        <w:rPr>
          <w:noProof/>
        </w:rPr>
      </w:pPr>
    </w:p>
    <w:p>
      <w:pPr>
        <w:keepNext/>
        <w:tabs>
          <w:tab w:val="left" w:pos="0"/>
          <w:tab w:val="left" w:pos="10080"/>
        </w:tabs>
        <w:spacing w:before="360" w:after="120" w:line="240" w:lineRule="auto"/>
        <w:ind w:left="850" w:hanging="850"/>
        <w:jc w:val="both"/>
        <w:outlineLvl w:val="0"/>
        <w:rPr>
          <w:rFonts w:ascii="Times New Roman" w:eastAsia="Times New Roman" w:hAnsi="Times New Roman" w:cs="Times New Roman"/>
          <w:b/>
          <w:smallCaps/>
          <w:noProof/>
          <w:sz w:val="24"/>
        </w:rPr>
      </w:pPr>
      <w:bookmarkStart w:id="2" w:name="_Toc331167057"/>
      <w:bookmarkStart w:id="3" w:name="_Toc393127465"/>
      <w:bookmarkStart w:id="4" w:name="_Toc48126084"/>
      <w:r>
        <w:rPr>
          <w:rFonts w:ascii="Times New Roman" w:hAnsi="Times New Roman"/>
          <w:b/>
          <w:smallCaps/>
          <w:noProof/>
          <w:sz w:val="24"/>
        </w:rPr>
        <w:t>1.</w:t>
      </w:r>
      <w:r>
        <w:rPr>
          <w:noProof/>
        </w:rPr>
        <w:tab/>
      </w:r>
      <w:r>
        <w:rPr>
          <w:rFonts w:ascii="Times New Roman" w:hAnsi="Times New Roman"/>
          <w:b/>
          <w:smallCaps/>
          <w:noProof/>
          <w:sz w:val="24"/>
        </w:rPr>
        <w:t>Procédure budgétaire</w:t>
      </w:r>
      <w:bookmarkEnd w:id="2"/>
      <w:bookmarkEnd w:id="3"/>
      <w:bookmarkEnd w:id="4"/>
    </w:p>
    <w:p>
      <w:pPr>
        <w:keepNext/>
        <w:tabs>
          <w:tab w:val="left" w:pos="0"/>
        </w:tabs>
        <w:spacing w:before="240" w:after="120" w:line="240" w:lineRule="auto"/>
        <w:ind w:left="850" w:hanging="850"/>
        <w:jc w:val="both"/>
        <w:outlineLvl w:val="1"/>
        <w:rPr>
          <w:rFonts w:ascii="Times New Roman" w:eastAsia="Times New Roman" w:hAnsi="Times New Roman" w:cs="Times New Roman"/>
          <w:b/>
          <w:noProof/>
          <w:sz w:val="24"/>
        </w:rPr>
      </w:pPr>
      <w:bookmarkStart w:id="5" w:name="_Toc331167058"/>
      <w:bookmarkStart w:id="6" w:name="_Toc393127466"/>
      <w:bookmarkStart w:id="7" w:name="_Toc48126085"/>
      <w:r>
        <w:rPr>
          <w:rFonts w:ascii="Times New Roman" w:hAnsi="Times New Roman"/>
          <w:b/>
          <w:noProof/>
          <w:sz w:val="24"/>
        </w:rPr>
        <w:t>1.1.</w:t>
      </w:r>
      <w:r>
        <w:rPr>
          <w:noProof/>
        </w:rPr>
        <w:tab/>
      </w:r>
      <w:r>
        <w:rPr>
          <w:rFonts w:ascii="Times New Roman" w:hAnsi="Times New Roman"/>
          <w:b/>
          <w:noProof/>
          <w:sz w:val="24"/>
        </w:rPr>
        <w:t>Cadre financier</w:t>
      </w:r>
      <w:bookmarkEnd w:id="5"/>
      <w:bookmarkEnd w:id="6"/>
      <w:bookmarkEnd w:id="7"/>
      <w:r>
        <w:rPr>
          <w:rFonts w:ascii="Times New Roman" w:hAnsi="Times New Roman"/>
          <w:b/>
          <w:noProof/>
          <w:sz w:val="24"/>
        </w:rPr>
        <w:t xml:space="preserve"> </w:t>
      </w:r>
    </w:p>
    <w:p>
      <w:pPr>
        <w:spacing w:before="120" w:after="120" w:line="240" w:lineRule="auto"/>
        <w:ind w:left="840" w:right="-49"/>
        <w:jc w:val="both"/>
        <w:rPr>
          <w:rFonts w:ascii="Times New Roman" w:eastAsia="Times New Roman" w:hAnsi="Times New Roman" w:cs="Times New Roman"/>
          <w:noProof/>
          <w:sz w:val="24"/>
        </w:rPr>
      </w:pPr>
      <w:r>
        <w:rPr>
          <w:rFonts w:ascii="Times New Roman" w:hAnsi="Times New Roman"/>
          <w:noProof/>
          <w:sz w:val="24"/>
        </w:rPr>
        <w:t>En 2019, le financement des dépenses de développement rural relève du cadre financier pluriannuel (CFP) 2014-2020. Le cadre financier est établi par le règlement (UE) nº 1311/2013 du Conseil. La dotation pour le développement rural et la dotation pour les dépenses relatives au marché et les paiements directs, après ajustement technique annuel du CFP, sont présentées dans le tableau 1.</w:t>
      </w:r>
    </w:p>
    <w:p>
      <w:pPr>
        <w:tabs>
          <w:tab w:val="left" w:pos="0"/>
        </w:tabs>
        <w:spacing w:before="120" w:after="120" w:line="240" w:lineRule="auto"/>
        <w:jc w:val="both"/>
        <w:rPr>
          <w:rFonts w:ascii="Times New Roman" w:eastAsia="Times New Roman" w:hAnsi="Times New Roman" w:cs="Times New Roman"/>
          <w:noProof/>
          <w:sz w:val="24"/>
        </w:rPr>
      </w:pPr>
      <w:bookmarkStart w:id="8" w:name="_Toc331167059"/>
      <w:bookmarkStart w:id="9" w:name="_Toc393127467"/>
    </w:p>
    <w:p>
      <w:pPr>
        <w:tabs>
          <w:tab w:val="left" w:pos="0"/>
        </w:tabs>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Tableau 1 — Cadre financier 2014-2020</w:t>
      </w:r>
    </w:p>
    <w:tbl>
      <w:tblPr>
        <w:tblW w:w="9273" w:type="dxa"/>
        <w:tblLayout w:type="fixed"/>
        <w:tblLook w:val="04A0" w:firstRow="1" w:lastRow="0" w:firstColumn="1" w:lastColumn="0" w:noHBand="0" w:noVBand="1"/>
      </w:tblPr>
      <w:tblGrid>
        <w:gridCol w:w="2857"/>
        <w:gridCol w:w="900"/>
        <w:gridCol w:w="900"/>
        <w:gridCol w:w="900"/>
        <w:gridCol w:w="900"/>
        <w:gridCol w:w="958"/>
        <w:gridCol w:w="958"/>
        <w:gridCol w:w="900"/>
      </w:tblGrid>
      <w:tr>
        <w:trPr>
          <w:trHeight w:val="270"/>
        </w:trPr>
        <w:tc>
          <w:tcPr>
            <w:tcW w:w="2857" w:type="dxa"/>
            <w:tcBorders>
              <w:top w:val="single" w:sz="8" w:space="0" w:color="auto"/>
              <w:left w:val="single" w:sz="8" w:space="0" w:color="auto"/>
              <w:right w:val="single" w:sz="8" w:space="0" w:color="auto"/>
            </w:tcBorders>
            <w:shd w:val="clear" w:color="000000" w:fill="FFFF99"/>
            <w:vAlign w:val="center"/>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RUBRIQUE 2.</w:t>
            </w:r>
          </w:p>
        </w:tc>
        <w:tc>
          <w:tcPr>
            <w:tcW w:w="6416" w:type="dxa"/>
            <w:gridSpan w:val="7"/>
            <w:tcBorders>
              <w:top w:val="single" w:sz="8" w:space="0" w:color="auto"/>
              <w:left w:val="nil"/>
              <w:bottom w:val="nil"/>
              <w:right w:val="single" w:sz="8" w:space="0" w:color="000000"/>
            </w:tcBorders>
            <w:shd w:val="clear" w:color="000000" w:fill="FFFF99"/>
            <w:vAlign w:val="center"/>
          </w:tcPr>
          <w:p>
            <w:pPr>
              <w:spacing w:after="0" w:line="240" w:lineRule="auto"/>
              <w:jc w:val="center"/>
              <w:rPr>
                <w:rFonts w:ascii="Times New Roman" w:eastAsia="Times New Roman" w:hAnsi="Times New Roman" w:cs="Times New Roman"/>
                <w:bCs/>
                <w:noProof/>
                <w:sz w:val="20"/>
                <w:szCs w:val="20"/>
              </w:rPr>
            </w:pPr>
            <w:r>
              <w:rPr>
                <w:rFonts w:ascii="Times New Roman" w:hAnsi="Times New Roman"/>
                <w:bCs/>
                <w:noProof/>
                <w:sz w:val="20"/>
                <w:szCs w:val="20"/>
              </w:rPr>
              <w:t>En millions d’EUR; prix courants</w:t>
            </w:r>
          </w:p>
        </w:tc>
      </w:tr>
      <w:tr>
        <w:trPr>
          <w:trHeight w:val="510"/>
        </w:trPr>
        <w:tc>
          <w:tcPr>
            <w:tcW w:w="2857" w:type="dxa"/>
            <w:tcBorders>
              <w:top w:val="nil"/>
              <w:left w:val="single" w:sz="8" w:space="0" w:color="auto"/>
              <w:bottom w:val="single" w:sz="4" w:space="0" w:color="auto"/>
              <w:right w:val="single" w:sz="8" w:space="0" w:color="auto"/>
            </w:tcBorders>
            <w:shd w:val="clear" w:color="000000" w:fill="FFFF99"/>
            <w:vAlign w:val="center"/>
          </w:tcPr>
          <w:p>
            <w:pPr>
              <w:spacing w:after="0" w:line="240" w:lineRule="auto"/>
              <w:rPr>
                <w:rFonts w:ascii="Times New Roman" w:eastAsia="Times New Roman" w:hAnsi="Times New Roman" w:cs="Times New Roman"/>
                <w:b/>
                <w:bCs/>
                <w:noProof/>
                <w:sz w:val="18"/>
                <w:szCs w:val="18"/>
              </w:rPr>
            </w:pPr>
            <w:r>
              <w:rPr>
                <w:rFonts w:ascii="Times New Roman" w:hAnsi="Times New Roman"/>
                <w:b/>
                <w:bCs/>
                <w:noProof/>
                <w:sz w:val="18"/>
                <w:szCs w:val="18"/>
              </w:rPr>
              <w:t>Croissance durable: ressources naturelles</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2014</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2015</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2016</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2017</w:t>
            </w:r>
          </w:p>
        </w:tc>
        <w:tc>
          <w:tcPr>
            <w:tcW w:w="958"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2018</w:t>
            </w:r>
          </w:p>
        </w:tc>
        <w:tc>
          <w:tcPr>
            <w:tcW w:w="958"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2019</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2020</w:t>
            </w:r>
          </w:p>
        </w:tc>
      </w:tr>
      <w:tr>
        <w:trPr>
          <w:trHeight w:val="375"/>
        </w:trPr>
        <w:tc>
          <w:tcPr>
            <w:tcW w:w="2857" w:type="dxa"/>
            <w:tcBorders>
              <w:top w:val="single" w:sz="4" w:space="0" w:color="auto"/>
              <w:left w:val="single" w:sz="8" w:space="0" w:color="auto"/>
              <w:bottom w:val="dotted" w:sz="4" w:space="0" w:color="auto"/>
              <w:right w:val="single" w:sz="8" w:space="0" w:color="auto"/>
            </w:tcBorders>
            <w:shd w:val="clear" w:color="auto" w:fill="auto"/>
            <w:vAlign w:val="center"/>
          </w:tcPr>
          <w:p>
            <w:pPr>
              <w:spacing w:after="0" w:line="240" w:lineRule="auto"/>
              <w:rPr>
                <w:rFonts w:ascii="Times New Roman" w:eastAsia="Times New Roman" w:hAnsi="Times New Roman" w:cs="Times New Roman"/>
                <w:b/>
                <w:bCs/>
                <w:noProof/>
                <w:sz w:val="18"/>
                <w:szCs w:val="18"/>
              </w:rPr>
            </w:pPr>
            <w:r>
              <w:rPr>
                <w:rFonts w:ascii="Times New Roman" w:hAnsi="Times New Roman"/>
                <w:b/>
                <w:bCs/>
                <w:noProof/>
                <w:sz w:val="18"/>
                <w:szCs w:val="18"/>
              </w:rPr>
              <w:t xml:space="preserve">TOTAL </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49 857</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64 692</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64 262</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60 191</w:t>
            </w:r>
          </w:p>
        </w:tc>
        <w:tc>
          <w:tcPr>
            <w:tcW w:w="958"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60 267</w:t>
            </w:r>
          </w:p>
        </w:tc>
        <w:tc>
          <w:tcPr>
            <w:tcW w:w="958"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60 344</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60 421</w:t>
            </w:r>
          </w:p>
        </w:tc>
      </w:tr>
      <w:tr>
        <w:trPr>
          <w:trHeight w:val="255"/>
        </w:trPr>
        <w:tc>
          <w:tcPr>
            <w:tcW w:w="9273" w:type="dxa"/>
            <w:gridSpan w:val="8"/>
            <w:tcBorders>
              <w:top w:val="dotted" w:sz="4" w:space="0" w:color="auto"/>
              <w:left w:val="single" w:sz="8" w:space="0" w:color="auto"/>
              <w:bottom w:val="dotted" w:sz="4" w:space="0" w:color="auto"/>
              <w:right w:val="single" w:sz="8" w:space="0" w:color="000000"/>
            </w:tcBorders>
            <w:shd w:val="clear" w:color="auto" w:fill="auto"/>
            <w:vAlign w:val="center"/>
          </w:tcPr>
          <w:p>
            <w:pPr>
              <w:spacing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dont:</w:t>
            </w:r>
          </w:p>
        </w:tc>
      </w:tr>
      <w:tr>
        <w:trPr>
          <w:trHeight w:val="540"/>
        </w:trPr>
        <w:tc>
          <w:tcPr>
            <w:tcW w:w="2857" w:type="dxa"/>
            <w:tcBorders>
              <w:top w:val="nil"/>
              <w:left w:val="single" w:sz="8" w:space="0" w:color="auto"/>
              <w:bottom w:val="dotted" w:sz="4" w:space="0" w:color="auto"/>
              <w:right w:val="single" w:sz="8" w:space="0" w:color="auto"/>
            </w:tcBorders>
            <w:shd w:val="clear" w:color="auto" w:fill="auto"/>
            <w:vAlign w:val="center"/>
          </w:tcPr>
          <w:p>
            <w:pPr>
              <w:spacing w:after="0" w:line="240" w:lineRule="auto"/>
              <w:rPr>
                <w:rFonts w:ascii="Times New Roman" w:eastAsia="Times New Roman" w:hAnsi="Times New Roman" w:cs="Times New Roman"/>
                <w:noProof/>
                <w:sz w:val="18"/>
                <w:szCs w:val="18"/>
              </w:rPr>
            </w:pPr>
            <w:r>
              <w:rPr>
                <w:rFonts w:ascii="Times New Roman" w:hAnsi="Times New Roman"/>
                <w:noProof/>
                <w:sz w:val="18"/>
                <w:szCs w:val="18"/>
              </w:rPr>
              <w:t xml:space="preserve">- Développement rural </w:t>
            </w:r>
            <w:r>
              <w:rPr>
                <w:rFonts w:ascii="Times New Roman" w:hAnsi="Times New Roman"/>
                <w:noProof/>
                <w:vertAlign w:val="superscript"/>
              </w:rPr>
              <w:t>a), b), c), d), e)</w:t>
            </w:r>
          </w:p>
        </w:tc>
        <w:tc>
          <w:tcPr>
            <w:tcW w:w="900" w:type="dxa"/>
            <w:tcBorders>
              <w:top w:val="nil"/>
              <w:left w:val="nil"/>
              <w:bottom w:val="dotted" w:sz="4"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rPr>
            </w:pPr>
            <w:r>
              <w:rPr>
                <w:rFonts w:ascii="Times New Roman" w:hAnsi="Times New Roman"/>
                <w:bCs/>
                <w:noProof/>
                <w:color w:val="000000"/>
                <w:sz w:val="18"/>
                <w:szCs w:val="18"/>
              </w:rPr>
              <w:t>5 298,9</w:t>
            </w:r>
          </w:p>
        </w:tc>
        <w:tc>
          <w:tcPr>
            <w:tcW w:w="900" w:type="dxa"/>
            <w:tcBorders>
              <w:top w:val="nil"/>
              <w:left w:val="nil"/>
              <w:bottom w:val="dotted" w:sz="4"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rPr>
            </w:pPr>
            <w:r>
              <w:rPr>
                <w:rFonts w:ascii="Times New Roman" w:hAnsi="Times New Roman"/>
                <w:bCs/>
                <w:noProof/>
                <w:color w:val="000000"/>
                <w:sz w:val="18"/>
                <w:szCs w:val="18"/>
              </w:rPr>
              <w:t>18 183,7</w:t>
            </w:r>
          </w:p>
        </w:tc>
        <w:tc>
          <w:tcPr>
            <w:tcW w:w="900" w:type="dxa"/>
            <w:tcBorders>
              <w:top w:val="nil"/>
              <w:left w:val="nil"/>
              <w:bottom w:val="dotted" w:sz="4"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rPr>
            </w:pPr>
            <w:r>
              <w:rPr>
                <w:rFonts w:ascii="Times New Roman" w:hAnsi="Times New Roman"/>
                <w:bCs/>
                <w:noProof/>
                <w:color w:val="000000"/>
                <w:sz w:val="18"/>
                <w:szCs w:val="18"/>
              </w:rPr>
              <w:t>18 683,7</w:t>
            </w:r>
          </w:p>
        </w:tc>
        <w:tc>
          <w:tcPr>
            <w:tcW w:w="900" w:type="dxa"/>
            <w:tcBorders>
              <w:top w:val="nil"/>
              <w:left w:val="nil"/>
              <w:bottom w:val="dotted" w:sz="4"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rPr>
            </w:pPr>
            <w:r>
              <w:rPr>
                <w:rFonts w:ascii="Times New Roman" w:hAnsi="Times New Roman"/>
                <w:bCs/>
                <w:noProof/>
                <w:color w:val="000000"/>
                <w:sz w:val="18"/>
                <w:szCs w:val="18"/>
              </w:rPr>
              <w:t>14 371,2</w:t>
            </w:r>
          </w:p>
        </w:tc>
        <w:tc>
          <w:tcPr>
            <w:tcW w:w="958" w:type="dxa"/>
            <w:tcBorders>
              <w:top w:val="nil"/>
              <w:left w:val="nil"/>
              <w:bottom w:val="dotted" w:sz="4"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rPr>
            </w:pPr>
            <w:r>
              <w:rPr>
                <w:rFonts w:ascii="Times New Roman" w:hAnsi="Times New Roman"/>
                <w:bCs/>
                <w:noProof/>
                <w:color w:val="000000"/>
                <w:sz w:val="18"/>
                <w:szCs w:val="18"/>
              </w:rPr>
              <w:t>14 381,0</w:t>
            </w:r>
          </w:p>
        </w:tc>
        <w:tc>
          <w:tcPr>
            <w:tcW w:w="958" w:type="dxa"/>
            <w:tcBorders>
              <w:top w:val="nil"/>
              <w:left w:val="nil"/>
              <w:bottom w:val="dotted" w:sz="4"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rPr>
            </w:pPr>
            <w:r>
              <w:rPr>
                <w:rFonts w:ascii="Times New Roman" w:hAnsi="Times New Roman"/>
                <w:bCs/>
                <w:noProof/>
                <w:color w:val="000000"/>
                <w:sz w:val="18"/>
                <w:szCs w:val="18"/>
              </w:rPr>
              <w:t>14 690,6</w:t>
            </w:r>
          </w:p>
        </w:tc>
        <w:tc>
          <w:tcPr>
            <w:tcW w:w="900" w:type="dxa"/>
            <w:tcBorders>
              <w:top w:val="nil"/>
              <w:left w:val="nil"/>
              <w:bottom w:val="dotted" w:sz="4"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rPr>
            </w:pPr>
            <w:r>
              <w:rPr>
                <w:rFonts w:ascii="Times New Roman" w:hAnsi="Times New Roman"/>
                <w:bCs/>
                <w:noProof/>
                <w:color w:val="000000"/>
                <w:sz w:val="18"/>
                <w:szCs w:val="18"/>
              </w:rPr>
              <w:t>14 709,4</w:t>
            </w:r>
          </w:p>
        </w:tc>
      </w:tr>
      <w:tr>
        <w:trPr>
          <w:trHeight w:val="630"/>
        </w:trPr>
        <w:tc>
          <w:tcPr>
            <w:tcW w:w="2857"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cs="Times New Roman"/>
                <w:noProof/>
                <w:sz w:val="18"/>
                <w:szCs w:val="18"/>
              </w:rPr>
            </w:pPr>
            <w:r>
              <w:rPr>
                <w:rFonts w:ascii="Times New Roman" w:hAnsi="Times New Roman"/>
                <w:noProof/>
                <w:sz w:val="18"/>
                <w:szCs w:val="18"/>
              </w:rPr>
              <w:t>- Dépenses relatives au marché et aux aides directes</w:t>
            </w:r>
            <w:r>
              <w:rPr>
                <w:rFonts w:ascii="Times New Roman" w:hAnsi="Times New Roman"/>
                <w:noProof/>
              </w:rPr>
              <w:t xml:space="preserve"> </w:t>
            </w:r>
            <w:r>
              <w:rPr>
                <w:rFonts w:ascii="Times New Roman" w:hAnsi="Times New Roman"/>
                <w:noProof/>
                <w:vertAlign w:val="superscript"/>
              </w:rPr>
              <w:t>a), b), c), d)</w:t>
            </w:r>
          </w:p>
        </w:tc>
        <w:tc>
          <w:tcPr>
            <w:tcW w:w="900" w:type="dxa"/>
            <w:tcBorders>
              <w:top w:val="nil"/>
              <w:left w:val="nil"/>
              <w:bottom w:val="single" w:sz="8"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rPr>
            </w:pPr>
            <w:r>
              <w:rPr>
                <w:rFonts w:ascii="Times New Roman" w:hAnsi="Times New Roman"/>
                <w:bCs/>
                <w:noProof/>
                <w:color w:val="000000"/>
                <w:sz w:val="18"/>
                <w:szCs w:val="18"/>
              </w:rPr>
              <w:t>43 778,1</w:t>
            </w:r>
          </w:p>
        </w:tc>
        <w:tc>
          <w:tcPr>
            <w:tcW w:w="900" w:type="dxa"/>
            <w:tcBorders>
              <w:top w:val="nil"/>
              <w:left w:val="nil"/>
              <w:bottom w:val="single" w:sz="8"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rPr>
            </w:pPr>
            <w:r>
              <w:rPr>
                <w:rFonts w:ascii="Times New Roman" w:hAnsi="Times New Roman"/>
                <w:bCs/>
                <w:noProof/>
                <w:color w:val="000000"/>
                <w:sz w:val="18"/>
                <w:szCs w:val="18"/>
              </w:rPr>
              <w:t>44 189,8</w:t>
            </w:r>
          </w:p>
        </w:tc>
        <w:tc>
          <w:tcPr>
            <w:tcW w:w="900" w:type="dxa"/>
            <w:tcBorders>
              <w:top w:val="nil"/>
              <w:left w:val="nil"/>
              <w:bottom w:val="single" w:sz="8"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rPr>
            </w:pPr>
            <w:r>
              <w:rPr>
                <w:rFonts w:ascii="Times New Roman" w:hAnsi="Times New Roman"/>
                <w:bCs/>
                <w:noProof/>
                <w:color w:val="000000"/>
                <w:sz w:val="18"/>
                <w:szCs w:val="18"/>
              </w:rPr>
              <w:t>43 950,2</w:t>
            </w:r>
          </w:p>
        </w:tc>
        <w:tc>
          <w:tcPr>
            <w:tcW w:w="900" w:type="dxa"/>
            <w:tcBorders>
              <w:top w:val="nil"/>
              <w:left w:val="nil"/>
              <w:bottom w:val="single" w:sz="8"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rPr>
            </w:pPr>
            <w:r>
              <w:rPr>
                <w:rFonts w:ascii="Times New Roman" w:hAnsi="Times New Roman"/>
                <w:bCs/>
                <w:noProof/>
                <w:color w:val="000000"/>
                <w:sz w:val="18"/>
                <w:szCs w:val="18"/>
              </w:rPr>
              <w:t>44 145,7</w:t>
            </w:r>
          </w:p>
        </w:tc>
        <w:tc>
          <w:tcPr>
            <w:tcW w:w="958" w:type="dxa"/>
            <w:tcBorders>
              <w:top w:val="nil"/>
              <w:left w:val="nil"/>
              <w:bottom w:val="single" w:sz="8"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rPr>
            </w:pPr>
            <w:r>
              <w:rPr>
                <w:rFonts w:ascii="Times New Roman" w:hAnsi="Times New Roman"/>
                <w:bCs/>
                <w:noProof/>
                <w:color w:val="000000"/>
                <w:sz w:val="18"/>
                <w:szCs w:val="18"/>
              </w:rPr>
              <w:t>44 162,4</w:t>
            </w:r>
          </w:p>
        </w:tc>
        <w:tc>
          <w:tcPr>
            <w:tcW w:w="958" w:type="dxa"/>
            <w:tcBorders>
              <w:top w:val="nil"/>
              <w:left w:val="nil"/>
              <w:bottom w:val="single" w:sz="8"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rPr>
            </w:pPr>
            <w:r>
              <w:rPr>
                <w:rFonts w:ascii="Times New Roman" w:hAnsi="Times New Roman"/>
                <w:bCs/>
                <w:noProof/>
                <w:color w:val="000000"/>
                <w:sz w:val="18"/>
                <w:szCs w:val="18"/>
              </w:rPr>
              <w:t>43 880,3</w:t>
            </w:r>
          </w:p>
        </w:tc>
        <w:tc>
          <w:tcPr>
            <w:tcW w:w="900" w:type="dxa"/>
            <w:tcBorders>
              <w:top w:val="nil"/>
              <w:left w:val="nil"/>
              <w:bottom w:val="single" w:sz="8"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rPr>
            </w:pPr>
            <w:r>
              <w:rPr>
                <w:rFonts w:ascii="Times New Roman" w:hAnsi="Times New Roman"/>
                <w:bCs/>
                <w:noProof/>
                <w:color w:val="000000"/>
                <w:sz w:val="18"/>
                <w:szCs w:val="18"/>
              </w:rPr>
              <w:t>43 887,1</w:t>
            </w:r>
          </w:p>
        </w:tc>
      </w:tr>
      <w:tr>
        <w:trPr>
          <w:trHeight w:val="255"/>
        </w:trPr>
        <w:tc>
          <w:tcPr>
            <w:tcW w:w="2857"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color w:val="FF0000"/>
                <w:sz w:val="20"/>
                <w:szCs w:val="20"/>
                <w:lang w:eastAsia="en-GB"/>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c>
          <w:tcPr>
            <w:tcW w:w="958"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c>
          <w:tcPr>
            <w:tcW w:w="958"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 après virement net de 351,9 millions d’EUR entre le FEAGA et le Feader pour l’exercice 2014 [voir note f) pour les détails]</w:t>
            </w:r>
          </w:p>
          <w:p>
            <w:pPr>
              <w:spacing w:after="0" w:line="240" w:lineRule="auto"/>
              <w:jc w:val="both"/>
              <w:rPr>
                <w:rFonts w:ascii="Times New Roman" w:eastAsia="Times New Roman" w:hAnsi="Times New Roman" w:cs="Times New Roman"/>
                <w:noProof/>
                <w:sz w:val="18"/>
                <w:szCs w:val="18"/>
                <w:lang w:eastAsia="en-GB"/>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b) après virement net de 51,6 millions d’EUR entre le FEAGA et le Feader pour l’exercice 2015 [voir note f) pour les détails]</w:t>
            </w:r>
          </w:p>
          <w:p>
            <w:pPr>
              <w:spacing w:after="0" w:line="240" w:lineRule="auto"/>
              <w:jc w:val="both"/>
              <w:rPr>
                <w:rFonts w:ascii="Times New Roman" w:eastAsia="Times New Roman" w:hAnsi="Times New Roman" w:cs="Times New Roman"/>
                <w:noProof/>
                <w:sz w:val="18"/>
                <w:szCs w:val="18"/>
                <w:lang w:eastAsia="en-GB"/>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c) après virement net de 28 millions d’EUR entre le FEAGA et le Feader pour les exercices 2014-2020 [voir note f) pour les détails] </w:t>
            </w:r>
          </w:p>
          <w:p>
            <w:pPr>
              <w:spacing w:after="0" w:line="240" w:lineRule="auto"/>
              <w:jc w:val="both"/>
              <w:rPr>
                <w:rFonts w:ascii="Times New Roman" w:eastAsia="Times New Roman" w:hAnsi="Times New Roman" w:cs="Times New Roman"/>
                <w:noProof/>
                <w:sz w:val="18"/>
                <w:szCs w:val="18"/>
                <w:lang w:eastAsia="en-GB"/>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d) après virement net de 4 313,9 millions d’EUR entre le FEAGA et le Feader pour les exercices 2015-2020 [voir note f) pour les détails]</w:t>
            </w:r>
          </w:p>
          <w:p>
            <w:pPr>
              <w:spacing w:after="0" w:line="240" w:lineRule="auto"/>
              <w:jc w:val="both"/>
              <w:rPr>
                <w:rFonts w:ascii="Times New Roman" w:eastAsia="Times New Roman" w:hAnsi="Times New Roman" w:cs="Times New Roman"/>
                <w:noProof/>
                <w:sz w:val="18"/>
                <w:szCs w:val="18"/>
                <w:lang w:eastAsia="en-GB"/>
              </w:rPr>
            </w:pPr>
          </w:p>
        </w:tc>
      </w:tr>
      <w:tr>
        <w:trPr>
          <w:trHeight w:val="255"/>
        </w:trPr>
        <w:tc>
          <w:tcPr>
            <w:tcW w:w="9273" w:type="dxa"/>
            <w:gridSpan w:val="8"/>
            <w:tcBorders>
              <w:top w:val="nil"/>
              <w:left w:val="nil"/>
              <w:bottom w:val="nil"/>
              <w:right w:val="nil"/>
            </w:tcBorders>
            <w:shd w:val="clear" w:color="auto" w:fill="auto"/>
            <w:noWrap/>
            <w:vAlign w:val="bottom"/>
          </w:tcPr>
          <w:p>
            <w:pPr>
              <w:autoSpaceDE w:val="0"/>
              <w:autoSpaceDN w:val="0"/>
              <w:adjustRightInd w:val="0"/>
              <w:spacing w:after="0" w:line="240" w:lineRule="auto"/>
              <w:rPr>
                <w:rFonts w:ascii="Times New Roman" w:eastAsia="Times New Roman" w:hAnsi="Times New Roman" w:cs="EUAlbertina"/>
                <w:noProof/>
                <w:sz w:val="18"/>
                <w:szCs w:val="18"/>
              </w:rPr>
            </w:pPr>
            <w:r>
              <w:rPr>
                <w:rFonts w:ascii="Times New Roman" w:hAnsi="Times New Roman"/>
                <w:noProof/>
                <w:sz w:val="18"/>
                <w:szCs w:val="18"/>
              </w:rPr>
              <w:t xml:space="preserve">e) après reprogrammation de la dotation du Feader pour l’année 2014 à la suite de l’application de l’article 19 du règlement </w:t>
            </w:r>
            <w:r>
              <w:rPr>
                <w:rFonts w:ascii="Times New Roman" w:hAnsi="Times New Roman"/>
                <w:noProof/>
                <w:sz w:val="18"/>
                <w:szCs w:val="18"/>
              </w:rPr>
              <w:lastRenderedPageBreak/>
              <w:t>(UE) n° 1311/2013 relatif au CFP, un montant total de 8 705 millions d’EUR prélevé sur les engagements de 2014 a été réparti de façon égale entre les engagements de 2015 et de 2016</w:t>
            </w: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cs="Times New Roman"/>
                <w:noProof/>
                <w:sz w:val="18"/>
                <w:szCs w:val="18"/>
                <w:lang w:eastAsia="en-GB"/>
              </w:rPr>
            </w:pPr>
          </w:p>
          <w:p>
            <w:pPr>
              <w:spacing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f) </w:t>
            </w:r>
            <w:r>
              <w:rPr>
                <w:rFonts w:ascii="Times New Roman" w:hAnsi="Times New Roman" w:cs="Times New Roman"/>
                <w:noProof/>
                <w:sz w:val="18"/>
                <w:szCs w:val="18"/>
              </w:rPr>
              <w:t>les virements vers le développement rural (Feader) mentionnés dans les notes a) à d) ci-dessus concernent: un montant de 4 millions d’EUR transféré annuellement à partir du secteur du coton (EL) pour l’ensemble de la période 2014-2020 sur la base de l’article 66, paragraphe 1, du règlement (UE) nº 1307/2013; un montant de 296,3 millions d’EUR retenu au titre de l’ajustement facultatif transféré pour l’exercice 2014 (UK) sur la base de l’article 10 </w:t>
            </w:r>
            <w:r>
              <w:rPr>
                <w:rFonts w:ascii="Times New Roman" w:hAnsi="Times New Roman" w:cs="Times New Roman"/>
                <w:i/>
                <w:iCs/>
                <w:noProof/>
                <w:sz w:val="18"/>
                <w:szCs w:val="18"/>
              </w:rPr>
              <w:t>ter</w:t>
            </w:r>
            <w:r>
              <w:rPr>
                <w:rFonts w:ascii="Times New Roman" w:hAnsi="Times New Roman" w:cs="Times New Roman"/>
                <w:noProof/>
                <w:sz w:val="18"/>
                <w:szCs w:val="18"/>
              </w:rPr>
              <w:t xml:space="preserve"> et de l’article 10 </w:t>
            </w:r>
            <w:r>
              <w:rPr>
                <w:rFonts w:ascii="Times New Roman" w:hAnsi="Times New Roman" w:cs="Times New Roman"/>
                <w:i/>
                <w:iCs/>
                <w:noProof/>
                <w:sz w:val="18"/>
                <w:szCs w:val="18"/>
              </w:rPr>
              <w:t>quater</w:t>
            </w:r>
            <w:r>
              <w:rPr>
                <w:rFonts w:ascii="Times New Roman" w:hAnsi="Times New Roman" w:cs="Times New Roman"/>
                <w:noProof/>
                <w:sz w:val="18"/>
                <w:szCs w:val="18"/>
              </w:rPr>
              <w:t xml:space="preserve">, paragraphe 2, du règlement (CE) n° 73/2009; un montant de 51,6 millions d’EUR pour les montants non dépensés, transféré chaque année pour les exercices 2014 et 2015 (SE et DE) sur la base des articles 136 et 136 </w:t>
            </w:r>
            <w:r>
              <w:rPr>
                <w:rFonts w:ascii="Times New Roman" w:hAnsi="Times New Roman" w:cs="Times New Roman"/>
                <w:i/>
                <w:iCs/>
                <w:noProof/>
                <w:sz w:val="18"/>
                <w:szCs w:val="18"/>
              </w:rPr>
              <w:t>ter</w:t>
            </w:r>
            <w:r>
              <w:rPr>
                <w:rFonts w:ascii="Times New Roman" w:hAnsi="Times New Roman" w:cs="Times New Roman"/>
                <w:noProof/>
                <w:sz w:val="18"/>
                <w:szCs w:val="18"/>
              </w:rPr>
              <w:t xml:space="preserve"> du règlement (CE) n° 73/2009; et un montant de 4 313,9 millions d’EUR au titre de la réduction des paiements et de la flexibilité entre les piliers sur la base de l’article 7, paragraphe 2, et de l’article 14, paragraphe 1, du règlement (UE) n° 1307/2013.</w:t>
            </w:r>
          </w:p>
          <w:p>
            <w:pPr>
              <w:spacing w:after="0" w:line="240" w:lineRule="auto"/>
              <w:jc w:val="both"/>
              <w:rPr>
                <w:rFonts w:ascii="Times New Roman" w:eastAsia="Times New Roman" w:hAnsi="Times New Roman" w:cs="Times New Roman"/>
                <w:noProof/>
                <w:sz w:val="18"/>
                <w:szCs w:val="18"/>
                <w:lang w:eastAsia="en-GB"/>
              </w:rPr>
            </w:pPr>
          </w:p>
        </w:tc>
      </w:tr>
    </w:tbl>
    <w:p>
      <w:pPr>
        <w:keepNext/>
        <w:tabs>
          <w:tab w:val="left" w:pos="850"/>
        </w:tabs>
        <w:spacing w:before="240" w:after="120" w:line="240" w:lineRule="auto"/>
        <w:ind w:left="850" w:hanging="850"/>
        <w:jc w:val="both"/>
        <w:outlineLvl w:val="1"/>
        <w:rPr>
          <w:rFonts w:ascii="Times New Roman" w:eastAsia="Times New Roman" w:hAnsi="Times New Roman" w:cs="Times New Roman"/>
          <w:b/>
          <w:noProof/>
          <w:sz w:val="24"/>
        </w:rPr>
      </w:pPr>
      <w:bookmarkStart w:id="10" w:name="_Toc48126086"/>
      <w:r>
        <w:rPr>
          <w:rFonts w:ascii="Times New Roman" w:hAnsi="Times New Roman"/>
          <w:b/>
          <w:noProof/>
          <w:sz w:val="24"/>
        </w:rPr>
        <w:t>1.2.</w:t>
      </w:r>
      <w:r>
        <w:rPr>
          <w:noProof/>
        </w:rPr>
        <w:tab/>
      </w:r>
      <w:r>
        <w:rPr>
          <w:rFonts w:ascii="Times New Roman" w:hAnsi="Times New Roman"/>
          <w:b/>
          <w:noProof/>
          <w:sz w:val="24"/>
        </w:rPr>
        <w:t>Projet de budget (PB)</w:t>
      </w:r>
      <w:bookmarkEnd w:id="8"/>
      <w:r>
        <w:rPr>
          <w:rFonts w:ascii="Times New Roman" w:hAnsi="Times New Roman"/>
          <w:b/>
          <w:noProof/>
          <w:sz w:val="24"/>
        </w:rPr>
        <w:t xml:space="preserve"> 2019</w:t>
      </w:r>
      <w:bookmarkEnd w:id="9"/>
      <w:bookmarkEnd w:id="10"/>
    </w:p>
    <w:p>
      <w:pPr>
        <w:spacing w:before="120" w:after="120" w:line="240" w:lineRule="auto"/>
        <w:ind w:left="850" w:right="71"/>
        <w:jc w:val="both"/>
        <w:rPr>
          <w:rFonts w:ascii="Times New Roman" w:eastAsia="Times New Roman" w:hAnsi="Times New Roman" w:cs="Times New Roman"/>
          <w:noProof/>
          <w:sz w:val="24"/>
        </w:rPr>
      </w:pPr>
      <w:r>
        <w:rPr>
          <w:rFonts w:ascii="Times New Roman" w:hAnsi="Times New Roman"/>
          <w:noProof/>
          <w:sz w:val="24"/>
        </w:rPr>
        <w:t>Le projet de budget (PB) 2019 a été adopté par la Commission et proposé à l’autorité budgétaire le 21 juin 2018.</w:t>
      </w:r>
    </w:p>
    <w:p>
      <w:pPr>
        <w:spacing w:before="120" w:after="120" w:line="240" w:lineRule="auto"/>
        <w:ind w:left="850" w:right="71"/>
        <w:jc w:val="both"/>
        <w:rPr>
          <w:rFonts w:ascii="Times New Roman" w:eastAsia="Times New Roman" w:hAnsi="Times New Roman" w:cs="Times New Roman"/>
          <w:noProof/>
          <w:sz w:val="24"/>
        </w:rPr>
      </w:pPr>
      <w:r>
        <w:rPr>
          <w:rFonts w:ascii="Times New Roman" w:hAnsi="Times New Roman"/>
          <w:noProof/>
          <w:sz w:val="24"/>
        </w:rPr>
        <w:t xml:space="preserve">Le projet de budget </w:t>
      </w:r>
      <w:bookmarkStart w:id="11" w:name="OLE_LINK6"/>
      <w:r>
        <w:rPr>
          <w:rFonts w:ascii="Times New Roman" w:hAnsi="Times New Roman"/>
          <w:noProof/>
          <w:sz w:val="24"/>
        </w:rPr>
        <w:t>prévoyait un montant de 14 679 millions d’EUR en crédits d’engagement et 13 122 millions d’EUR en crédits de paiement pour le Fonds européen agricole pour le développement rural (Feader) au titre de la période de programmation 2014-2020.</w:t>
      </w:r>
    </w:p>
    <w:bookmarkEnd w:id="11"/>
    <w:p>
      <w:pPr>
        <w:rPr>
          <w:rFonts w:ascii="Times New Roman" w:eastAsia="Times New Roman" w:hAnsi="Times New Roman" w:cs="Times New Roman"/>
          <w:noProof/>
          <w:sz w:val="24"/>
        </w:rPr>
      </w:pPr>
      <w:r>
        <w:rPr>
          <w:noProof/>
        </w:rPr>
        <w:br w:type="page"/>
      </w:r>
    </w:p>
    <w:p>
      <w:pPr>
        <w:spacing w:before="120" w:after="120" w:line="240" w:lineRule="auto"/>
        <w:ind w:left="850" w:right="71"/>
        <w:jc w:val="both"/>
        <w:rPr>
          <w:rFonts w:ascii="Times New Roman" w:eastAsia="Times New Roman" w:hAnsi="Times New Roman" w:cs="Times New Roman"/>
          <w:noProof/>
          <w:sz w:val="24"/>
        </w:rPr>
      </w:pPr>
      <w:r>
        <w:rPr>
          <w:rFonts w:ascii="Times New Roman" w:hAnsi="Times New Roman"/>
          <w:noProof/>
          <w:sz w:val="24"/>
        </w:rPr>
        <w:lastRenderedPageBreak/>
        <w:t>Le Conseil a adopté sa position sur le projet de budget 2019 le 4 septembre 2018, et le Parlement européen a adopté sa position le 24 octobre 2018. Le comité de conciliation a dû être convoqué. Celui-ci n’est pas parvenu à un accord sur un projet commun dans le délai prescrit de 21 jours. Le 30 novembre 2018, la Commission européenne a présenté un deuxième projet de budget général pour 2019. Les montants pour le Feader n’ont pas été modifiés par rapport au premier projet de budget. Le Conseil et le Parlement européen ont approuvé le projet commun respectivement les 11 décembre et 12 décembre 2018.</w:t>
      </w:r>
    </w:p>
    <w:p>
      <w:pPr>
        <w:keepNext/>
        <w:tabs>
          <w:tab w:val="left" w:pos="850"/>
        </w:tabs>
        <w:spacing w:before="240" w:after="120" w:line="240" w:lineRule="auto"/>
        <w:ind w:left="850" w:hanging="850"/>
        <w:jc w:val="both"/>
        <w:outlineLvl w:val="1"/>
        <w:rPr>
          <w:rFonts w:ascii="Times New Roman" w:eastAsia="Times New Roman" w:hAnsi="Times New Roman" w:cs="Times New Roman"/>
          <w:b/>
          <w:noProof/>
          <w:sz w:val="24"/>
        </w:rPr>
      </w:pPr>
      <w:bookmarkStart w:id="12" w:name="_Toc331167061"/>
      <w:bookmarkStart w:id="13" w:name="_Toc393127468"/>
      <w:bookmarkStart w:id="14" w:name="_Toc48126087"/>
      <w:r>
        <w:rPr>
          <w:rFonts w:ascii="Times New Roman" w:hAnsi="Times New Roman"/>
          <w:b/>
          <w:noProof/>
          <w:sz w:val="24"/>
        </w:rPr>
        <w:t>1.3.</w:t>
      </w:r>
      <w:r>
        <w:rPr>
          <w:noProof/>
        </w:rPr>
        <w:tab/>
      </w:r>
      <w:r>
        <w:rPr>
          <w:rFonts w:ascii="Times New Roman" w:hAnsi="Times New Roman"/>
          <w:b/>
          <w:noProof/>
          <w:sz w:val="24"/>
        </w:rPr>
        <w:t>Adoption du budget 2019</w:t>
      </w:r>
      <w:bookmarkEnd w:id="12"/>
      <w:bookmarkEnd w:id="13"/>
      <w:bookmarkEnd w:id="14"/>
    </w:p>
    <w:p>
      <w:pPr>
        <w:spacing w:before="120" w:after="120" w:line="240" w:lineRule="auto"/>
        <w:ind w:left="850" w:right="71"/>
        <w:jc w:val="both"/>
        <w:rPr>
          <w:rFonts w:ascii="Times New Roman" w:eastAsia="Times New Roman" w:hAnsi="Times New Roman" w:cs="Times New Roman"/>
          <w:noProof/>
          <w:sz w:val="24"/>
        </w:rPr>
      </w:pPr>
      <w:r>
        <w:rPr>
          <w:rFonts w:ascii="Times New Roman" w:hAnsi="Times New Roman"/>
          <w:noProof/>
          <w:sz w:val="24"/>
        </w:rPr>
        <w:t xml:space="preserve">En ce qui concerne le Feader, le budget 2019 adopté le 12 décembre 2018 était identique à la proposition de la Commission. </w:t>
      </w:r>
    </w:p>
    <w:p>
      <w:pPr>
        <w:spacing w:before="120" w:after="120" w:line="240" w:lineRule="auto"/>
        <w:ind w:right="71"/>
        <w:jc w:val="both"/>
        <w:rPr>
          <w:rFonts w:ascii="Times New Roman" w:eastAsia="Times New Roman" w:hAnsi="Times New Roman" w:cs="Times New Roman"/>
          <w:noProof/>
          <w:sz w:val="24"/>
        </w:rPr>
      </w:pPr>
      <w:bookmarkStart w:id="15" w:name="OLE_LINK7"/>
      <w:r>
        <w:rPr>
          <w:rFonts w:ascii="Times New Roman" w:hAnsi="Times New Roman"/>
          <w:noProof/>
          <w:sz w:val="24"/>
        </w:rPr>
        <w:t>Tableau 2</w:t>
      </w:r>
    </w:p>
    <w:tbl>
      <w:tblPr>
        <w:tblW w:w="9062" w:type="dxa"/>
        <w:tblInd w:w="118" w:type="dxa"/>
        <w:tblLook w:val="04A0" w:firstRow="1" w:lastRow="0" w:firstColumn="1" w:lastColumn="0" w:noHBand="0" w:noVBand="1"/>
      </w:tblPr>
      <w:tblGrid>
        <w:gridCol w:w="5235"/>
        <w:gridCol w:w="1985"/>
        <w:gridCol w:w="1842"/>
      </w:tblGrid>
      <w:tr>
        <w:trPr>
          <w:trHeight w:val="443"/>
        </w:trPr>
        <w:tc>
          <w:tcPr>
            <w:tcW w:w="9062" w:type="dxa"/>
            <w:gridSpan w:val="3"/>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jc w:val="center"/>
              <w:rPr>
                <w:rFonts w:ascii="Times New Roman" w:eastAsia="Times New Roman" w:hAnsi="Times New Roman" w:cs="Times New Roman"/>
                <w:b/>
                <w:bCs/>
                <w:noProof/>
              </w:rPr>
            </w:pPr>
            <w:bookmarkStart w:id="16" w:name="_Toc331167062"/>
            <w:bookmarkEnd w:id="15"/>
            <w:r>
              <w:rPr>
                <w:rFonts w:ascii="Times New Roman" w:hAnsi="Times New Roman"/>
                <w:b/>
                <w:bCs/>
                <w:noProof/>
              </w:rPr>
              <w:t>Budget 2019 adopté</w:t>
            </w:r>
          </w:p>
        </w:tc>
      </w:tr>
      <w:tr>
        <w:trPr>
          <w:trHeight w:val="570"/>
        </w:trPr>
        <w:tc>
          <w:tcPr>
            <w:tcW w:w="5235" w:type="dxa"/>
            <w:vMerge w:val="restart"/>
            <w:tcBorders>
              <w:top w:val="nil"/>
              <w:left w:val="single" w:sz="8" w:space="0" w:color="auto"/>
              <w:bottom w:val="single" w:sz="8" w:space="0" w:color="000000"/>
              <w:right w:val="single" w:sz="8" w:space="0" w:color="auto"/>
            </w:tcBorders>
            <w:shd w:val="clear" w:color="000000" w:fill="FFFF99"/>
            <w:vAlign w:val="center"/>
            <w:hideMark/>
          </w:tcPr>
          <w:p>
            <w:pPr>
              <w:spacing w:after="0" w:line="240" w:lineRule="auto"/>
              <w:rPr>
                <w:rFonts w:ascii="Times New Roman" w:eastAsia="Times New Roman" w:hAnsi="Times New Roman" w:cs="Times New Roman"/>
                <w:b/>
                <w:bCs/>
                <w:noProof/>
              </w:rPr>
            </w:pPr>
            <w:r>
              <w:rPr>
                <w:rFonts w:ascii="Times New Roman" w:hAnsi="Times New Roman"/>
                <w:b/>
                <w:bCs/>
                <w:noProof/>
              </w:rPr>
              <w:t>Poste budgétaire</w:t>
            </w:r>
          </w:p>
        </w:tc>
        <w:tc>
          <w:tcPr>
            <w:tcW w:w="1985"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bCs/>
                <w:noProof/>
              </w:rPr>
              <w:t>Crédits d’engagement</w:t>
            </w:r>
          </w:p>
        </w:tc>
        <w:tc>
          <w:tcPr>
            <w:tcW w:w="1842"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bCs/>
                <w:noProof/>
              </w:rPr>
              <w:t>Crédits de paiement</w:t>
            </w:r>
          </w:p>
        </w:tc>
      </w:tr>
      <w:tr>
        <w:trPr>
          <w:trHeight w:val="270"/>
        </w:trPr>
        <w:tc>
          <w:tcPr>
            <w:tcW w:w="5235"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lang w:eastAsia="en-GB"/>
              </w:rPr>
            </w:pPr>
          </w:p>
        </w:tc>
        <w:tc>
          <w:tcPr>
            <w:tcW w:w="1985"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(en EUR)</w:t>
            </w:r>
          </w:p>
        </w:tc>
        <w:tc>
          <w:tcPr>
            <w:tcW w:w="1842"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(en EUR)</w:t>
            </w:r>
          </w:p>
        </w:tc>
      </w:tr>
      <w:tr>
        <w:trPr>
          <w:trHeight w:val="300"/>
        </w:trPr>
        <w:tc>
          <w:tcPr>
            <w:tcW w:w="9062"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bCs/>
                <w:noProof/>
              </w:rPr>
              <w:t>2014-2020</w:t>
            </w:r>
          </w:p>
        </w:tc>
      </w:tr>
      <w:tr>
        <w:trPr>
          <w:trHeight w:val="615"/>
        </w:trPr>
        <w:tc>
          <w:tcPr>
            <w:tcW w:w="523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rPr>
            </w:pPr>
            <w:r>
              <w:rPr>
                <w:rFonts w:ascii="Times New Roman" w:hAnsi="Times New Roman"/>
                <w:noProof/>
              </w:rPr>
              <w:t>05.046001 (Programmes de développement rural)</w:t>
            </w:r>
          </w:p>
        </w:tc>
        <w:tc>
          <w:tcPr>
            <w:tcW w:w="1985"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rPr>
            </w:pPr>
            <w:r>
              <w:rPr>
                <w:rFonts w:ascii="Times New Roman" w:hAnsi="Times New Roman"/>
                <w:noProof/>
              </w:rPr>
              <w:t>14 656 460 137</w:t>
            </w:r>
          </w:p>
        </w:tc>
        <w:tc>
          <w:tcPr>
            <w:tcW w:w="1842"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rPr>
            </w:pPr>
            <w:r>
              <w:rPr>
                <w:rFonts w:ascii="Times New Roman" w:hAnsi="Times New Roman"/>
                <w:noProof/>
              </w:rPr>
              <w:t>13 100 000 000</w:t>
            </w:r>
          </w:p>
        </w:tc>
      </w:tr>
      <w:tr>
        <w:trPr>
          <w:trHeight w:val="615"/>
        </w:trPr>
        <w:tc>
          <w:tcPr>
            <w:tcW w:w="523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rPr>
            </w:pPr>
            <w:r>
              <w:rPr>
                <w:rFonts w:ascii="Times New Roman" w:hAnsi="Times New Roman"/>
                <w:noProof/>
              </w:rPr>
              <w:t>05.010404 (Assistance technique non opérationnelle)</w:t>
            </w:r>
          </w:p>
        </w:tc>
        <w:tc>
          <w:tcPr>
            <w:tcW w:w="1985"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rPr>
            </w:pPr>
            <w:r>
              <w:rPr>
                <w:rFonts w:ascii="Times New Roman" w:hAnsi="Times New Roman"/>
                <w:noProof/>
              </w:rPr>
              <w:t>5 034 000</w:t>
            </w:r>
          </w:p>
        </w:tc>
        <w:tc>
          <w:tcPr>
            <w:tcW w:w="1842"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rPr>
            </w:pPr>
            <w:r>
              <w:rPr>
                <w:rFonts w:ascii="Times New Roman" w:hAnsi="Times New Roman"/>
                <w:noProof/>
              </w:rPr>
              <w:t>5 034 000</w:t>
            </w:r>
          </w:p>
        </w:tc>
      </w:tr>
      <w:tr>
        <w:trPr>
          <w:trHeight w:val="615"/>
        </w:trPr>
        <w:tc>
          <w:tcPr>
            <w:tcW w:w="523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rPr>
            </w:pPr>
            <w:r>
              <w:rPr>
                <w:rFonts w:ascii="Times New Roman" w:hAnsi="Times New Roman"/>
                <w:noProof/>
              </w:rPr>
              <w:t>05.046002 (Assistance technique opérationnelle)</w:t>
            </w:r>
          </w:p>
        </w:tc>
        <w:tc>
          <w:tcPr>
            <w:tcW w:w="1985"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rPr>
            </w:pPr>
            <w:r>
              <w:rPr>
                <w:rFonts w:ascii="Times New Roman" w:hAnsi="Times New Roman"/>
                <w:noProof/>
              </w:rPr>
              <w:t>17 115 400</w:t>
            </w:r>
          </w:p>
        </w:tc>
        <w:tc>
          <w:tcPr>
            <w:tcW w:w="1842"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rPr>
            </w:pPr>
            <w:r>
              <w:rPr>
                <w:rFonts w:ascii="Times New Roman" w:hAnsi="Times New Roman"/>
                <w:noProof/>
              </w:rPr>
              <w:t>16 725 400</w:t>
            </w:r>
          </w:p>
        </w:tc>
      </w:tr>
    </w:tbl>
    <w:p>
      <w:pPr>
        <w:spacing w:before="120" w:after="120" w:line="240" w:lineRule="auto"/>
        <w:jc w:val="both"/>
        <w:rPr>
          <w:rFonts w:ascii="Times New Roman" w:eastAsia="Times New Roman" w:hAnsi="Times New Roman" w:cs="Times New Roman"/>
          <w:noProof/>
          <w:sz w:val="24"/>
          <w:lang w:eastAsia="en-GB"/>
        </w:rPr>
      </w:pPr>
    </w:p>
    <w:p>
      <w:pPr>
        <w:keepNext/>
        <w:tabs>
          <w:tab w:val="left" w:pos="850"/>
        </w:tabs>
        <w:spacing w:before="240" w:after="120" w:line="240" w:lineRule="auto"/>
        <w:ind w:left="850" w:hanging="850"/>
        <w:jc w:val="both"/>
        <w:outlineLvl w:val="1"/>
        <w:rPr>
          <w:rFonts w:ascii="Times New Roman" w:eastAsia="Times New Roman" w:hAnsi="Times New Roman" w:cs="Times New Roman"/>
          <w:b/>
          <w:noProof/>
          <w:sz w:val="24"/>
        </w:rPr>
      </w:pPr>
      <w:bookmarkStart w:id="17" w:name="_Toc393127469"/>
      <w:bookmarkStart w:id="18" w:name="_Toc48126088"/>
      <w:r>
        <w:rPr>
          <w:rFonts w:ascii="Times New Roman" w:hAnsi="Times New Roman"/>
          <w:b/>
          <w:noProof/>
          <w:sz w:val="24"/>
        </w:rPr>
        <w:t>1.4.</w:t>
      </w:r>
      <w:r>
        <w:rPr>
          <w:noProof/>
        </w:rPr>
        <w:tab/>
      </w:r>
      <w:r>
        <w:rPr>
          <w:rFonts w:ascii="Times New Roman" w:hAnsi="Times New Roman"/>
          <w:b/>
          <w:noProof/>
          <w:sz w:val="24"/>
        </w:rPr>
        <w:t>Adoption des budgets rectificatifs</w:t>
      </w:r>
      <w:bookmarkEnd w:id="17"/>
      <w:bookmarkEnd w:id="18"/>
    </w:p>
    <w:p>
      <w:pPr>
        <w:spacing w:before="120" w:after="120" w:line="240" w:lineRule="auto"/>
        <w:ind w:left="850"/>
        <w:jc w:val="both"/>
        <w:rPr>
          <w:rFonts w:ascii="Times New Roman" w:eastAsia="Times New Roman" w:hAnsi="Times New Roman" w:cs="Times New Roman"/>
          <w:noProof/>
          <w:sz w:val="24"/>
        </w:rPr>
      </w:pPr>
      <w:r>
        <w:rPr>
          <w:rFonts w:ascii="Times New Roman" w:hAnsi="Times New Roman"/>
          <w:noProof/>
          <w:sz w:val="24"/>
        </w:rPr>
        <w:t>Aucun des budgets rectificatifs 2019 n’a concerné le Feader.</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rPr>
      </w:pPr>
      <w:bookmarkStart w:id="19" w:name="_Toc393127470"/>
      <w:bookmarkStart w:id="20" w:name="_Toc48126089"/>
      <w:r>
        <w:rPr>
          <w:rFonts w:ascii="Times New Roman" w:hAnsi="Times New Roman"/>
          <w:b/>
          <w:smallCaps/>
          <w:noProof/>
          <w:sz w:val="24"/>
        </w:rPr>
        <w:t>2.</w:t>
      </w:r>
      <w:r>
        <w:rPr>
          <w:noProof/>
        </w:rPr>
        <w:tab/>
      </w:r>
      <w:r>
        <w:rPr>
          <w:rFonts w:ascii="Times New Roman" w:hAnsi="Times New Roman"/>
          <w:b/>
          <w:smallCaps/>
          <w:noProof/>
          <w:sz w:val="24"/>
        </w:rPr>
        <w:t>Gestion des crédits</w:t>
      </w:r>
      <w:bookmarkEnd w:id="16"/>
      <w:bookmarkEnd w:id="19"/>
      <w:bookmarkEnd w:id="20"/>
    </w:p>
    <w:p>
      <w:pPr>
        <w:keepNext/>
        <w:tabs>
          <w:tab w:val="left" w:pos="850"/>
        </w:tabs>
        <w:spacing w:before="240" w:after="120" w:line="240" w:lineRule="auto"/>
        <w:ind w:left="850" w:hanging="850"/>
        <w:jc w:val="both"/>
        <w:outlineLvl w:val="1"/>
        <w:rPr>
          <w:rFonts w:ascii="Times New Roman" w:eastAsia="Times New Roman" w:hAnsi="Times New Roman" w:cs="Times New Roman"/>
          <w:b/>
          <w:noProof/>
          <w:sz w:val="24"/>
        </w:rPr>
      </w:pPr>
      <w:bookmarkStart w:id="21" w:name="_Toc331167063"/>
      <w:bookmarkStart w:id="22" w:name="_Toc393127471"/>
      <w:bookmarkStart w:id="23" w:name="_Toc48126090"/>
      <w:r>
        <w:rPr>
          <w:rFonts w:ascii="Times New Roman" w:hAnsi="Times New Roman"/>
          <w:b/>
          <w:noProof/>
          <w:sz w:val="24"/>
        </w:rPr>
        <w:t>2.1.</w:t>
      </w:r>
      <w:r>
        <w:rPr>
          <w:noProof/>
        </w:rPr>
        <w:tab/>
      </w:r>
      <w:r>
        <w:rPr>
          <w:rFonts w:ascii="Times New Roman" w:hAnsi="Times New Roman"/>
          <w:b/>
          <w:noProof/>
          <w:sz w:val="24"/>
        </w:rPr>
        <w:t>Gestion des crédits d’engagement</w:t>
      </w:r>
      <w:bookmarkEnd w:id="21"/>
      <w:bookmarkEnd w:id="22"/>
      <w:bookmarkEnd w:id="23"/>
    </w:p>
    <w:p>
      <w:pPr>
        <w:keepNext/>
        <w:tabs>
          <w:tab w:val="left" w:pos="850"/>
        </w:tabs>
        <w:spacing w:before="240" w:after="120" w:line="240" w:lineRule="auto"/>
        <w:ind w:left="850" w:hanging="850"/>
        <w:jc w:val="both"/>
        <w:outlineLvl w:val="2"/>
        <w:rPr>
          <w:rFonts w:ascii="Times New Roman" w:eastAsia="Times New Roman" w:hAnsi="Times New Roman" w:cs="Times New Roman"/>
          <w:i/>
          <w:noProof/>
          <w:sz w:val="24"/>
        </w:rPr>
      </w:pPr>
      <w:bookmarkStart w:id="24" w:name="_Toc331167064"/>
      <w:bookmarkStart w:id="25" w:name="_Toc393127472"/>
      <w:bookmarkStart w:id="26" w:name="_Toc48126091"/>
      <w:r>
        <w:rPr>
          <w:rFonts w:ascii="Times New Roman" w:hAnsi="Times New Roman"/>
          <w:i/>
          <w:noProof/>
          <w:sz w:val="24"/>
        </w:rPr>
        <w:t>2.1.1.</w:t>
      </w:r>
      <w:r>
        <w:rPr>
          <w:noProof/>
        </w:rPr>
        <w:tab/>
      </w:r>
      <w:r>
        <w:rPr>
          <w:rFonts w:ascii="Times New Roman" w:hAnsi="Times New Roman"/>
          <w:i/>
          <w:noProof/>
          <w:sz w:val="24"/>
        </w:rPr>
        <w:t>Programmes de développement rural du Feader</w:t>
      </w:r>
      <w:bookmarkEnd w:id="24"/>
      <w:bookmarkEnd w:id="25"/>
      <w:bookmarkEnd w:id="26"/>
    </w:p>
    <w:p>
      <w:pPr>
        <w:spacing w:before="120" w:after="120" w:line="240" w:lineRule="auto"/>
        <w:ind w:left="850" w:right="71"/>
        <w:jc w:val="both"/>
        <w:rPr>
          <w:rFonts w:ascii="Times New Roman" w:eastAsia="Times New Roman" w:hAnsi="Times New Roman" w:cs="Times New Roman"/>
          <w:noProof/>
          <w:sz w:val="24"/>
        </w:rPr>
      </w:pPr>
      <w:r>
        <w:rPr>
          <w:rFonts w:ascii="Times New Roman" w:hAnsi="Times New Roman"/>
          <w:noProof/>
          <w:sz w:val="24"/>
        </w:rPr>
        <w:t xml:space="preserve">En ce qui concerne les crédits d’engagement pour les programmes de développement rural du Feader, le budget voté pour 2019 s’élevait à 14 656 millions d’EUR, intégralement liés aux programmes 2014-2020. </w:t>
      </w:r>
    </w:p>
    <w:p>
      <w:pPr>
        <w:keepNext/>
        <w:keepLines/>
        <w:spacing w:before="120" w:after="120" w:line="240" w:lineRule="auto"/>
        <w:ind w:left="850"/>
        <w:jc w:val="both"/>
        <w:rPr>
          <w:rFonts w:ascii="Times New Roman" w:eastAsia="Times New Roman" w:hAnsi="Times New Roman" w:cs="Times New Roman"/>
          <w:noProof/>
          <w:sz w:val="24"/>
        </w:rPr>
      </w:pPr>
      <w:bookmarkStart w:id="27" w:name="OLE_LINK8"/>
    </w:p>
    <w:p>
      <w:pPr>
        <w:keepNext/>
        <w:keepLines/>
        <w:spacing w:before="120" w:after="120" w:line="240" w:lineRule="auto"/>
        <w:ind w:left="850"/>
        <w:jc w:val="both"/>
        <w:rPr>
          <w:rFonts w:ascii="Times New Roman" w:eastAsia="Times New Roman" w:hAnsi="Times New Roman" w:cs="Times New Roman"/>
          <w:noProof/>
          <w:sz w:val="24"/>
          <w:lang w:eastAsia="en-GB"/>
        </w:rPr>
      </w:pPr>
    </w:p>
    <w:p>
      <w:pPr>
        <w:keepNext/>
        <w:keepLines/>
        <w:spacing w:before="120" w:after="120" w:line="240" w:lineRule="auto"/>
        <w:ind w:left="850"/>
        <w:jc w:val="both"/>
        <w:rPr>
          <w:rFonts w:ascii="Times New Roman" w:eastAsia="Times New Roman" w:hAnsi="Times New Roman" w:cs="Times New Roman"/>
          <w:noProof/>
          <w:sz w:val="24"/>
          <w:lang w:eastAsia="en-GB"/>
        </w:rPr>
      </w:pPr>
    </w:p>
    <w:p>
      <w:pPr>
        <w:keepNext/>
        <w:keepLines/>
        <w:spacing w:before="120" w:after="120" w:line="240" w:lineRule="auto"/>
        <w:ind w:left="850"/>
        <w:jc w:val="both"/>
        <w:rPr>
          <w:rFonts w:ascii="Times New Roman" w:eastAsia="Times New Roman" w:hAnsi="Times New Roman" w:cs="Times New Roman"/>
          <w:noProof/>
          <w:sz w:val="24"/>
        </w:rPr>
      </w:pPr>
      <w:r>
        <w:rPr>
          <w:noProof/>
        </w:rPr>
        <w:br w:type="page"/>
      </w:r>
    </w:p>
    <w:p>
      <w:pPr>
        <w:keepNext/>
        <w:keepLines/>
        <w:spacing w:before="120" w:after="120" w:line="240" w:lineRule="auto"/>
        <w:ind w:left="850"/>
        <w:jc w:val="both"/>
        <w:rPr>
          <w:rFonts w:ascii="Times New Roman" w:eastAsia="Times New Roman" w:hAnsi="Times New Roman" w:cs="Times New Roman"/>
          <w:noProof/>
          <w:sz w:val="24"/>
        </w:rPr>
      </w:pPr>
      <w:r>
        <w:rPr>
          <w:rFonts w:ascii="Times New Roman" w:hAnsi="Times New Roman"/>
          <w:noProof/>
          <w:sz w:val="24"/>
        </w:rPr>
        <w:lastRenderedPageBreak/>
        <w:t>Tableau 3</w:t>
      </w:r>
    </w:p>
    <w:tbl>
      <w:tblPr>
        <w:tblW w:w="9062" w:type="dxa"/>
        <w:tblInd w:w="118" w:type="dxa"/>
        <w:tblLook w:val="04A0" w:firstRow="1" w:lastRow="0" w:firstColumn="1" w:lastColumn="0" w:noHBand="0" w:noVBand="1"/>
      </w:tblPr>
      <w:tblGrid>
        <w:gridCol w:w="6369"/>
        <w:gridCol w:w="2693"/>
      </w:tblGrid>
      <w:tr>
        <w:trPr>
          <w:trHeight w:val="285"/>
        </w:trPr>
        <w:tc>
          <w:tcPr>
            <w:tcW w:w="6369" w:type="dxa"/>
            <w:vMerge w:val="restart"/>
            <w:tcBorders>
              <w:top w:val="single" w:sz="8" w:space="0" w:color="auto"/>
              <w:left w:val="single" w:sz="8" w:space="0" w:color="auto"/>
              <w:bottom w:val="single" w:sz="8" w:space="0" w:color="000000"/>
              <w:right w:val="single" w:sz="8" w:space="0" w:color="auto"/>
            </w:tcBorders>
            <w:shd w:val="clear" w:color="000000" w:fill="FFFF99"/>
            <w:vAlign w:val="center"/>
            <w:hideMark/>
          </w:tcPr>
          <w:bookmarkEnd w:id="27"/>
          <w:p>
            <w:pPr>
              <w:spacing w:after="0" w:line="240" w:lineRule="auto"/>
              <w:rPr>
                <w:rFonts w:ascii="Times New Roman" w:eastAsia="Times New Roman" w:hAnsi="Times New Roman" w:cs="Times New Roman"/>
                <w:b/>
                <w:bCs/>
                <w:noProof/>
              </w:rPr>
            </w:pPr>
            <w:r>
              <w:rPr>
                <w:rFonts w:ascii="Times New Roman" w:hAnsi="Times New Roman"/>
                <w:b/>
                <w:bCs/>
                <w:noProof/>
              </w:rPr>
              <w:t>Gestion des crédits d’engagement en 2019 – Feader</w:t>
            </w:r>
          </w:p>
        </w:tc>
        <w:tc>
          <w:tcPr>
            <w:tcW w:w="2693" w:type="dxa"/>
            <w:tcBorders>
              <w:top w:val="single" w:sz="8" w:space="0" w:color="auto"/>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bCs/>
                <w:noProof/>
              </w:rPr>
              <w:t>Poste budgétaire</w:t>
            </w:r>
          </w:p>
        </w:tc>
      </w:tr>
      <w:tr>
        <w:trPr>
          <w:trHeight w:val="255"/>
        </w:trPr>
        <w:tc>
          <w:tcPr>
            <w:tcW w:w="6369"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lang w:eastAsia="en-GB"/>
              </w:rPr>
            </w:pPr>
          </w:p>
        </w:tc>
        <w:tc>
          <w:tcPr>
            <w:tcW w:w="2693"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05.046001</w:t>
            </w:r>
          </w:p>
        </w:tc>
      </w:tr>
      <w:tr>
        <w:trPr>
          <w:trHeight w:val="270"/>
        </w:trPr>
        <w:tc>
          <w:tcPr>
            <w:tcW w:w="6369"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lang w:eastAsia="en-GB"/>
              </w:rPr>
            </w:pPr>
          </w:p>
        </w:tc>
        <w:tc>
          <w:tcPr>
            <w:tcW w:w="2693"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(en EUR)</w:t>
            </w:r>
          </w:p>
        </w:tc>
      </w:tr>
      <w:tr>
        <w:trPr>
          <w:trHeight w:val="615"/>
        </w:trPr>
        <w:tc>
          <w:tcPr>
            <w:tcW w:w="6369"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rPr>
            </w:pPr>
            <w:r>
              <w:rPr>
                <w:rFonts w:ascii="Times New Roman" w:hAnsi="Times New Roman"/>
                <w:noProof/>
              </w:rPr>
              <w:t>Crédits au début de 2019</w:t>
            </w:r>
          </w:p>
        </w:tc>
        <w:tc>
          <w:tcPr>
            <w:tcW w:w="2693"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rPr>
            </w:pPr>
            <w:r>
              <w:rPr>
                <w:rFonts w:ascii="Times New Roman" w:hAnsi="Times New Roman"/>
                <w:noProof/>
              </w:rPr>
              <w:t>14 656 460 137</w:t>
            </w:r>
          </w:p>
        </w:tc>
      </w:tr>
      <w:tr>
        <w:trPr>
          <w:trHeight w:val="315"/>
        </w:trPr>
        <w:tc>
          <w:tcPr>
            <w:tcW w:w="6369"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b/>
                <w:bCs/>
                <w:noProof/>
              </w:rPr>
            </w:pPr>
            <w:r>
              <w:rPr>
                <w:rFonts w:ascii="Times New Roman" w:hAnsi="Times New Roman"/>
                <w:b/>
                <w:bCs/>
                <w:noProof/>
              </w:rPr>
              <w:t>Crédits disponibles en 2019</w:t>
            </w:r>
          </w:p>
        </w:tc>
        <w:tc>
          <w:tcPr>
            <w:tcW w:w="2693"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rPr>
            </w:pPr>
            <w:r>
              <w:rPr>
                <w:rFonts w:ascii="Times New Roman" w:hAnsi="Times New Roman"/>
                <w:b/>
                <w:bCs/>
                <w:noProof/>
              </w:rPr>
              <w:t>14 656 460 137</w:t>
            </w:r>
          </w:p>
        </w:tc>
      </w:tr>
      <w:tr>
        <w:trPr>
          <w:trHeight w:val="315"/>
        </w:trPr>
        <w:tc>
          <w:tcPr>
            <w:tcW w:w="6369"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rPr>
            </w:pPr>
            <w:r>
              <w:rPr>
                <w:rFonts w:ascii="Times New Roman" w:hAnsi="Times New Roman"/>
                <w:noProof/>
              </w:rPr>
              <w:t>Crédits utilisés en 2019</w:t>
            </w:r>
          </w:p>
        </w:tc>
        <w:tc>
          <w:tcPr>
            <w:tcW w:w="2693"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rPr>
            </w:pPr>
            <w:r>
              <w:rPr>
                <w:rFonts w:ascii="Times New Roman" w:hAnsi="Times New Roman"/>
                <w:noProof/>
              </w:rPr>
              <w:t>14 656 460 137</w:t>
            </w:r>
          </w:p>
        </w:tc>
      </w:tr>
    </w:tbl>
    <w:p>
      <w:pPr>
        <w:spacing w:before="120" w:after="120" w:line="240" w:lineRule="auto"/>
        <w:ind w:left="850"/>
        <w:jc w:val="both"/>
        <w:rPr>
          <w:rFonts w:ascii="Times New Roman" w:eastAsia="Times New Roman" w:hAnsi="Times New Roman" w:cs="Times New Roman"/>
          <w:noProof/>
          <w:sz w:val="24"/>
        </w:rPr>
      </w:pPr>
      <w:bookmarkStart w:id="28" w:name="_Toc331167065"/>
      <w:bookmarkStart w:id="29" w:name="_Toc393127473"/>
    </w:p>
    <w:p>
      <w:pPr>
        <w:keepNext/>
        <w:tabs>
          <w:tab w:val="left" w:pos="850"/>
        </w:tabs>
        <w:spacing w:before="240" w:after="120" w:line="240" w:lineRule="auto"/>
        <w:ind w:left="850" w:hanging="850"/>
        <w:jc w:val="both"/>
        <w:outlineLvl w:val="2"/>
        <w:rPr>
          <w:rFonts w:ascii="Times New Roman" w:eastAsia="Times New Roman" w:hAnsi="Times New Roman" w:cs="Times New Roman"/>
          <w:i/>
          <w:noProof/>
          <w:sz w:val="24"/>
        </w:rPr>
      </w:pPr>
      <w:bookmarkStart w:id="30" w:name="_Toc48126092"/>
      <w:r>
        <w:rPr>
          <w:rFonts w:ascii="Times New Roman" w:hAnsi="Times New Roman"/>
          <w:i/>
          <w:noProof/>
          <w:sz w:val="24"/>
        </w:rPr>
        <w:t>2.1.2.</w:t>
      </w:r>
      <w:r>
        <w:rPr>
          <w:noProof/>
        </w:rPr>
        <w:tab/>
      </w:r>
      <w:r>
        <w:rPr>
          <w:rFonts w:ascii="Times New Roman" w:hAnsi="Times New Roman"/>
          <w:i/>
          <w:noProof/>
          <w:sz w:val="24"/>
        </w:rPr>
        <w:t>Assistance technique</w:t>
      </w:r>
      <w:bookmarkEnd w:id="28"/>
      <w:bookmarkEnd w:id="29"/>
      <w:bookmarkEnd w:id="30"/>
    </w:p>
    <w:p>
      <w:pPr>
        <w:spacing w:before="120" w:after="120" w:line="240" w:lineRule="auto"/>
        <w:ind w:left="850" w:right="71"/>
        <w:jc w:val="both"/>
        <w:rPr>
          <w:rFonts w:ascii="Times New Roman" w:eastAsia="Times New Roman" w:hAnsi="Times New Roman" w:cs="Times New Roman"/>
          <w:noProof/>
          <w:sz w:val="24"/>
        </w:rPr>
      </w:pPr>
      <w:r>
        <w:rPr>
          <w:rFonts w:ascii="Times New Roman" w:hAnsi="Times New Roman"/>
          <w:noProof/>
          <w:sz w:val="24"/>
        </w:rPr>
        <w:t>L’article 51, paragraphe 1, du règlement (UE) n° 1305/2013 prévoit que le Feader peut utiliser jusqu’à 0,25 % de sa dotation annuelle pour financer des actions d’assistance technique à l’initiative de la Commission. Dans le budget 2019, le montant initial disponible à cette fin était de 5,0 millions d’EUR pour l’assistance technique non opérationnelle et de 17,1 millions d’EUR pour l’assistance technique opérationnelle.</w:t>
      </w:r>
    </w:p>
    <w:p>
      <w:pPr>
        <w:keepNext/>
        <w:tabs>
          <w:tab w:val="left" w:pos="850"/>
        </w:tabs>
        <w:spacing w:before="240" w:after="120" w:line="240" w:lineRule="auto"/>
        <w:ind w:left="850" w:hanging="850"/>
        <w:jc w:val="both"/>
        <w:outlineLvl w:val="1"/>
        <w:rPr>
          <w:rFonts w:ascii="Times New Roman" w:eastAsia="Times New Roman" w:hAnsi="Times New Roman" w:cs="Times New Roman"/>
          <w:b/>
          <w:noProof/>
          <w:sz w:val="24"/>
        </w:rPr>
      </w:pPr>
      <w:bookmarkStart w:id="31" w:name="_Toc331167066"/>
      <w:bookmarkStart w:id="32" w:name="_Toc393127474"/>
      <w:bookmarkStart w:id="33" w:name="_Toc48126093"/>
      <w:r>
        <w:rPr>
          <w:rFonts w:ascii="Times New Roman" w:hAnsi="Times New Roman"/>
          <w:b/>
          <w:noProof/>
          <w:sz w:val="24"/>
        </w:rPr>
        <w:t>2.2.</w:t>
      </w:r>
      <w:r>
        <w:rPr>
          <w:noProof/>
        </w:rPr>
        <w:tab/>
      </w:r>
      <w:r>
        <w:rPr>
          <w:rFonts w:ascii="Times New Roman" w:hAnsi="Times New Roman"/>
          <w:b/>
          <w:noProof/>
          <w:sz w:val="24"/>
        </w:rPr>
        <w:t>Gestion des crédits de paiement</w:t>
      </w:r>
      <w:bookmarkEnd w:id="31"/>
      <w:bookmarkEnd w:id="32"/>
      <w:bookmarkEnd w:id="33"/>
    </w:p>
    <w:p>
      <w:pPr>
        <w:keepNext/>
        <w:tabs>
          <w:tab w:val="left" w:pos="850"/>
        </w:tabs>
        <w:spacing w:before="240" w:after="120" w:line="240" w:lineRule="auto"/>
        <w:ind w:left="850" w:hanging="850"/>
        <w:jc w:val="both"/>
        <w:outlineLvl w:val="2"/>
        <w:rPr>
          <w:rFonts w:ascii="Times New Roman" w:eastAsia="Times New Roman" w:hAnsi="Times New Roman" w:cs="Times New Roman"/>
          <w:i/>
          <w:noProof/>
          <w:sz w:val="24"/>
        </w:rPr>
      </w:pPr>
      <w:bookmarkStart w:id="34" w:name="_Toc331167067"/>
      <w:bookmarkStart w:id="35" w:name="_Toc393127475"/>
      <w:bookmarkStart w:id="36" w:name="_Toc48126094"/>
      <w:r>
        <w:rPr>
          <w:rFonts w:ascii="Times New Roman" w:hAnsi="Times New Roman"/>
          <w:i/>
          <w:noProof/>
          <w:sz w:val="24"/>
        </w:rPr>
        <w:t>2.2.1.</w:t>
      </w:r>
      <w:r>
        <w:rPr>
          <w:noProof/>
        </w:rPr>
        <w:tab/>
      </w:r>
      <w:r>
        <w:rPr>
          <w:rFonts w:ascii="Times New Roman" w:hAnsi="Times New Roman"/>
          <w:i/>
          <w:noProof/>
          <w:sz w:val="24"/>
        </w:rPr>
        <w:t>Programmes de développement rural du Feader</w:t>
      </w:r>
      <w:bookmarkEnd w:id="34"/>
      <w:bookmarkEnd w:id="35"/>
      <w:bookmarkEnd w:id="36"/>
    </w:p>
    <w:p>
      <w:pPr>
        <w:spacing w:before="120" w:after="120" w:line="240" w:lineRule="auto"/>
        <w:ind w:left="850" w:right="71"/>
        <w:jc w:val="both"/>
        <w:rPr>
          <w:rFonts w:ascii="Times New Roman" w:eastAsia="Times New Roman" w:hAnsi="Times New Roman" w:cs="Times New Roman"/>
          <w:noProof/>
          <w:sz w:val="24"/>
        </w:rPr>
      </w:pPr>
      <w:r>
        <w:rPr>
          <w:rFonts w:ascii="Times New Roman" w:hAnsi="Times New Roman"/>
          <w:noProof/>
          <w:sz w:val="24"/>
        </w:rPr>
        <w:t xml:space="preserve">En ce qui concerne les programmes de développement rural 2014-2020, les crédits de paiement du budget voté pour 2019 s’élevaient à 13 100 millions d’EUR. En outre, les recettes affectées disponibles transférées de l’exercice précédent se sont élevées à 12,4 millions d’EUR et les recettes affectées perçues durant l’année à 25,1 millions d’EUR. Les crédits de paiement ont été renforcés avec le virement d’un montant de 0,5 million d’EUR provenant de la ligne consacrée à la «contribution du corps européen de solidarité - Feader 2014-2020», le virement global de 265,6 millions d’EUR et le virement de fin d’année de 100 millions d’EUR. De surcroît, un virement d’un montant de 961,7 millions d’EUR de recettes affectées provenant de programmes du Feader antérieurs à 2014 a été effectué afin de couvrir intégralement les déclarations de dépenses des États membres pour le troisième trimestre de 2019. Un montant de 1,8 million d’euros a été transféré vers la ligne relative à l’assistance technique opérationnelle. Compte tenu de l’ensemble des virements, le montant total des crédits de paiement disponibles en 2019 s’est élevé à 14 463,4 millions d’EUR. Au total, les crédits de paiement ont été utilisés à hauteur de 13 840,0 millions d’EUR, et un montant de 623,4 millions d’EUR de recettes affectées a été automatiquement reporté de 2019 à 2020. </w:t>
      </w:r>
    </w:p>
    <w:p>
      <w:pPr>
        <w:keepNext/>
        <w:keepLines/>
        <w:spacing w:before="120" w:after="120" w:line="240" w:lineRule="auto"/>
        <w:ind w:left="850"/>
        <w:jc w:val="both"/>
        <w:rPr>
          <w:rFonts w:ascii="Times New Roman" w:eastAsia="Times New Roman" w:hAnsi="Times New Roman" w:cs="Times New Roman"/>
          <w:noProof/>
          <w:sz w:val="24"/>
        </w:rPr>
      </w:pPr>
      <w:bookmarkStart w:id="37" w:name="OLE_LINK9"/>
    </w:p>
    <w:p>
      <w:pPr>
        <w:keepNext/>
        <w:keepLines/>
        <w:spacing w:before="120" w:after="120" w:line="240" w:lineRule="auto"/>
        <w:ind w:left="850"/>
        <w:jc w:val="both"/>
        <w:rPr>
          <w:rFonts w:ascii="Times New Roman" w:eastAsia="Times New Roman" w:hAnsi="Times New Roman" w:cs="Times New Roman"/>
          <w:noProof/>
          <w:sz w:val="24"/>
        </w:rPr>
      </w:pPr>
      <w:r>
        <w:rPr>
          <w:noProof/>
        </w:rPr>
        <w:br w:type="page"/>
      </w:r>
    </w:p>
    <w:p>
      <w:pPr>
        <w:keepNext/>
        <w:keepLines/>
        <w:spacing w:before="120" w:after="120" w:line="240" w:lineRule="auto"/>
        <w:ind w:left="850"/>
        <w:jc w:val="both"/>
        <w:rPr>
          <w:rFonts w:ascii="Times New Roman" w:eastAsia="Times New Roman" w:hAnsi="Times New Roman" w:cs="Times New Roman"/>
          <w:noProof/>
          <w:sz w:val="24"/>
        </w:rPr>
      </w:pPr>
      <w:r>
        <w:rPr>
          <w:rFonts w:ascii="Times New Roman" w:hAnsi="Times New Roman"/>
          <w:noProof/>
          <w:sz w:val="24"/>
        </w:rPr>
        <w:lastRenderedPageBreak/>
        <w:t>Tableau 4</w:t>
      </w:r>
    </w:p>
    <w:tbl>
      <w:tblPr>
        <w:tblW w:w="8080" w:type="dxa"/>
        <w:tblInd w:w="817" w:type="dxa"/>
        <w:tblLook w:val="04A0" w:firstRow="1" w:lastRow="0" w:firstColumn="1" w:lastColumn="0" w:noHBand="0" w:noVBand="1"/>
      </w:tblPr>
      <w:tblGrid>
        <w:gridCol w:w="5670"/>
        <w:gridCol w:w="2410"/>
      </w:tblGrid>
      <w:tr>
        <w:trPr>
          <w:trHeight w:val="285"/>
        </w:trPr>
        <w:tc>
          <w:tcPr>
            <w:tcW w:w="8080" w:type="dxa"/>
            <w:gridSpan w:val="2"/>
            <w:tcBorders>
              <w:top w:val="single" w:sz="8" w:space="0" w:color="auto"/>
              <w:left w:val="single" w:sz="8" w:space="0" w:color="auto"/>
              <w:bottom w:val="nil"/>
              <w:right w:val="single" w:sz="8" w:space="0" w:color="000000"/>
            </w:tcBorders>
            <w:shd w:val="clear" w:color="000000" w:fill="FFFF99"/>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bCs/>
                <w:noProof/>
              </w:rPr>
              <w:t>Gestion des crédits de paiement en 2019</w:t>
            </w:r>
          </w:p>
        </w:tc>
      </w:tr>
      <w:tr>
        <w:trPr>
          <w:trHeight w:val="300"/>
        </w:trPr>
        <w:tc>
          <w:tcPr>
            <w:tcW w:w="8080" w:type="dxa"/>
            <w:gridSpan w:val="2"/>
            <w:tcBorders>
              <w:top w:val="nil"/>
              <w:left w:val="single" w:sz="8" w:space="0" w:color="auto"/>
              <w:bottom w:val="single" w:sz="8" w:space="0" w:color="auto"/>
              <w:right w:val="single" w:sz="8" w:space="0" w:color="000000"/>
            </w:tcBorders>
            <w:shd w:val="clear" w:color="000000" w:fill="FFFF99"/>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bCs/>
                <w:noProof/>
              </w:rPr>
              <w:t>(en EUR)</w:t>
            </w:r>
          </w:p>
        </w:tc>
      </w:tr>
      <w:tr>
        <w:trPr>
          <w:trHeight w:val="315"/>
        </w:trPr>
        <w:tc>
          <w:tcPr>
            <w:tcW w:w="8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noProof/>
              </w:rPr>
            </w:pPr>
            <w:r>
              <w:rPr>
                <w:rFonts w:ascii="Times New Roman" w:hAnsi="Times New Roman"/>
                <w:noProof/>
              </w:rPr>
              <w:t xml:space="preserve"> </w:t>
            </w:r>
          </w:p>
        </w:tc>
      </w:tr>
      <w:tr>
        <w:trPr>
          <w:trHeight w:val="285"/>
        </w:trPr>
        <w:tc>
          <w:tcPr>
            <w:tcW w:w="8080" w:type="dxa"/>
            <w:gridSpan w:val="2"/>
            <w:tcBorders>
              <w:top w:val="single" w:sz="8" w:space="0" w:color="auto"/>
              <w:left w:val="single" w:sz="8" w:space="0" w:color="auto"/>
              <w:bottom w:val="nil"/>
              <w:right w:val="single" w:sz="8" w:space="0" w:color="000000"/>
            </w:tcBorders>
            <w:shd w:val="pct50" w:color="FFFF00" w:fill="FFFF9C"/>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bCs/>
                <w:noProof/>
              </w:rPr>
              <w:t>Feader (2014-2020)</w:t>
            </w:r>
          </w:p>
        </w:tc>
      </w:tr>
      <w:tr>
        <w:trPr>
          <w:trHeight w:val="300"/>
        </w:trPr>
        <w:tc>
          <w:tcPr>
            <w:tcW w:w="8080" w:type="dxa"/>
            <w:gridSpan w:val="2"/>
            <w:tcBorders>
              <w:top w:val="nil"/>
              <w:left w:val="single" w:sz="8" w:space="0" w:color="auto"/>
              <w:bottom w:val="single" w:sz="8" w:space="0" w:color="auto"/>
              <w:right w:val="single" w:sz="8" w:space="0" w:color="000000"/>
            </w:tcBorders>
            <w:shd w:val="pct50" w:color="FFFF00" w:fill="FFFF9C"/>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bCs/>
                <w:noProof/>
              </w:rPr>
              <w:t>Poste budgétaire - 05.046001</w:t>
            </w:r>
          </w:p>
        </w:tc>
      </w:tr>
      <w:tr>
        <w:trPr>
          <w:trHeight w:val="315"/>
        </w:trPr>
        <w:tc>
          <w:tcPr>
            <w:tcW w:w="567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rPr>
            </w:pPr>
            <w:r>
              <w:rPr>
                <w:rFonts w:ascii="Times New Roman" w:hAnsi="Times New Roman"/>
                <w:noProof/>
              </w:rPr>
              <w:t>Crédits au début de 2019</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rPr>
            </w:pPr>
            <w:r>
              <w:rPr>
                <w:rFonts w:ascii="Times New Roman" w:hAnsi="Times New Roman"/>
                <w:noProof/>
              </w:rPr>
              <w:t>13 100 000 000</w:t>
            </w:r>
          </w:p>
        </w:tc>
      </w:tr>
      <w:tr>
        <w:trPr>
          <w:trHeight w:val="615"/>
        </w:trPr>
        <w:tc>
          <w:tcPr>
            <w:tcW w:w="567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rPr>
            </w:pPr>
            <w:r>
              <w:rPr>
                <w:rFonts w:ascii="Times New Roman" w:hAnsi="Times New Roman"/>
                <w:noProof/>
              </w:rPr>
              <w:t>Virement de la ligne «contribution du Feader 2014-2020 au corps européen de solidarité»</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rPr>
            </w:pPr>
            <w:r>
              <w:rPr>
                <w:rFonts w:ascii="Times New Roman" w:hAnsi="Times New Roman"/>
                <w:noProof/>
              </w:rPr>
              <w:t>540 000</w:t>
            </w:r>
          </w:p>
        </w:tc>
      </w:tr>
      <w:tr>
        <w:trPr>
          <w:trHeight w:val="615"/>
        </w:trPr>
        <w:tc>
          <w:tcPr>
            <w:tcW w:w="567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rPr>
            </w:pPr>
            <w:r>
              <w:rPr>
                <w:rFonts w:ascii="Times New Roman" w:hAnsi="Times New Roman"/>
                <w:noProof/>
              </w:rPr>
              <w:t>Virement vers la ligne «assistance technique» du Feader 2014-2020</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rPr>
            </w:pPr>
            <w:r>
              <w:rPr>
                <w:rFonts w:ascii="Times New Roman" w:hAnsi="Times New Roman"/>
                <w:noProof/>
              </w:rPr>
              <w:t>-1 800 000</w:t>
            </w:r>
          </w:p>
        </w:tc>
      </w:tr>
      <w:tr>
        <w:trPr>
          <w:trHeight w:val="615"/>
        </w:trPr>
        <w:tc>
          <w:tcPr>
            <w:tcW w:w="567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rPr>
            </w:pPr>
            <w:r>
              <w:rPr>
                <w:rFonts w:ascii="Times New Roman" w:hAnsi="Times New Roman"/>
                <w:noProof/>
              </w:rPr>
              <w:t>Virement global</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rPr>
            </w:pPr>
            <w:r>
              <w:rPr>
                <w:rFonts w:ascii="Times New Roman" w:hAnsi="Times New Roman"/>
                <w:noProof/>
              </w:rPr>
              <w:t>265 580 630</w:t>
            </w:r>
          </w:p>
        </w:tc>
      </w:tr>
      <w:tr>
        <w:trPr>
          <w:trHeight w:val="315"/>
        </w:trPr>
        <w:tc>
          <w:tcPr>
            <w:tcW w:w="567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rPr>
            </w:pPr>
            <w:r>
              <w:rPr>
                <w:rFonts w:ascii="Times New Roman" w:hAnsi="Times New Roman"/>
                <w:noProof/>
              </w:rPr>
              <w:t>Virement de fin d’année</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rPr>
            </w:pPr>
            <w:r>
              <w:rPr>
                <w:rFonts w:ascii="Times New Roman" w:hAnsi="Times New Roman"/>
                <w:noProof/>
              </w:rPr>
              <w:t>100 000 000</w:t>
            </w:r>
          </w:p>
        </w:tc>
      </w:tr>
      <w:tr>
        <w:trPr>
          <w:trHeight w:val="315"/>
        </w:trPr>
        <w:tc>
          <w:tcPr>
            <w:tcW w:w="567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rPr>
            </w:pPr>
            <w:r>
              <w:rPr>
                <w:rFonts w:ascii="Times New Roman" w:hAnsi="Times New Roman"/>
                <w:noProof/>
              </w:rPr>
              <w:t>Recettes affectées reportées de 2018</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rPr>
            </w:pPr>
            <w:r>
              <w:rPr>
                <w:rFonts w:ascii="Times New Roman" w:hAnsi="Times New Roman"/>
                <w:noProof/>
              </w:rPr>
              <w:t>12 400 084</w:t>
            </w:r>
          </w:p>
        </w:tc>
      </w:tr>
      <w:tr>
        <w:trPr>
          <w:trHeight w:val="615"/>
        </w:trPr>
        <w:tc>
          <w:tcPr>
            <w:tcW w:w="567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rPr>
            </w:pPr>
            <w:r>
              <w:rPr>
                <w:rFonts w:ascii="Times New Roman" w:hAnsi="Times New Roman"/>
                <w:noProof/>
              </w:rPr>
              <w:t>Recettes affectées perçues en 2019</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rPr>
            </w:pPr>
            <w:r>
              <w:rPr>
                <w:rFonts w:ascii="Times New Roman" w:hAnsi="Times New Roman"/>
                <w:noProof/>
              </w:rPr>
              <w:t>25 056 900</w:t>
            </w:r>
          </w:p>
        </w:tc>
      </w:tr>
      <w:tr>
        <w:trPr>
          <w:trHeight w:val="615"/>
        </w:trPr>
        <w:tc>
          <w:tcPr>
            <w:tcW w:w="567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rPr>
            </w:pPr>
            <w:r>
              <w:rPr>
                <w:rFonts w:ascii="Times New Roman" w:hAnsi="Times New Roman"/>
                <w:noProof/>
              </w:rPr>
              <w:t>Virement de recettes affectées provenant du Feader antérieures à 2014</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rPr>
            </w:pPr>
            <w:r>
              <w:rPr>
                <w:rFonts w:ascii="Times New Roman" w:hAnsi="Times New Roman"/>
                <w:noProof/>
              </w:rPr>
              <w:t>961 659 440</w:t>
            </w:r>
          </w:p>
        </w:tc>
      </w:tr>
      <w:tr>
        <w:trPr>
          <w:trHeight w:val="315"/>
        </w:trPr>
        <w:tc>
          <w:tcPr>
            <w:tcW w:w="567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b/>
                <w:bCs/>
                <w:noProof/>
              </w:rPr>
            </w:pPr>
            <w:r>
              <w:rPr>
                <w:rFonts w:ascii="Times New Roman" w:hAnsi="Times New Roman"/>
                <w:b/>
                <w:bCs/>
                <w:noProof/>
              </w:rPr>
              <w:t>Crédits disponibles en 2019</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rPr>
            </w:pPr>
            <w:r>
              <w:rPr>
                <w:rFonts w:ascii="Times New Roman" w:hAnsi="Times New Roman"/>
                <w:b/>
                <w:bCs/>
                <w:noProof/>
              </w:rPr>
              <w:t>14 463 437 054</w:t>
            </w:r>
          </w:p>
        </w:tc>
      </w:tr>
      <w:tr>
        <w:trPr>
          <w:trHeight w:val="285"/>
        </w:trPr>
        <w:tc>
          <w:tcPr>
            <w:tcW w:w="567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rPr>
            </w:pPr>
            <w:r>
              <w:rPr>
                <w:rFonts w:ascii="Times New Roman" w:hAnsi="Times New Roman"/>
                <w:noProof/>
              </w:rPr>
              <w:t>Crédits utilisés en 2019</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rPr>
            </w:pPr>
            <w:r>
              <w:rPr>
                <w:rFonts w:ascii="Times New Roman" w:hAnsi="Times New Roman"/>
                <w:noProof/>
              </w:rPr>
              <w:t>13 839 996 951</w:t>
            </w:r>
          </w:p>
        </w:tc>
      </w:tr>
    </w:tbl>
    <w:p>
      <w:pPr>
        <w:spacing w:before="120" w:after="120" w:line="240" w:lineRule="auto"/>
        <w:ind w:left="850"/>
        <w:jc w:val="both"/>
        <w:rPr>
          <w:rFonts w:ascii="Times New Roman" w:eastAsia="Times New Roman" w:hAnsi="Times New Roman" w:cs="Times New Roman"/>
          <w:noProof/>
          <w:sz w:val="24"/>
          <w:lang w:eastAsia="en-GB"/>
        </w:rPr>
      </w:pPr>
    </w:p>
    <w:p>
      <w:pPr>
        <w:keepNext/>
        <w:tabs>
          <w:tab w:val="left" w:pos="850"/>
        </w:tabs>
        <w:spacing w:before="240" w:after="120" w:line="240" w:lineRule="auto"/>
        <w:ind w:left="850" w:hanging="850"/>
        <w:jc w:val="both"/>
        <w:outlineLvl w:val="2"/>
        <w:rPr>
          <w:rFonts w:ascii="Times New Roman" w:eastAsia="Times New Roman" w:hAnsi="Times New Roman" w:cs="Times New Roman"/>
          <w:i/>
          <w:noProof/>
          <w:sz w:val="24"/>
        </w:rPr>
      </w:pPr>
      <w:bookmarkStart w:id="38" w:name="_Toc331167068"/>
      <w:bookmarkStart w:id="39" w:name="_Toc393127476"/>
      <w:bookmarkStart w:id="40" w:name="_Toc48126095"/>
      <w:bookmarkEnd w:id="37"/>
      <w:r>
        <w:rPr>
          <w:rFonts w:ascii="Times New Roman" w:hAnsi="Times New Roman"/>
          <w:i/>
          <w:noProof/>
          <w:sz w:val="24"/>
        </w:rPr>
        <w:t>2.2.2.</w:t>
      </w:r>
      <w:r>
        <w:rPr>
          <w:noProof/>
        </w:rPr>
        <w:tab/>
      </w:r>
      <w:r>
        <w:rPr>
          <w:rFonts w:ascii="Times New Roman" w:hAnsi="Times New Roman"/>
          <w:i/>
          <w:noProof/>
          <w:sz w:val="24"/>
        </w:rPr>
        <w:t>Assistance technique</w:t>
      </w:r>
      <w:bookmarkEnd w:id="38"/>
      <w:bookmarkEnd w:id="39"/>
      <w:bookmarkEnd w:id="40"/>
    </w:p>
    <w:p>
      <w:pPr>
        <w:spacing w:before="120" w:after="120" w:line="240" w:lineRule="auto"/>
        <w:ind w:left="850" w:right="71"/>
        <w:jc w:val="both"/>
        <w:rPr>
          <w:rFonts w:ascii="Times New Roman" w:eastAsia="Times New Roman" w:hAnsi="Times New Roman" w:cs="Times New Roman"/>
          <w:noProof/>
          <w:sz w:val="24"/>
        </w:rPr>
      </w:pPr>
      <w:r>
        <w:rPr>
          <w:rFonts w:ascii="Times New Roman" w:hAnsi="Times New Roman"/>
          <w:noProof/>
          <w:sz w:val="24"/>
        </w:rPr>
        <w:t xml:space="preserve">En ce qui concerne l’assistance technique du Feader à l’initiative de la Commission, les crédits de paiement totaux inscrits au budget 2019 s’élevaient à 21,8 millions d’EUR, dont 1,8 million d’EUR a été transféré de la ligne de programmation du Feader 2014-2020 pour couvrir les besoins de paiement. Les crédits de paiement totaux s’élevaient à 23,6 millions d’EUR. </w:t>
      </w:r>
    </w:p>
    <w:p>
      <w:pPr>
        <w:keepNext/>
        <w:tabs>
          <w:tab w:val="left" w:pos="850"/>
        </w:tabs>
        <w:spacing w:before="360" w:after="120" w:line="240" w:lineRule="auto"/>
        <w:ind w:left="850" w:right="749" w:hanging="850"/>
        <w:jc w:val="both"/>
        <w:outlineLvl w:val="0"/>
        <w:rPr>
          <w:rFonts w:ascii="Times New Roman" w:eastAsia="Times New Roman" w:hAnsi="Times New Roman" w:cs="Times New Roman"/>
          <w:b/>
          <w:smallCaps/>
          <w:noProof/>
          <w:sz w:val="24"/>
        </w:rPr>
      </w:pPr>
      <w:bookmarkStart w:id="41" w:name="_Toc331167069"/>
      <w:bookmarkStart w:id="42" w:name="_Toc393127477"/>
      <w:bookmarkStart w:id="43" w:name="_Toc48126096"/>
      <w:r>
        <w:rPr>
          <w:rFonts w:ascii="Times New Roman" w:hAnsi="Times New Roman"/>
          <w:b/>
          <w:smallCaps/>
          <w:noProof/>
          <w:sz w:val="24"/>
        </w:rPr>
        <w:t>3.</w:t>
      </w:r>
      <w:r>
        <w:rPr>
          <w:noProof/>
        </w:rPr>
        <w:tab/>
      </w:r>
      <w:r>
        <w:rPr>
          <w:rFonts w:ascii="Times New Roman" w:hAnsi="Times New Roman"/>
          <w:b/>
          <w:smallCaps/>
          <w:noProof/>
          <w:sz w:val="24"/>
        </w:rPr>
        <w:t>Exécution du budget 2019 du Feader</w:t>
      </w:r>
      <w:bookmarkEnd w:id="41"/>
      <w:bookmarkEnd w:id="42"/>
      <w:bookmarkEnd w:id="43"/>
    </w:p>
    <w:p>
      <w:pPr>
        <w:keepNext/>
        <w:tabs>
          <w:tab w:val="left" w:pos="850"/>
        </w:tabs>
        <w:spacing w:before="240" w:after="120" w:line="240" w:lineRule="auto"/>
        <w:ind w:left="850" w:right="749" w:hanging="850"/>
        <w:jc w:val="both"/>
        <w:outlineLvl w:val="1"/>
        <w:rPr>
          <w:rFonts w:ascii="Times New Roman" w:eastAsia="Times New Roman" w:hAnsi="Times New Roman" w:cs="Times New Roman"/>
          <w:b/>
          <w:noProof/>
          <w:sz w:val="24"/>
        </w:rPr>
      </w:pPr>
      <w:bookmarkStart w:id="44" w:name="_Toc331167071"/>
      <w:bookmarkStart w:id="45" w:name="_Toc393127479"/>
      <w:bookmarkStart w:id="46" w:name="_Toc48126097"/>
      <w:r>
        <w:rPr>
          <w:rFonts w:ascii="Times New Roman" w:hAnsi="Times New Roman"/>
          <w:b/>
          <w:noProof/>
          <w:sz w:val="24"/>
        </w:rPr>
        <w:t>3.1.</w:t>
      </w:r>
      <w:r>
        <w:rPr>
          <w:noProof/>
        </w:rPr>
        <w:tab/>
      </w:r>
      <w:r>
        <w:rPr>
          <w:rFonts w:ascii="Times New Roman" w:hAnsi="Times New Roman"/>
          <w:b/>
          <w:noProof/>
          <w:sz w:val="24"/>
        </w:rPr>
        <w:t>Exécution des crédits d’engagement</w:t>
      </w:r>
      <w:bookmarkEnd w:id="44"/>
      <w:bookmarkEnd w:id="45"/>
      <w:bookmarkEnd w:id="46"/>
    </w:p>
    <w:p>
      <w:pPr>
        <w:keepNext/>
        <w:tabs>
          <w:tab w:val="left" w:pos="850"/>
          <w:tab w:val="right" w:pos="8322"/>
        </w:tabs>
        <w:spacing w:before="240" w:after="120" w:line="240" w:lineRule="auto"/>
        <w:ind w:left="850" w:right="749" w:hanging="850"/>
        <w:jc w:val="both"/>
        <w:outlineLvl w:val="2"/>
        <w:rPr>
          <w:rFonts w:ascii="Times New Roman" w:eastAsia="Times New Roman" w:hAnsi="Times New Roman" w:cs="Times New Roman"/>
          <w:i/>
          <w:noProof/>
          <w:sz w:val="24"/>
        </w:rPr>
      </w:pPr>
      <w:bookmarkStart w:id="47" w:name="_Toc331167072"/>
      <w:bookmarkStart w:id="48" w:name="_Toc393127480"/>
      <w:bookmarkStart w:id="49" w:name="_Toc48126098"/>
      <w:r>
        <w:rPr>
          <w:rFonts w:ascii="Times New Roman" w:hAnsi="Times New Roman"/>
          <w:i/>
          <w:noProof/>
          <w:sz w:val="24"/>
        </w:rPr>
        <w:t>3.1.1.</w:t>
      </w:r>
      <w:r>
        <w:rPr>
          <w:noProof/>
        </w:rPr>
        <w:tab/>
      </w:r>
      <w:r>
        <w:rPr>
          <w:rFonts w:ascii="Times New Roman" w:hAnsi="Times New Roman"/>
          <w:i/>
          <w:noProof/>
          <w:sz w:val="24"/>
        </w:rPr>
        <w:t>Programmes de développement rural du Feader</w:t>
      </w:r>
      <w:bookmarkEnd w:id="47"/>
      <w:bookmarkEnd w:id="48"/>
      <w:bookmarkEnd w:id="49"/>
      <w:r>
        <w:rPr>
          <w:noProof/>
        </w:rPr>
        <w:tab/>
      </w:r>
    </w:p>
    <w:p>
      <w:pPr>
        <w:spacing w:before="120" w:after="240" w:line="240" w:lineRule="auto"/>
        <w:ind w:left="850" w:right="71"/>
        <w:jc w:val="both"/>
        <w:rPr>
          <w:rFonts w:ascii="Times New Roman" w:eastAsia="Times New Roman" w:hAnsi="Times New Roman" w:cs="Times New Roman"/>
          <w:noProof/>
          <w:sz w:val="24"/>
        </w:rPr>
      </w:pPr>
      <w:r>
        <w:rPr>
          <w:rFonts w:ascii="Times New Roman" w:hAnsi="Times New Roman"/>
          <w:noProof/>
          <w:sz w:val="24"/>
        </w:rPr>
        <w:t xml:space="preserve">La totalité des crédits d’engagement inscrits au budget 2019 pour les programmes du Feader 2014-2020 (14 656,5 millions d’EUR) a été engagée. </w:t>
      </w:r>
    </w:p>
    <w:p>
      <w:pPr>
        <w:spacing w:before="120" w:after="240" w:line="240" w:lineRule="auto"/>
        <w:ind w:left="850" w:right="71"/>
        <w:jc w:val="both"/>
        <w:rPr>
          <w:rFonts w:ascii="Times New Roman" w:eastAsia="Times New Roman" w:hAnsi="Times New Roman" w:cs="Times New Roman"/>
          <w:noProof/>
          <w:sz w:val="24"/>
        </w:rPr>
      </w:pPr>
      <w:bookmarkStart w:id="50" w:name="OLE_LINK10"/>
      <w:r>
        <w:rPr>
          <w:rFonts w:ascii="Times New Roman" w:hAnsi="Times New Roman"/>
          <w:noProof/>
          <w:sz w:val="24"/>
        </w:rPr>
        <w:t>Le tableau 5 présente, par État membre, la dotation fixée par le règlement (UE) nº 1305/2013, modifié en dernier lieu par le règlement (UE) 2019/288</w:t>
      </w:r>
      <w:r>
        <w:rPr>
          <w:rFonts w:ascii="Times New Roman" w:eastAsia="Times New Roman" w:hAnsi="Times New Roman" w:cs="Times New Roman"/>
          <w:noProof/>
          <w:sz w:val="24"/>
          <w:vertAlign w:val="superscript"/>
          <w:lang w:eastAsia="en-GB"/>
        </w:rPr>
        <w:footnoteReference w:id="1"/>
      </w:r>
      <w:r>
        <w:rPr>
          <w:rFonts w:ascii="Times New Roman" w:hAnsi="Times New Roman"/>
          <w:noProof/>
          <w:sz w:val="24"/>
        </w:rPr>
        <w:t>, et les montants engagés en 2019.</w:t>
      </w:r>
    </w:p>
    <w:p>
      <w:pPr>
        <w:keepNext/>
        <w:keepLines/>
        <w:spacing w:before="120" w:after="120" w:line="240" w:lineRule="auto"/>
        <w:ind w:left="850"/>
        <w:jc w:val="both"/>
        <w:rPr>
          <w:rFonts w:ascii="Times New Roman" w:eastAsia="Times New Roman" w:hAnsi="Times New Roman" w:cs="Times New Roman"/>
          <w:noProof/>
          <w:sz w:val="24"/>
        </w:rPr>
      </w:pPr>
      <w:r>
        <w:rPr>
          <w:rFonts w:ascii="Times New Roman" w:hAnsi="Times New Roman"/>
          <w:noProof/>
          <w:sz w:val="24"/>
        </w:rPr>
        <w:t xml:space="preserve">Tableau 5 </w:t>
      </w:r>
    </w:p>
    <w:tbl>
      <w:tblPr>
        <w:tblW w:w="5960" w:type="dxa"/>
        <w:tblInd w:w="967" w:type="dxa"/>
        <w:tblLook w:val="04A0" w:firstRow="1" w:lastRow="0" w:firstColumn="1" w:lastColumn="0" w:noHBand="0" w:noVBand="1"/>
      </w:tblPr>
      <w:tblGrid>
        <w:gridCol w:w="1700"/>
        <w:gridCol w:w="2280"/>
        <w:gridCol w:w="1980"/>
      </w:tblGrid>
      <w:tr>
        <w:trPr>
          <w:trHeight w:val="615"/>
        </w:trPr>
        <w:tc>
          <w:tcPr>
            <w:tcW w:w="5960" w:type="dxa"/>
            <w:gridSpan w:val="3"/>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rPr>
                <w:rFonts w:ascii="Times New Roman" w:eastAsia="Times New Roman" w:hAnsi="Times New Roman" w:cs="Times New Roman"/>
                <w:b/>
                <w:bCs/>
                <w:i/>
                <w:iCs/>
                <w:noProof/>
              </w:rPr>
            </w:pPr>
            <w:bookmarkStart w:id="51" w:name="_Toc331167073"/>
            <w:bookmarkStart w:id="52" w:name="_Toc393127481"/>
            <w:bookmarkEnd w:id="50"/>
            <w:r>
              <w:rPr>
                <w:rFonts w:ascii="Times New Roman" w:hAnsi="Times New Roman"/>
                <w:b/>
                <w:bCs/>
                <w:i/>
                <w:iCs/>
                <w:noProof/>
              </w:rPr>
              <w:t>Règlement (UE) nº 1305/2013 (modifié) - comparaison avec les montants engagés à la fin de 2019</w:t>
            </w:r>
          </w:p>
        </w:tc>
      </w:tr>
      <w:tr>
        <w:trPr>
          <w:trHeight w:val="270"/>
        </w:trPr>
        <w:tc>
          <w:tcPr>
            <w:tcW w:w="3980" w:type="dxa"/>
            <w:gridSpan w:val="2"/>
            <w:tcBorders>
              <w:top w:val="single" w:sz="8" w:space="0" w:color="auto"/>
              <w:left w:val="single" w:sz="8" w:space="0" w:color="auto"/>
              <w:bottom w:val="single" w:sz="8" w:space="0" w:color="auto"/>
              <w:right w:val="nil"/>
            </w:tcBorders>
            <w:shd w:val="clear" w:color="auto" w:fill="auto"/>
            <w:noWrap/>
            <w:vAlign w:val="center"/>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Poste budgétaire: 05.046001</w:t>
            </w:r>
          </w:p>
        </w:tc>
        <w:tc>
          <w:tcPr>
            <w:tcW w:w="1980" w:type="dxa"/>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i/>
                <w:iCs/>
                <w:noProof/>
                <w:sz w:val="20"/>
                <w:szCs w:val="20"/>
              </w:rPr>
            </w:pPr>
            <w:r>
              <w:rPr>
                <w:rFonts w:ascii="Times New Roman" w:hAnsi="Times New Roman"/>
                <w:i/>
                <w:iCs/>
                <w:noProof/>
                <w:sz w:val="20"/>
                <w:szCs w:val="20"/>
              </w:rPr>
              <w:t>(en EUR)</w:t>
            </w:r>
          </w:p>
        </w:tc>
      </w:tr>
      <w:tr>
        <w:trPr>
          <w:trHeight w:val="510"/>
        </w:trPr>
        <w:tc>
          <w:tcPr>
            <w:tcW w:w="1700" w:type="dxa"/>
            <w:vMerge w:val="restart"/>
            <w:tcBorders>
              <w:top w:val="nil"/>
              <w:left w:val="single" w:sz="8" w:space="0" w:color="auto"/>
              <w:bottom w:val="single" w:sz="8" w:space="0" w:color="000000"/>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EM</w:t>
            </w:r>
          </w:p>
        </w:tc>
        <w:tc>
          <w:tcPr>
            <w:tcW w:w="228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Règlement (UE) nº 1305/2013</w:t>
            </w:r>
          </w:p>
        </w:tc>
        <w:tc>
          <w:tcPr>
            <w:tcW w:w="1980" w:type="dxa"/>
            <w:vMerge w:val="restart"/>
            <w:tcBorders>
              <w:top w:val="nil"/>
              <w:left w:val="single" w:sz="8" w:space="0" w:color="auto"/>
              <w:bottom w:val="single" w:sz="8" w:space="0" w:color="000000"/>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Montants engagés en 2019</w:t>
            </w:r>
          </w:p>
        </w:tc>
      </w:tr>
      <w:tr>
        <w:trPr>
          <w:trHeight w:val="270"/>
        </w:trPr>
        <w:tc>
          <w:tcPr>
            <w:tcW w:w="1700"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sz w:val="20"/>
                <w:szCs w:val="20"/>
                <w:lang w:eastAsia="en-GB"/>
              </w:rPr>
            </w:pPr>
          </w:p>
        </w:tc>
        <w:tc>
          <w:tcPr>
            <w:tcW w:w="228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Dotation 2019</w:t>
            </w:r>
          </w:p>
        </w:tc>
        <w:tc>
          <w:tcPr>
            <w:tcW w:w="1980"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sz w:val="20"/>
                <w:szCs w:val="20"/>
                <w:lang w:eastAsia="en-GB"/>
              </w:rPr>
            </w:pPr>
          </w:p>
        </w:tc>
      </w:tr>
      <w:tr>
        <w:trPr>
          <w:trHeight w:val="270"/>
        </w:trPr>
        <w:tc>
          <w:tcPr>
            <w:tcW w:w="170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rPr>
                <w:rFonts w:ascii="Calibri" w:eastAsia="Times New Roman" w:hAnsi="Calibri" w:cs="Calibri"/>
                <w:noProof/>
                <w:sz w:val="20"/>
                <w:szCs w:val="20"/>
              </w:rPr>
            </w:pPr>
            <w:r>
              <w:rPr>
                <w:rFonts w:ascii="Calibri" w:hAnsi="Calibri"/>
                <w:noProof/>
                <w:sz w:val="20"/>
                <w:szCs w:val="20"/>
              </w:rPr>
              <w:t xml:space="preserve"> </w:t>
            </w:r>
          </w:p>
        </w:tc>
        <w:tc>
          <w:tcPr>
            <w:tcW w:w="228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(a)</w:t>
            </w:r>
          </w:p>
        </w:tc>
        <w:tc>
          <w:tcPr>
            <w:tcW w:w="198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(b)</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BE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102 912 713</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102 912 713</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BG</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339 523 306</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339 523 306</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CZ</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323 242 050</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323 242 050</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DK</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152 367 537</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152 367 537</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DE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1 397 914 658</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1 397 914 658</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EE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127 277 180</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127 277 180</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IE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312 764 355</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312 764 355</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GR</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700 043 071</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700 043 071</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ES</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1 183 448 718</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1 183 448 718</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FR</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1 984 761 729</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1 984 761 729</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HR</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282 342 500</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282 342 500</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IT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1 498 573 799</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1 498 573 799</w:t>
            </w:r>
          </w:p>
        </w:tc>
      </w:tr>
      <w:tr>
        <w:trPr>
          <w:trHeight w:val="315"/>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CY</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18 889 108</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18 889 108</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LV</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159 374 589</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159 374 589</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LT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247 213 599</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247 213 599</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LU</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14 464 074</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14 464 074</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HU</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487 402 356</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487 402 356</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MT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13 876 504</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13 876 504</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NL</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148 107 797</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148 107 797</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AT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565 713 368</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565 713 368</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PL</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1 189 103 987</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1 189 103 987</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PT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581 637 133</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581 637 133</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RO</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1 141 925 604</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1 141 925 604</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SI</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120 384 760</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120 384 760</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SK</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214 844 203</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214 844 203</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FI</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343 198 337</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343 198 337</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SE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249 710 989</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249 710 989</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UK</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755 442 113</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755 442 113</w:t>
            </w:r>
          </w:p>
        </w:tc>
      </w:tr>
      <w:tr>
        <w:trPr>
          <w:trHeight w:val="270"/>
        </w:trPr>
        <w:tc>
          <w:tcPr>
            <w:tcW w:w="1700"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Total</w:t>
            </w:r>
          </w:p>
        </w:tc>
        <w:tc>
          <w:tcPr>
            <w:tcW w:w="22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bCs/>
                <w:noProof/>
                <w:sz w:val="20"/>
                <w:szCs w:val="20"/>
              </w:rPr>
              <w:t>14 656 460 137</w:t>
            </w:r>
          </w:p>
        </w:tc>
        <w:tc>
          <w:tcPr>
            <w:tcW w:w="19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bCs/>
                <w:noProof/>
                <w:sz w:val="20"/>
                <w:szCs w:val="20"/>
              </w:rPr>
              <w:t>14 656 460 137</w:t>
            </w:r>
          </w:p>
        </w:tc>
      </w:tr>
    </w:tbl>
    <w:p>
      <w:pPr>
        <w:keepNext/>
        <w:tabs>
          <w:tab w:val="left" w:pos="850"/>
        </w:tabs>
        <w:spacing w:before="240" w:after="120" w:line="240" w:lineRule="auto"/>
        <w:ind w:left="850" w:hanging="850"/>
        <w:jc w:val="both"/>
        <w:outlineLvl w:val="2"/>
        <w:rPr>
          <w:rFonts w:ascii="Times New Roman" w:eastAsia="Times New Roman" w:hAnsi="Times New Roman" w:cs="Times New Roman"/>
          <w:i/>
          <w:noProof/>
          <w:sz w:val="24"/>
          <w:lang w:eastAsia="en-GB"/>
        </w:rPr>
      </w:pPr>
    </w:p>
    <w:p>
      <w:pPr>
        <w:keepNext/>
        <w:tabs>
          <w:tab w:val="left" w:pos="850"/>
        </w:tabs>
        <w:spacing w:before="240" w:after="120" w:line="240" w:lineRule="auto"/>
        <w:ind w:left="850" w:hanging="850"/>
        <w:jc w:val="both"/>
        <w:outlineLvl w:val="2"/>
        <w:rPr>
          <w:rFonts w:ascii="Times New Roman" w:eastAsia="Times New Roman" w:hAnsi="Times New Roman" w:cs="Times New Roman"/>
          <w:i/>
          <w:noProof/>
          <w:sz w:val="24"/>
        </w:rPr>
      </w:pPr>
      <w:r>
        <w:rPr>
          <w:noProof/>
        </w:rPr>
        <w:br w:type="page"/>
      </w:r>
    </w:p>
    <w:p>
      <w:pPr>
        <w:keepNext/>
        <w:tabs>
          <w:tab w:val="left" w:pos="850"/>
        </w:tabs>
        <w:spacing w:before="240" w:after="120" w:line="240" w:lineRule="auto"/>
        <w:ind w:left="850" w:hanging="850"/>
        <w:jc w:val="both"/>
        <w:outlineLvl w:val="2"/>
        <w:rPr>
          <w:rFonts w:ascii="Times New Roman" w:eastAsia="Times New Roman" w:hAnsi="Times New Roman" w:cs="Times New Roman"/>
          <w:i/>
          <w:noProof/>
          <w:sz w:val="24"/>
        </w:rPr>
      </w:pPr>
      <w:bookmarkStart w:id="53" w:name="_Toc48126099"/>
      <w:r>
        <w:rPr>
          <w:rFonts w:ascii="Times New Roman" w:hAnsi="Times New Roman"/>
          <w:i/>
          <w:noProof/>
          <w:sz w:val="24"/>
        </w:rPr>
        <w:t>3.1.2.</w:t>
      </w:r>
      <w:r>
        <w:rPr>
          <w:noProof/>
        </w:rPr>
        <w:tab/>
      </w:r>
      <w:r>
        <w:rPr>
          <w:rFonts w:ascii="Times New Roman" w:hAnsi="Times New Roman"/>
          <w:i/>
          <w:noProof/>
          <w:sz w:val="24"/>
        </w:rPr>
        <w:t>Assistance technique</w:t>
      </w:r>
      <w:bookmarkEnd w:id="51"/>
      <w:bookmarkEnd w:id="52"/>
      <w:bookmarkEnd w:id="53"/>
    </w:p>
    <w:p>
      <w:pPr>
        <w:spacing w:before="120" w:after="240" w:line="240" w:lineRule="auto"/>
        <w:ind w:left="851" w:right="71"/>
        <w:jc w:val="both"/>
        <w:rPr>
          <w:rFonts w:ascii="Times New Roman" w:eastAsia="Times New Roman" w:hAnsi="Times New Roman" w:cs="Times New Roman"/>
          <w:noProof/>
          <w:sz w:val="24"/>
        </w:rPr>
      </w:pPr>
      <w:r>
        <w:rPr>
          <w:rFonts w:ascii="Times New Roman" w:hAnsi="Times New Roman"/>
          <w:noProof/>
          <w:sz w:val="24"/>
        </w:rPr>
        <w:t>Pour la période de programmation 2014-2020, le montant des crédits d’engagement inscrits au budget 2019 pour l’assistance technique opérationnelle s’élevait à 17,1 millions d’EUR. Le tableau 6 présente la consommation des crédits d’engagement disponibles au titre de l’assistance technique opérationnelle en 2019. La majeure partie de ces montants concerne le réseau européen de développement rural.</w:t>
      </w:r>
    </w:p>
    <w:p>
      <w:pPr>
        <w:keepNext/>
        <w:keepLines/>
        <w:spacing w:before="120" w:after="120" w:line="240" w:lineRule="auto"/>
        <w:ind w:left="850"/>
        <w:jc w:val="both"/>
        <w:rPr>
          <w:rFonts w:ascii="Times New Roman" w:eastAsia="Times New Roman" w:hAnsi="Times New Roman" w:cs="Times New Roman"/>
          <w:noProof/>
          <w:sz w:val="24"/>
        </w:rPr>
      </w:pPr>
      <w:bookmarkStart w:id="54" w:name="OLE_LINK11"/>
      <w:r>
        <w:rPr>
          <w:rFonts w:ascii="Times New Roman" w:hAnsi="Times New Roman"/>
          <w:noProof/>
          <w:sz w:val="24"/>
        </w:rPr>
        <w:t>Tableau 6</w:t>
      </w:r>
    </w:p>
    <w:tbl>
      <w:tblPr>
        <w:tblW w:w="8221" w:type="dxa"/>
        <w:tblInd w:w="959" w:type="dxa"/>
        <w:tblLook w:val="04A0" w:firstRow="1" w:lastRow="0" w:firstColumn="1" w:lastColumn="0" w:noHBand="0" w:noVBand="1"/>
      </w:tblPr>
      <w:tblGrid>
        <w:gridCol w:w="5812"/>
        <w:gridCol w:w="2409"/>
      </w:tblGrid>
      <w:tr>
        <w:trPr>
          <w:trHeight w:val="600"/>
        </w:trPr>
        <w:tc>
          <w:tcPr>
            <w:tcW w:w="8221"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rPr>
                <w:rFonts w:ascii="Times New Roman" w:eastAsia="Times New Roman" w:hAnsi="Times New Roman" w:cs="Times New Roman"/>
                <w:b/>
                <w:bCs/>
                <w:i/>
                <w:iCs/>
                <w:noProof/>
                <w:color w:val="000000"/>
              </w:rPr>
            </w:pPr>
            <w:r>
              <w:rPr>
                <w:rFonts w:ascii="Times New Roman" w:hAnsi="Times New Roman"/>
                <w:b/>
                <w:bCs/>
                <w:i/>
                <w:iCs/>
                <w:noProof/>
                <w:color w:val="000000"/>
              </w:rPr>
              <w:t>Assistance technique opérationnelle - Exécution des crédits d’engagement</w:t>
            </w:r>
          </w:p>
        </w:tc>
      </w:tr>
      <w:tr>
        <w:trPr>
          <w:trHeight w:val="270"/>
        </w:trPr>
        <w:tc>
          <w:tcPr>
            <w:tcW w:w="5812" w:type="dxa"/>
            <w:tcBorders>
              <w:top w:val="nil"/>
              <w:left w:val="single" w:sz="8" w:space="0" w:color="auto"/>
              <w:bottom w:val="single" w:sz="8" w:space="0" w:color="auto"/>
              <w:right w:val="nil"/>
            </w:tcBorders>
            <w:shd w:val="clear" w:color="auto" w:fill="auto"/>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Poste budgétaire: 05.046002</w:t>
            </w:r>
          </w:p>
        </w:tc>
        <w:tc>
          <w:tcPr>
            <w:tcW w:w="240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xml:space="preserve"> (en EUR) </w:t>
            </w:r>
          </w:p>
        </w:tc>
      </w:tr>
      <w:tr>
        <w:trPr>
          <w:trHeight w:val="525"/>
        </w:trPr>
        <w:tc>
          <w:tcPr>
            <w:tcW w:w="5812"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Description</w:t>
            </w:r>
          </w:p>
        </w:tc>
        <w:tc>
          <w:tcPr>
            <w:tcW w:w="2409"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 xml:space="preserve"> Montant engagé </w:t>
            </w:r>
          </w:p>
        </w:tc>
      </w:tr>
      <w:tr>
        <w:trPr>
          <w:trHeight w:val="284"/>
        </w:trPr>
        <w:tc>
          <w:tcPr>
            <w:tcW w:w="581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Réseau européen de développement rural </w:t>
            </w:r>
          </w:p>
        </w:tc>
        <w:tc>
          <w:tcPr>
            <w:tcW w:w="2409"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4 980 794 </w:t>
            </w:r>
          </w:p>
        </w:tc>
      </w:tr>
      <w:tr>
        <w:trPr>
          <w:trHeight w:val="284"/>
        </w:trPr>
        <w:tc>
          <w:tcPr>
            <w:tcW w:w="581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Technologies de l’information*</w:t>
            </w:r>
          </w:p>
        </w:tc>
        <w:tc>
          <w:tcPr>
            <w:tcW w:w="2409"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3 111 799 </w:t>
            </w:r>
          </w:p>
        </w:tc>
      </w:tr>
      <w:tr>
        <w:trPr>
          <w:trHeight w:val="284"/>
        </w:trPr>
        <w:tc>
          <w:tcPr>
            <w:tcW w:w="581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Partenariat d’innovation européen </w:t>
            </w:r>
          </w:p>
        </w:tc>
        <w:tc>
          <w:tcPr>
            <w:tcW w:w="2409"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2 736 732 </w:t>
            </w:r>
          </w:p>
        </w:tc>
      </w:tr>
      <w:tr>
        <w:trPr>
          <w:trHeight w:val="284"/>
        </w:trPr>
        <w:tc>
          <w:tcPr>
            <w:tcW w:w="581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Réseau européen d’évaluation </w:t>
            </w:r>
          </w:p>
        </w:tc>
        <w:tc>
          <w:tcPr>
            <w:tcW w:w="2409"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1 975 414 </w:t>
            </w:r>
          </w:p>
        </w:tc>
      </w:tr>
      <w:tr>
        <w:trPr>
          <w:trHeight w:val="284"/>
        </w:trPr>
        <w:tc>
          <w:tcPr>
            <w:tcW w:w="581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Communication institutionnelle</w:t>
            </w:r>
          </w:p>
        </w:tc>
        <w:tc>
          <w:tcPr>
            <w:tcW w:w="2409"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1 380 000 </w:t>
            </w:r>
          </w:p>
        </w:tc>
      </w:tr>
      <w:tr>
        <w:trPr>
          <w:trHeight w:val="284"/>
        </w:trPr>
        <w:tc>
          <w:tcPr>
            <w:tcW w:w="581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Plateforme d’assistance technique pour les instruments financiers</w:t>
            </w:r>
          </w:p>
        </w:tc>
        <w:tc>
          <w:tcPr>
            <w:tcW w:w="2409"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500 000 </w:t>
            </w:r>
          </w:p>
        </w:tc>
      </w:tr>
      <w:tr>
        <w:trPr>
          <w:trHeight w:val="284"/>
        </w:trPr>
        <w:tc>
          <w:tcPr>
            <w:tcW w:w="581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Base de données sur l’agriculture biologique</w:t>
            </w:r>
          </w:p>
        </w:tc>
        <w:tc>
          <w:tcPr>
            <w:tcW w:w="2409"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433 295 </w:t>
            </w:r>
          </w:p>
        </w:tc>
      </w:tr>
      <w:tr>
        <w:trPr>
          <w:trHeight w:val="284"/>
        </w:trPr>
        <w:tc>
          <w:tcPr>
            <w:tcW w:w="581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Audit et contrôles</w:t>
            </w:r>
          </w:p>
        </w:tc>
        <w:tc>
          <w:tcPr>
            <w:tcW w:w="2409"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644 735 </w:t>
            </w:r>
          </w:p>
        </w:tc>
      </w:tr>
      <w:tr>
        <w:trPr>
          <w:trHeight w:val="270"/>
        </w:trPr>
        <w:tc>
          <w:tcPr>
            <w:tcW w:w="5812"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Total</w:t>
            </w:r>
          </w:p>
        </w:tc>
        <w:tc>
          <w:tcPr>
            <w:tcW w:w="2409"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 xml:space="preserve">         15 762 767 </w:t>
            </w:r>
          </w:p>
        </w:tc>
      </w:tr>
      <w:tr>
        <w:trPr>
          <w:trHeight w:val="270"/>
        </w:trPr>
        <w:tc>
          <w:tcPr>
            <w:tcW w:w="8221" w:type="dxa"/>
            <w:gridSpan w:val="2"/>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 Y compris les bureaux de compétences en matière de haut débit (BCO)</w:t>
            </w:r>
          </w:p>
        </w:tc>
      </w:tr>
    </w:tbl>
    <w:p>
      <w:pPr>
        <w:keepNext/>
        <w:keepLines/>
        <w:spacing w:before="120" w:after="120" w:line="240" w:lineRule="auto"/>
        <w:ind w:left="850"/>
        <w:jc w:val="both"/>
        <w:rPr>
          <w:rFonts w:ascii="Times New Roman" w:eastAsia="Times New Roman" w:hAnsi="Times New Roman" w:cs="Times New Roman"/>
          <w:noProof/>
          <w:sz w:val="24"/>
          <w:lang w:eastAsia="en-GB"/>
        </w:rPr>
      </w:pPr>
    </w:p>
    <w:p>
      <w:pPr>
        <w:keepNext/>
        <w:tabs>
          <w:tab w:val="left" w:pos="850"/>
        </w:tabs>
        <w:spacing w:before="240" w:after="120" w:line="240" w:lineRule="auto"/>
        <w:ind w:left="850" w:hanging="850"/>
        <w:jc w:val="both"/>
        <w:outlineLvl w:val="1"/>
        <w:rPr>
          <w:rFonts w:ascii="Times New Roman" w:eastAsia="Times New Roman" w:hAnsi="Times New Roman" w:cs="Times New Roman"/>
          <w:b/>
          <w:noProof/>
          <w:sz w:val="24"/>
        </w:rPr>
      </w:pPr>
      <w:bookmarkStart w:id="55" w:name="_Toc331167074"/>
      <w:bookmarkStart w:id="56" w:name="_Toc393127482"/>
      <w:bookmarkStart w:id="57" w:name="_Toc48126100"/>
      <w:bookmarkEnd w:id="54"/>
      <w:r>
        <w:rPr>
          <w:rFonts w:ascii="Times New Roman" w:hAnsi="Times New Roman"/>
          <w:b/>
          <w:noProof/>
          <w:sz w:val="24"/>
        </w:rPr>
        <w:t>3.2.</w:t>
      </w:r>
      <w:r>
        <w:rPr>
          <w:noProof/>
        </w:rPr>
        <w:tab/>
      </w:r>
      <w:r>
        <w:rPr>
          <w:rFonts w:ascii="Times New Roman" w:hAnsi="Times New Roman"/>
          <w:b/>
          <w:noProof/>
          <w:sz w:val="24"/>
        </w:rPr>
        <w:t>Exécution des crédits de paiement</w:t>
      </w:r>
      <w:bookmarkEnd w:id="55"/>
      <w:bookmarkEnd w:id="56"/>
      <w:bookmarkEnd w:id="57"/>
    </w:p>
    <w:p>
      <w:pPr>
        <w:keepNext/>
        <w:tabs>
          <w:tab w:val="left" w:pos="850"/>
        </w:tabs>
        <w:spacing w:before="240" w:after="120" w:line="240" w:lineRule="auto"/>
        <w:ind w:left="850" w:hanging="850"/>
        <w:jc w:val="both"/>
        <w:outlineLvl w:val="2"/>
        <w:rPr>
          <w:rFonts w:ascii="Times New Roman" w:eastAsia="Times New Roman" w:hAnsi="Times New Roman" w:cs="Times New Roman"/>
          <w:i/>
          <w:noProof/>
          <w:sz w:val="24"/>
        </w:rPr>
      </w:pPr>
      <w:bookmarkStart w:id="58" w:name="_Toc331167075"/>
      <w:bookmarkStart w:id="59" w:name="_Toc393127483"/>
      <w:bookmarkStart w:id="60" w:name="_Toc48126101"/>
      <w:r>
        <w:rPr>
          <w:rFonts w:ascii="Times New Roman" w:hAnsi="Times New Roman"/>
          <w:i/>
          <w:noProof/>
          <w:sz w:val="24"/>
        </w:rPr>
        <w:t>3.2.1.</w:t>
      </w:r>
      <w:r>
        <w:rPr>
          <w:noProof/>
        </w:rPr>
        <w:tab/>
      </w:r>
      <w:r>
        <w:rPr>
          <w:rFonts w:ascii="Times New Roman" w:hAnsi="Times New Roman"/>
          <w:i/>
          <w:noProof/>
          <w:sz w:val="24"/>
        </w:rPr>
        <w:t>Programmes de développement rural du Feader</w:t>
      </w:r>
      <w:bookmarkEnd w:id="58"/>
      <w:bookmarkEnd w:id="59"/>
      <w:bookmarkEnd w:id="60"/>
    </w:p>
    <w:p>
      <w:pPr>
        <w:spacing w:before="120" w:after="120" w:line="240" w:lineRule="auto"/>
        <w:ind w:left="850" w:right="71"/>
        <w:jc w:val="both"/>
        <w:rPr>
          <w:rFonts w:ascii="Times New Roman" w:eastAsia="Times New Roman" w:hAnsi="Times New Roman" w:cs="Times New Roman"/>
          <w:noProof/>
          <w:sz w:val="24"/>
        </w:rPr>
      </w:pPr>
      <w:r>
        <w:rPr>
          <w:rFonts w:ascii="Times New Roman" w:hAnsi="Times New Roman"/>
          <w:noProof/>
          <w:sz w:val="24"/>
        </w:rPr>
        <w:t>Pour la période de programmation 2014-2020, 13 840,0 millions d’EUR ont été consommés sur les 14 463,4 millions d’EUR disponibles. Le tableau 7 présente la ventilation des paiements effectués en 2019 par période de déclaration:</w:t>
      </w:r>
    </w:p>
    <w:p>
      <w:pPr>
        <w:spacing w:before="120" w:after="120" w:line="240" w:lineRule="auto"/>
        <w:ind w:left="850" w:right="749"/>
        <w:jc w:val="both"/>
        <w:rPr>
          <w:rFonts w:ascii="Times New Roman" w:eastAsia="Times New Roman" w:hAnsi="Times New Roman" w:cs="Times New Roman"/>
          <w:noProof/>
          <w:sz w:val="24"/>
        </w:rPr>
      </w:pPr>
      <w:bookmarkStart w:id="61" w:name="OLE_LINK12"/>
      <w:r>
        <w:rPr>
          <w:noProof/>
        </w:rPr>
        <w:br w:type="page"/>
      </w:r>
      <w:r>
        <w:rPr>
          <w:rFonts w:ascii="Times New Roman" w:hAnsi="Times New Roman"/>
          <w:noProof/>
          <w:sz w:val="24"/>
        </w:rPr>
        <w:t>Tableau 7</w:t>
      </w:r>
    </w:p>
    <w:tbl>
      <w:tblPr>
        <w:tblW w:w="9204" w:type="dxa"/>
        <w:tblInd w:w="118" w:type="dxa"/>
        <w:tblLook w:val="04A0" w:firstRow="1" w:lastRow="0" w:firstColumn="1" w:lastColumn="0" w:noHBand="0" w:noVBand="1"/>
      </w:tblPr>
      <w:tblGrid>
        <w:gridCol w:w="5140"/>
        <w:gridCol w:w="1980"/>
        <w:gridCol w:w="2084"/>
      </w:tblGrid>
      <w:tr>
        <w:trPr>
          <w:trHeight w:val="615"/>
        </w:trPr>
        <w:tc>
          <w:tcPr>
            <w:tcW w:w="5140" w:type="dxa"/>
            <w:tcBorders>
              <w:top w:val="single" w:sz="8" w:space="0" w:color="auto"/>
              <w:left w:val="single" w:sz="8" w:space="0" w:color="auto"/>
              <w:bottom w:val="single" w:sz="8" w:space="0" w:color="auto"/>
              <w:right w:val="single" w:sz="8" w:space="0" w:color="auto"/>
            </w:tcBorders>
            <w:shd w:val="clear" w:color="000000" w:fill="FFFF99"/>
            <w:vAlign w:val="center"/>
            <w:hideMark/>
          </w:tcPr>
          <w:bookmarkEnd w:id="61"/>
          <w:p>
            <w:pPr>
              <w:spacing w:after="0" w:line="240" w:lineRule="auto"/>
              <w:jc w:val="center"/>
              <w:rPr>
                <w:rFonts w:ascii="Times New Roman" w:eastAsia="Times New Roman" w:hAnsi="Times New Roman" w:cs="Times New Roman"/>
                <w:b/>
                <w:bCs/>
                <w:i/>
                <w:iCs/>
                <w:noProof/>
              </w:rPr>
            </w:pPr>
            <w:r>
              <w:rPr>
                <w:rFonts w:ascii="Times New Roman" w:hAnsi="Times New Roman"/>
                <w:b/>
                <w:bCs/>
                <w:i/>
                <w:iCs/>
                <w:noProof/>
              </w:rPr>
              <w:t>Paiements effectués en 2019 en faveur des programmes de développement rural du Feader (en EUR)</w:t>
            </w:r>
          </w:p>
        </w:tc>
        <w:tc>
          <w:tcPr>
            <w:tcW w:w="1980" w:type="dxa"/>
            <w:tcBorders>
              <w:top w:val="single" w:sz="8" w:space="0" w:color="auto"/>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i/>
                <w:iCs/>
                <w:noProof/>
              </w:rPr>
            </w:pPr>
            <w:r>
              <w:rPr>
                <w:rFonts w:ascii="Times New Roman" w:hAnsi="Times New Roman"/>
                <w:b/>
                <w:bCs/>
                <w:i/>
                <w:iCs/>
                <w:noProof/>
              </w:rPr>
              <w:t>2007-2013</w:t>
            </w:r>
          </w:p>
        </w:tc>
        <w:tc>
          <w:tcPr>
            <w:tcW w:w="2084" w:type="dxa"/>
            <w:tcBorders>
              <w:top w:val="single" w:sz="8" w:space="0" w:color="auto"/>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i/>
                <w:iCs/>
                <w:noProof/>
              </w:rPr>
            </w:pPr>
            <w:r>
              <w:rPr>
                <w:rFonts w:ascii="Times New Roman" w:hAnsi="Times New Roman"/>
                <w:b/>
                <w:bCs/>
                <w:i/>
                <w:iCs/>
                <w:noProof/>
              </w:rPr>
              <w:t>2014-2020</w:t>
            </w:r>
          </w:p>
        </w:tc>
      </w:tr>
      <w:tr>
        <w:trPr>
          <w:trHeight w:val="270"/>
        </w:trPr>
        <w:tc>
          <w:tcPr>
            <w:tcW w:w="51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19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2084"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315"/>
        </w:trPr>
        <w:tc>
          <w:tcPr>
            <w:tcW w:w="51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szCs w:val="20"/>
              </w:rPr>
              <w:t>Préfinancement 2014-2020</w:t>
            </w:r>
            <w:r>
              <w:rPr>
                <w:rStyle w:val="FootnoteReference"/>
                <w:rFonts w:ascii="Times New Roman" w:eastAsia="Times New Roman" w:hAnsi="Times New Roman" w:cs="Times New Roman"/>
                <w:noProof/>
                <w:sz w:val="20"/>
                <w:szCs w:val="20"/>
                <w:lang w:eastAsia="en-GB"/>
              </w:rPr>
              <w:footnoteReference w:id="2"/>
            </w:r>
          </w:p>
        </w:tc>
        <w:tc>
          <w:tcPr>
            <w:tcW w:w="19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2084"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2 714 793</w:t>
            </w:r>
          </w:p>
        </w:tc>
      </w:tr>
      <w:tr>
        <w:trPr>
          <w:trHeight w:val="315"/>
        </w:trPr>
        <w:tc>
          <w:tcPr>
            <w:tcW w:w="51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szCs w:val="20"/>
              </w:rPr>
              <w:t>Remboursement des demandes de paiement antérieures au T4 2018</w:t>
            </w:r>
          </w:p>
        </w:tc>
        <w:tc>
          <w:tcPr>
            <w:tcW w:w="19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2084"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134 874</w:t>
            </w:r>
          </w:p>
        </w:tc>
      </w:tr>
      <w:tr>
        <w:trPr>
          <w:trHeight w:val="315"/>
        </w:trPr>
        <w:tc>
          <w:tcPr>
            <w:tcW w:w="51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szCs w:val="20"/>
              </w:rPr>
              <w:t>Remboursement des demandes de paiement pour le T4 2018</w:t>
            </w:r>
          </w:p>
        </w:tc>
        <w:tc>
          <w:tcPr>
            <w:tcW w:w="19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2084"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5 755 256 476</w:t>
            </w:r>
          </w:p>
        </w:tc>
      </w:tr>
      <w:tr>
        <w:trPr>
          <w:trHeight w:val="315"/>
        </w:trPr>
        <w:tc>
          <w:tcPr>
            <w:tcW w:w="51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szCs w:val="20"/>
              </w:rPr>
              <w:t>Remboursement des demandes de paiement pour le T1 2019</w:t>
            </w:r>
          </w:p>
        </w:tc>
        <w:tc>
          <w:tcPr>
            <w:tcW w:w="19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2084"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2 754 299 275</w:t>
            </w:r>
          </w:p>
        </w:tc>
      </w:tr>
      <w:tr>
        <w:trPr>
          <w:trHeight w:val="315"/>
        </w:trPr>
        <w:tc>
          <w:tcPr>
            <w:tcW w:w="51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szCs w:val="20"/>
              </w:rPr>
              <w:t>Remboursement des demandes de paiement pour le T2 2019</w:t>
            </w:r>
          </w:p>
        </w:tc>
        <w:tc>
          <w:tcPr>
            <w:tcW w:w="19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2084"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2 741 814 776</w:t>
            </w:r>
          </w:p>
        </w:tc>
      </w:tr>
      <w:tr>
        <w:trPr>
          <w:trHeight w:val="315"/>
        </w:trPr>
        <w:tc>
          <w:tcPr>
            <w:tcW w:w="51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szCs w:val="20"/>
              </w:rPr>
              <w:t>Remboursement des demandes de paiement pour le T3 2019</w:t>
            </w:r>
          </w:p>
        </w:tc>
        <w:tc>
          <w:tcPr>
            <w:tcW w:w="19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2084"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2 585 776 756</w:t>
            </w:r>
          </w:p>
        </w:tc>
      </w:tr>
      <w:tr>
        <w:trPr>
          <w:trHeight w:val="315"/>
        </w:trPr>
        <w:tc>
          <w:tcPr>
            <w:tcW w:w="51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szCs w:val="20"/>
              </w:rPr>
              <w:t>Paiements de clôture 2007-2013</w:t>
            </w:r>
          </w:p>
        </w:tc>
        <w:tc>
          <w:tcPr>
            <w:tcW w:w="19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257 692 857</w:t>
            </w:r>
          </w:p>
        </w:tc>
        <w:tc>
          <w:tcPr>
            <w:tcW w:w="2084"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r>
      <w:tr>
        <w:trPr>
          <w:trHeight w:val="270"/>
        </w:trPr>
        <w:tc>
          <w:tcPr>
            <w:tcW w:w="514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Total 2019:</w:t>
            </w:r>
          </w:p>
        </w:tc>
        <w:tc>
          <w:tcPr>
            <w:tcW w:w="198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bCs/>
                <w:noProof/>
                <w:sz w:val="20"/>
                <w:szCs w:val="20"/>
              </w:rPr>
              <w:t>257 692 857</w:t>
            </w:r>
          </w:p>
        </w:tc>
        <w:tc>
          <w:tcPr>
            <w:tcW w:w="2084"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bCs/>
                <w:noProof/>
                <w:sz w:val="20"/>
                <w:szCs w:val="20"/>
              </w:rPr>
              <w:t>13 839 996 951</w:t>
            </w:r>
          </w:p>
        </w:tc>
      </w:tr>
    </w:tbl>
    <w:p>
      <w:pPr>
        <w:spacing w:before="120" w:after="120" w:line="240" w:lineRule="auto"/>
        <w:ind w:left="850" w:right="71"/>
        <w:jc w:val="both"/>
        <w:rPr>
          <w:rFonts w:ascii="Times New Roman" w:eastAsia="Times New Roman" w:hAnsi="Times New Roman" w:cs="Times New Roman"/>
          <w:noProof/>
          <w:color w:val="000000"/>
          <w:sz w:val="24"/>
          <w:lang w:eastAsia="en-GB"/>
        </w:rPr>
      </w:pPr>
    </w:p>
    <w:p>
      <w:pPr>
        <w:spacing w:before="120" w:after="120" w:line="240" w:lineRule="auto"/>
        <w:ind w:left="850" w:right="71"/>
        <w:jc w:val="both"/>
        <w:rPr>
          <w:rFonts w:ascii="Times New Roman" w:eastAsia="Times New Roman" w:hAnsi="Times New Roman" w:cs="Times New Roman"/>
          <w:noProof/>
          <w:color w:val="000000"/>
          <w:sz w:val="24"/>
        </w:rPr>
      </w:pPr>
      <w:r>
        <w:rPr>
          <w:rFonts w:ascii="Times New Roman" w:hAnsi="Times New Roman"/>
          <w:noProof/>
          <w:color w:val="000000"/>
          <w:sz w:val="24"/>
        </w:rPr>
        <w:t xml:space="preserve">La consommation mensuelle des crédits de paiement au cours de l’exercice (de janvier à décembre 2019) est présentée dans le graphique ci-dessous. </w:t>
      </w:r>
    </w:p>
    <w:p>
      <w:pPr>
        <w:spacing w:before="120" w:after="120" w:line="240" w:lineRule="auto"/>
        <w:ind w:left="850" w:right="71"/>
        <w:jc w:val="both"/>
        <w:rPr>
          <w:rFonts w:ascii="Times New Roman" w:eastAsia="Times New Roman" w:hAnsi="Times New Roman" w:cs="Times New Roman"/>
          <w:noProof/>
          <w:color w:val="000000"/>
          <w:sz w:val="24"/>
          <w:lang w:eastAsia="en-GB"/>
        </w:rPr>
      </w:pPr>
    </w:p>
    <w:p>
      <w:pPr>
        <w:spacing w:before="120" w:after="120" w:line="240" w:lineRule="auto"/>
        <w:ind w:left="840" w:right="749"/>
        <w:jc w:val="both"/>
        <w:rPr>
          <w:rFonts w:ascii="Calibri" w:eastAsia="Calibri" w:hAnsi="Calibri" w:cs="Times New Roman"/>
          <w:noProof/>
        </w:rPr>
      </w:pPr>
      <w:r>
        <w:rPr>
          <w:rFonts w:ascii="Times New Roman" w:hAnsi="Times New Roman"/>
          <w:noProof/>
          <w:color w:val="000000"/>
          <w:sz w:val="24"/>
        </w:rPr>
        <w:t xml:space="preserve">Graphique 1 </w:t>
      </w:r>
    </w:p>
    <w:p>
      <w:pPr>
        <w:spacing w:before="120" w:after="120" w:line="240" w:lineRule="auto"/>
        <w:ind w:right="71"/>
        <w:jc w:val="both"/>
        <w:rPr>
          <w:rFonts w:ascii="Times New Roman" w:hAnsi="Times New Roman"/>
          <w:noProof/>
          <w:sz w:val="24"/>
        </w:rPr>
      </w:pPr>
      <w:r>
        <w:rPr>
          <w:noProof/>
          <w:lang w:val="en-GB" w:eastAsia="en-GB"/>
        </w:rPr>
        <w:drawing>
          <wp:inline distT="0" distB="0" distL="0" distR="0">
            <wp:extent cx="5760720" cy="380646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806463"/>
                    </a:xfrm>
                    <a:prstGeom prst="rect">
                      <a:avLst/>
                    </a:prstGeom>
                    <a:noFill/>
                    <a:ln>
                      <a:noFill/>
                    </a:ln>
                  </pic:spPr>
                </pic:pic>
              </a:graphicData>
            </a:graphic>
          </wp:inline>
        </w:drawing>
      </w:r>
    </w:p>
    <w:p>
      <w:pPr>
        <w:spacing w:before="120" w:after="120" w:line="240" w:lineRule="auto"/>
        <w:ind w:right="71"/>
        <w:jc w:val="both"/>
        <w:rPr>
          <w:rFonts w:ascii="Times New Roman" w:eastAsia="Times New Roman" w:hAnsi="Times New Roman" w:cs="Times New Roman"/>
          <w:noProof/>
          <w:sz w:val="24"/>
        </w:rPr>
      </w:pPr>
      <w:r>
        <w:rPr>
          <w:rFonts w:ascii="Times New Roman" w:hAnsi="Times New Roman"/>
          <w:noProof/>
          <w:sz w:val="24"/>
        </w:rPr>
        <w:t xml:space="preserve">La ventilation, par État membre et par période de déclaration, des montants payés par la Commission au cours de l’exercice budgétaire 2019 est présentée dans les tableaux 8 a et 8 b. </w:t>
      </w:r>
    </w:p>
    <w:p>
      <w:pPr>
        <w:keepNext/>
        <w:keepLines/>
        <w:spacing w:before="120" w:after="120" w:line="240" w:lineRule="auto"/>
        <w:ind w:left="850"/>
        <w:jc w:val="both"/>
        <w:rPr>
          <w:rFonts w:ascii="Times New Roman" w:eastAsia="Times New Roman" w:hAnsi="Times New Roman" w:cs="Times New Roman"/>
          <w:noProof/>
          <w:sz w:val="24"/>
        </w:rPr>
      </w:pPr>
      <w:bookmarkStart w:id="62" w:name="OLE_LINK14"/>
      <w:r>
        <w:rPr>
          <w:rFonts w:ascii="Times New Roman" w:hAnsi="Times New Roman"/>
          <w:noProof/>
          <w:sz w:val="24"/>
        </w:rPr>
        <w:t xml:space="preserve">Tableau 8 a: Feader 2007-2013 </w:t>
      </w:r>
    </w:p>
    <w:tbl>
      <w:tblPr>
        <w:tblW w:w="5944" w:type="dxa"/>
        <w:tblInd w:w="1057" w:type="dxa"/>
        <w:tblLook w:val="04A0" w:firstRow="1" w:lastRow="0" w:firstColumn="1" w:lastColumn="0" w:noHBand="0" w:noVBand="1"/>
      </w:tblPr>
      <w:tblGrid>
        <w:gridCol w:w="3587"/>
        <w:gridCol w:w="2357"/>
      </w:tblGrid>
      <w:tr>
        <w:trPr>
          <w:trHeight w:val="270"/>
        </w:trPr>
        <w:tc>
          <w:tcPr>
            <w:tcW w:w="5944"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Paiements effectivement réalisés entre le 1.1.2019 et le 31.12.2019</w:t>
            </w:r>
          </w:p>
        </w:tc>
      </w:tr>
      <w:tr>
        <w:trPr>
          <w:trHeight w:val="270"/>
        </w:trPr>
        <w:tc>
          <w:tcPr>
            <w:tcW w:w="5944"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Feader 2007-2013 - poste budgétaire 05.040501                  (en EUR)</w:t>
            </w:r>
          </w:p>
        </w:tc>
      </w:tr>
      <w:tr>
        <w:trPr>
          <w:trHeight w:val="333"/>
        </w:trPr>
        <w:tc>
          <w:tcPr>
            <w:tcW w:w="3587"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EM</w:t>
            </w:r>
          </w:p>
        </w:tc>
        <w:tc>
          <w:tcPr>
            <w:tcW w:w="2357"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Clôture</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BE</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BG</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97 225 956</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CZ</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DK</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DE</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EE</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IE</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GR</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ES</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FR</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160 466 901</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IT</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CY</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LV</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LT</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LU</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HU</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MT</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NL</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AT</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PL</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PT</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RO</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SI</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SK</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FI</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SE</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UK</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Total</w:t>
            </w:r>
          </w:p>
        </w:tc>
        <w:tc>
          <w:tcPr>
            <w:tcW w:w="2357"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257 692 857</w:t>
            </w:r>
          </w:p>
        </w:tc>
      </w:tr>
    </w:tbl>
    <w:p>
      <w:pPr>
        <w:spacing w:before="120" w:after="120" w:line="240" w:lineRule="auto"/>
        <w:ind w:left="850"/>
        <w:jc w:val="both"/>
        <w:rPr>
          <w:rFonts w:ascii="Times New Roman" w:eastAsia="Times New Roman" w:hAnsi="Times New Roman" w:cs="Times New Roman"/>
          <w:noProof/>
          <w:sz w:val="24"/>
          <w:lang w:eastAsia="en-GB"/>
        </w:rPr>
      </w:pPr>
    </w:p>
    <w:p>
      <w:pPr>
        <w:spacing w:before="120" w:after="120" w:line="240" w:lineRule="auto"/>
        <w:ind w:left="850"/>
        <w:jc w:val="both"/>
        <w:rPr>
          <w:rFonts w:ascii="Times New Roman" w:eastAsia="Times New Roman" w:hAnsi="Times New Roman" w:cs="Times New Roman"/>
          <w:noProof/>
          <w:sz w:val="24"/>
          <w:lang w:eastAsia="en-GB"/>
        </w:rPr>
      </w:pPr>
    </w:p>
    <w:p>
      <w:pPr>
        <w:spacing w:before="120" w:after="120" w:line="240" w:lineRule="auto"/>
        <w:ind w:left="850"/>
        <w:jc w:val="both"/>
        <w:rPr>
          <w:rFonts w:ascii="Times New Roman" w:eastAsia="Times New Roman" w:hAnsi="Times New Roman" w:cs="Times New Roman"/>
          <w:noProof/>
          <w:sz w:val="24"/>
          <w:lang w:eastAsia="en-GB"/>
        </w:rPr>
      </w:pPr>
    </w:p>
    <w:p>
      <w:pPr>
        <w:spacing w:before="120" w:after="120" w:line="240" w:lineRule="auto"/>
        <w:ind w:left="850"/>
        <w:jc w:val="both"/>
        <w:rPr>
          <w:rFonts w:ascii="Times New Roman" w:eastAsia="Times New Roman" w:hAnsi="Times New Roman" w:cs="Times New Roman"/>
          <w:noProof/>
          <w:sz w:val="24"/>
          <w:lang w:eastAsia="en-GB"/>
        </w:rPr>
      </w:pPr>
    </w:p>
    <w:p>
      <w:pPr>
        <w:spacing w:before="120" w:after="120" w:line="240" w:lineRule="auto"/>
        <w:ind w:left="850"/>
        <w:jc w:val="both"/>
        <w:rPr>
          <w:rFonts w:ascii="Times New Roman" w:eastAsia="Times New Roman" w:hAnsi="Times New Roman" w:cs="Times New Roman"/>
          <w:noProof/>
          <w:sz w:val="24"/>
        </w:rPr>
      </w:pPr>
      <w:r>
        <w:rPr>
          <w:noProof/>
        </w:rPr>
        <w:br w:type="page"/>
      </w:r>
      <w:r>
        <w:rPr>
          <w:rFonts w:ascii="Times New Roman" w:hAnsi="Times New Roman"/>
          <w:noProof/>
          <w:sz w:val="24"/>
        </w:rPr>
        <w:t>Tableau 8b: Feader 2014-2020</w:t>
      </w:r>
    </w:p>
    <w:tbl>
      <w:tblPr>
        <w:tblW w:w="10484" w:type="dxa"/>
        <w:tblInd w:w="-578" w:type="dxa"/>
        <w:tblLook w:val="04A0" w:firstRow="1" w:lastRow="0" w:firstColumn="1" w:lastColumn="0" w:noHBand="0" w:noVBand="1"/>
      </w:tblPr>
      <w:tblGrid>
        <w:gridCol w:w="717"/>
        <w:gridCol w:w="1506"/>
        <w:gridCol w:w="1590"/>
        <w:gridCol w:w="1251"/>
        <w:gridCol w:w="1320"/>
        <w:gridCol w:w="1380"/>
        <w:gridCol w:w="1540"/>
        <w:gridCol w:w="11"/>
        <w:gridCol w:w="1369"/>
        <w:gridCol w:w="11"/>
      </w:tblGrid>
      <w:tr>
        <w:trPr>
          <w:trHeight w:val="270"/>
        </w:trPr>
        <w:tc>
          <w:tcPr>
            <w:tcW w:w="10484" w:type="dxa"/>
            <w:gridSpan w:val="10"/>
            <w:tcBorders>
              <w:top w:val="single" w:sz="8" w:space="0" w:color="auto"/>
              <w:left w:val="single" w:sz="8" w:space="0" w:color="auto"/>
              <w:bottom w:val="single" w:sz="8" w:space="0" w:color="auto"/>
              <w:right w:val="single" w:sz="8" w:space="0" w:color="000000"/>
            </w:tcBorders>
            <w:shd w:val="clear" w:color="000000" w:fill="FFFF99"/>
            <w:noWrap/>
            <w:vAlign w:val="center"/>
            <w:hideMark/>
          </w:tcPr>
          <w:bookmarkEnd w:id="62"/>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Paiements effectivement réalisés entre le 1.1.2019 et le 31.12.2019</w:t>
            </w:r>
          </w:p>
        </w:tc>
      </w:tr>
      <w:tr>
        <w:trPr>
          <w:trHeight w:val="285"/>
        </w:trPr>
        <w:tc>
          <w:tcPr>
            <w:tcW w:w="9104" w:type="dxa"/>
            <w:gridSpan w:val="8"/>
            <w:tcBorders>
              <w:top w:val="single" w:sz="8" w:space="0" w:color="auto"/>
              <w:left w:val="single" w:sz="8" w:space="0" w:color="auto"/>
              <w:bottom w:val="single" w:sz="8" w:space="0" w:color="auto"/>
              <w:right w:val="nil"/>
            </w:tcBorders>
            <w:shd w:val="clear" w:color="000000" w:fill="FFFF99"/>
            <w:noWrap/>
            <w:vAlign w:val="center"/>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Feader 2014-2020 - poste budgétaire 05.046001</w:t>
            </w:r>
          </w:p>
        </w:tc>
        <w:tc>
          <w:tcPr>
            <w:tcW w:w="1380" w:type="dxa"/>
            <w:gridSpan w:val="2"/>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cs="Times New Roman"/>
                <w:b/>
                <w:bCs/>
                <w:i/>
                <w:iCs/>
                <w:noProof/>
                <w:sz w:val="20"/>
                <w:szCs w:val="20"/>
              </w:rPr>
            </w:pPr>
            <w:r>
              <w:rPr>
                <w:rFonts w:ascii="Times New Roman" w:hAnsi="Times New Roman"/>
                <w:b/>
                <w:bCs/>
                <w:i/>
                <w:iCs/>
                <w:noProof/>
                <w:sz w:val="20"/>
                <w:szCs w:val="20"/>
              </w:rPr>
              <w:t>(en EUR)</w:t>
            </w:r>
          </w:p>
        </w:tc>
      </w:tr>
      <w:tr>
        <w:trPr>
          <w:gridAfter w:val="1"/>
          <w:wAfter w:w="11" w:type="dxa"/>
          <w:trHeight w:val="495"/>
        </w:trPr>
        <w:tc>
          <w:tcPr>
            <w:tcW w:w="717"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EM</w:t>
            </w:r>
          </w:p>
        </w:tc>
        <w:tc>
          <w:tcPr>
            <w:tcW w:w="1356"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Préfinancements</w:t>
            </w:r>
          </w:p>
        </w:tc>
        <w:tc>
          <w:tcPr>
            <w:tcW w:w="159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Antérieurs au T4 2018</w:t>
            </w:r>
          </w:p>
        </w:tc>
        <w:tc>
          <w:tcPr>
            <w:tcW w:w="119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T4 2018</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T1 2019</w:t>
            </w:r>
          </w:p>
        </w:tc>
        <w:tc>
          <w:tcPr>
            <w:tcW w:w="138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T2 2019</w:t>
            </w:r>
          </w:p>
        </w:tc>
        <w:tc>
          <w:tcPr>
            <w:tcW w:w="154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 T3 2019</w:t>
            </w:r>
          </w:p>
        </w:tc>
        <w:tc>
          <w:tcPr>
            <w:tcW w:w="1380" w:type="dxa"/>
            <w:gridSpan w:val="2"/>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Total</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BE</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17 334 254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9 482 574</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33 218 285</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18 837 316</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78 872 428</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BG</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55 344 911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77 499 583</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107 997 278</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67 792 991</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308 634 763</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CZ</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52 848 870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204 165 511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86 450 814</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50 362 856</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393 828 050</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DK</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42 034 170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25 776 718</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25 047 434</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8 208 342</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101 066 664</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DE</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596 910 906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291 497 999</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208 933 806</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176 253 592</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1 273 596 303</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EE</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23 539 059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65 082 476</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12 226 795</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24 060 415</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124 908 745</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IE</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157 269 176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30 982 563</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39 397 304</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96 373 396</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324 022 439</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GR</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275 111 064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34 505 407</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46 860 555</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54 936 575</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411 413 602</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ES</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527 423 244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148 716 407</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278 660 313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210 819 806</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1 165 619 770</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FR</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2 703 993</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1 042 261 975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457 277 445</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301 119 386</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260 160 776</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2 063 523 575</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HR</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74 467 768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73 992 801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98 848 103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52 326 860</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299 635 531</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IT</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689 961 184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221 751 805</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237 813 915</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299 554 216</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1 449 081 121</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CY</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8 867 428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2 616 579</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2 550 300</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6 918 518</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20 952 824</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LV</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96 634 492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46 651 363</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26 091 992</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37 097 820</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206 475 667</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LT</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10 800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73 287 933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49 310 142</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34 191 233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24 451 057</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181 251 164</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LU</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5 119 156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5 653 405</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2 121 682</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1 587 351</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14 481 595</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HU</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184 133 619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133 238 829</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97 309 058</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96 688 026</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511 369 533</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MT</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11 087 890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620 865</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4 054 663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3 666 529</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19 429 947</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NL</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13 721 305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53 369 141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6 469 479</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16 838 579</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90 398 504</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AT</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304 858 442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42 762 776</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141 825 329</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48 725 218</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538 171 765</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PL</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341 817 663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278 763 628</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241 914 834</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229 788 859</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1 092 284 985</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PT</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315 985 382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89 332 030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55 471 630</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62 260 191</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523 049 233</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RO</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323 746 321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136 212 495</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224 930 153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282 184 080</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967 073 048</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SI</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134 874</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34 717 325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14 449 325</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47 516 257</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23 279 066</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120 096 847</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SK</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56 642 464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37 855 996</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65 152 780</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49 710 435</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209 361 675</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FI</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140 089 247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26 542 166</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59 579 240</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124 962 860</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351 173 513</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SE</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134 063 084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33 824 471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32 298 532</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26 112 103</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226 298 189</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UK</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155 978 145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162 364 775</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223 763 628</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231 818 923</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773 925 472</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Total</w:t>
            </w:r>
          </w:p>
        </w:tc>
        <w:tc>
          <w:tcPr>
            <w:tcW w:w="1356"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2 714 793</w:t>
            </w:r>
          </w:p>
        </w:tc>
        <w:tc>
          <w:tcPr>
            <w:tcW w:w="159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134 874</w:t>
            </w:r>
          </w:p>
        </w:tc>
        <w:tc>
          <w:tcPr>
            <w:tcW w:w="119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5 755 256 476</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2 754 299 275</w:t>
            </w:r>
          </w:p>
        </w:tc>
        <w:tc>
          <w:tcPr>
            <w:tcW w:w="138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2 741 814 776</w:t>
            </w:r>
          </w:p>
        </w:tc>
        <w:tc>
          <w:tcPr>
            <w:tcW w:w="154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2 585 776 756</w:t>
            </w:r>
          </w:p>
        </w:tc>
        <w:tc>
          <w:tcPr>
            <w:tcW w:w="1380" w:type="dxa"/>
            <w:gridSpan w:val="2"/>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13 839 996 951</w:t>
            </w:r>
          </w:p>
        </w:tc>
      </w:tr>
    </w:tbl>
    <w:p>
      <w:pPr>
        <w:spacing w:before="120" w:after="120" w:line="240" w:lineRule="auto"/>
        <w:ind w:left="850" w:right="71"/>
        <w:jc w:val="both"/>
        <w:rPr>
          <w:rFonts w:ascii="Times New Roman" w:eastAsia="Times New Roman" w:hAnsi="Times New Roman" w:cs="Times New Roman"/>
          <w:noProof/>
          <w:sz w:val="24"/>
          <w:lang w:eastAsia="en-GB"/>
        </w:rPr>
      </w:pPr>
    </w:p>
    <w:p>
      <w:pPr>
        <w:spacing w:before="120" w:after="120" w:line="240" w:lineRule="auto"/>
        <w:ind w:left="850" w:right="71"/>
        <w:jc w:val="both"/>
        <w:rPr>
          <w:rFonts w:ascii="Times New Roman" w:eastAsia="Times New Roman" w:hAnsi="Times New Roman" w:cs="Times New Roman"/>
          <w:noProof/>
          <w:sz w:val="24"/>
        </w:rPr>
      </w:pPr>
      <w:r>
        <w:rPr>
          <w:noProof/>
        </w:rPr>
        <w:br w:type="page"/>
      </w:r>
      <w:r>
        <w:rPr>
          <w:rFonts w:ascii="Times New Roman" w:hAnsi="Times New Roman"/>
          <w:noProof/>
          <w:sz w:val="24"/>
        </w:rPr>
        <w:t xml:space="preserve">Le tableau 9 présente, pour chaque État membre, une comparaison des paiements au titre du Feader 2014-2020 effectués respectivement en 2019 et en 2018. Les paiements ont augmenté de 14 % par rapport à l’année 2018 (13,8 milliards d’EUR contre 12,2 milliards d’EUR). </w:t>
      </w:r>
    </w:p>
    <w:p>
      <w:pPr>
        <w:spacing w:before="120" w:after="120" w:line="240" w:lineRule="auto"/>
        <w:ind w:left="850" w:right="71"/>
        <w:jc w:val="both"/>
        <w:rPr>
          <w:rFonts w:ascii="Times New Roman" w:eastAsia="Times New Roman" w:hAnsi="Times New Roman" w:cs="Times New Roman"/>
          <w:noProof/>
          <w:sz w:val="24"/>
          <w:lang w:eastAsia="en-GB"/>
        </w:rPr>
      </w:pPr>
    </w:p>
    <w:p>
      <w:pPr>
        <w:spacing w:after="0" w:line="240" w:lineRule="auto"/>
        <w:ind w:left="850"/>
        <w:jc w:val="both"/>
        <w:rPr>
          <w:rFonts w:ascii="Times New Roman" w:eastAsia="Times New Roman" w:hAnsi="Times New Roman" w:cs="Times New Roman"/>
          <w:noProof/>
          <w:sz w:val="24"/>
        </w:rPr>
      </w:pPr>
      <w:r>
        <w:rPr>
          <w:rFonts w:ascii="Times New Roman" w:hAnsi="Times New Roman"/>
          <w:noProof/>
          <w:sz w:val="24"/>
        </w:rPr>
        <w:t>Tableau 9</w:t>
      </w:r>
    </w:p>
    <w:tbl>
      <w:tblPr>
        <w:tblpPr w:leftFromText="180" w:rightFromText="180" w:vertAnchor="text" w:horzAnchor="page" w:tblpXSpec="center" w:tblpY="668"/>
        <w:tblW w:w="6284" w:type="pct"/>
        <w:jc w:val="center"/>
        <w:tblLayout w:type="fixed"/>
        <w:tblLook w:val="04A0" w:firstRow="1" w:lastRow="0" w:firstColumn="1" w:lastColumn="0" w:noHBand="0" w:noVBand="1"/>
      </w:tblPr>
      <w:tblGrid>
        <w:gridCol w:w="607"/>
        <w:gridCol w:w="1422"/>
        <w:gridCol w:w="1506"/>
        <w:gridCol w:w="1431"/>
        <w:gridCol w:w="1421"/>
        <w:gridCol w:w="1564"/>
        <w:gridCol w:w="1426"/>
        <w:gridCol w:w="1280"/>
        <w:gridCol w:w="1016"/>
      </w:tblGrid>
      <w:tr>
        <w:trPr>
          <w:trHeight w:val="232"/>
          <w:jc w:val="center"/>
        </w:trPr>
        <w:tc>
          <w:tcPr>
            <w:tcW w:w="9377" w:type="dxa"/>
            <w:gridSpan w:val="7"/>
            <w:vMerge w:val="restart"/>
            <w:tcBorders>
              <w:top w:val="single" w:sz="8" w:space="0" w:color="auto"/>
              <w:left w:val="single" w:sz="8" w:space="0" w:color="auto"/>
              <w:bottom w:val="single" w:sz="8" w:space="0" w:color="000000"/>
              <w:right w:val="nil"/>
            </w:tcBorders>
            <w:shd w:val="clear" w:color="000000" w:fill="FFFF99"/>
            <w:noWrap/>
            <w:vAlign w:val="center"/>
            <w:hideMark/>
          </w:tcPr>
          <w:p>
            <w:pPr>
              <w:spacing w:after="0" w:line="240" w:lineRule="auto"/>
              <w:rPr>
                <w:rFonts w:ascii="Times New Roman" w:eastAsia="Times New Roman" w:hAnsi="Times New Roman" w:cs="Times New Roman"/>
                <w:b/>
                <w:bCs/>
                <w:noProof/>
                <w:sz w:val="18"/>
                <w:szCs w:val="18"/>
              </w:rPr>
            </w:pPr>
            <w:r>
              <w:rPr>
                <w:rFonts w:ascii="Times New Roman" w:hAnsi="Times New Roman"/>
                <w:b/>
                <w:bCs/>
                <w:noProof/>
                <w:sz w:val="18"/>
                <w:szCs w:val="18"/>
              </w:rPr>
              <w:t xml:space="preserve">Paiements effectués en faveur des États membres - comparaison entre 2019 et 2018 - </w:t>
            </w:r>
            <w:r>
              <w:rPr>
                <w:rFonts w:ascii="Times New Roman" w:hAnsi="Times New Roman"/>
                <w:b/>
                <w:bCs/>
                <w:noProof/>
                <w:sz w:val="18"/>
                <w:szCs w:val="18"/>
                <w:u w:val="single"/>
              </w:rPr>
              <w:t>Feader 2014-2020</w:t>
            </w:r>
          </w:p>
        </w:tc>
        <w:tc>
          <w:tcPr>
            <w:tcW w:w="1280" w:type="dxa"/>
            <w:vMerge w:val="restart"/>
            <w:tcBorders>
              <w:top w:val="single" w:sz="8" w:space="0" w:color="auto"/>
              <w:left w:val="nil"/>
              <w:bottom w:val="single" w:sz="8" w:space="0" w:color="000000"/>
              <w:right w:val="nil"/>
            </w:tcBorders>
            <w:shd w:val="clear" w:color="000000" w:fill="FFFF99"/>
            <w:noWrap/>
            <w:vAlign w:val="center"/>
            <w:hideMark/>
          </w:tcPr>
          <w:p>
            <w:pPr>
              <w:spacing w:after="0" w:line="240" w:lineRule="auto"/>
              <w:jc w:val="center"/>
              <w:rPr>
                <w:rFonts w:ascii="Times New Roman" w:eastAsia="Times New Roman" w:hAnsi="Times New Roman" w:cs="Times New Roman"/>
                <w:b/>
                <w:bCs/>
                <w:i/>
                <w:iCs/>
                <w:noProof/>
                <w:sz w:val="18"/>
                <w:szCs w:val="18"/>
              </w:rPr>
            </w:pPr>
            <w:r>
              <w:rPr>
                <w:rFonts w:ascii="Times New Roman" w:hAnsi="Times New Roman"/>
                <w:b/>
                <w:bCs/>
                <w:i/>
                <w:iCs/>
                <w:noProof/>
                <w:sz w:val="18"/>
                <w:szCs w:val="18"/>
              </w:rPr>
              <w:t>(en EUR)</w:t>
            </w:r>
          </w:p>
        </w:tc>
        <w:tc>
          <w:tcPr>
            <w:tcW w:w="1016" w:type="dxa"/>
            <w:vMerge w:val="restart"/>
            <w:tcBorders>
              <w:top w:val="single" w:sz="8" w:space="0" w:color="auto"/>
              <w:left w:val="nil"/>
              <w:bottom w:val="single" w:sz="8" w:space="0" w:color="000000"/>
              <w:right w:val="single" w:sz="8" w:space="0" w:color="auto"/>
            </w:tcBorders>
            <w:shd w:val="clear" w:color="000000" w:fill="FFFF99"/>
            <w:noWrap/>
            <w:vAlign w:val="center"/>
            <w:hideMark/>
          </w:tcPr>
          <w:p>
            <w:pPr>
              <w:spacing w:after="0" w:line="240" w:lineRule="auto"/>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46"/>
          <w:jc w:val="center"/>
        </w:trPr>
        <w:tc>
          <w:tcPr>
            <w:tcW w:w="9377" w:type="dxa"/>
            <w:gridSpan w:val="7"/>
            <w:vMerge/>
            <w:tcBorders>
              <w:top w:val="single" w:sz="8" w:space="0" w:color="auto"/>
              <w:left w:val="single" w:sz="8" w:space="0" w:color="auto"/>
              <w:bottom w:val="single" w:sz="8" w:space="0" w:color="000000"/>
              <w:right w:val="nil"/>
            </w:tcBorders>
            <w:vAlign w:val="center"/>
            <w:hideMark/>
          </w:tcPr>
          <w:p>
            <w:pPr>
              <w:spacing w:after="0" w:line="240" w:lineRule="auto"/>
              <w:rPr>
                <w:rFonts w:ascii="Times New Roman" w:eastAsia="Times New Roman" w:hAnsi="Times New Roman" w:cs="Times New Roman"/>
                <w:b/>
                <w:bCs/>
                <w:noProof/>
                <w:sz w:val="18"/>
                <w:szCs w:val="18"/>
                <w:lang w:eastAsia="en-GB"/>
              </w:rPr>
            </w:pPr>
          </w:p>
        </w:tc>
        <w:tc>
          <w:tcPr>
            <w:tcW w:w="1280" w:type="dxa"/>
            <w:vMerge/>
            <w:tcBorders>
              <w:top w:val="single" w:sz="8" w:space="0" w:color="auto"/>
              <w:left w:val="nil"/>
              <w:bottom w:val="single" w:sz="8" w:space="0" w:color="000000"/>
              <w:right w:val="nil"/>
            </w:tcBorders>
            <w:vAlign w:val="center"/>
            <w:hideMark/>
          </w:tcPr>
          <w:p>
            <w:pPr>
              <w:spacing w:after="0" w:line="240" w:lineRule="auto"/>
              <w:rPr>
                <w:rFonts w:ascii="Times New Roman" w:eastAsia="Times New Roman" w:hAnsi="Times New Roman" w:cs="Times New Roman"/>
                <w:b/>
                <w:bCs/>
                <w:i/>
                <w:iCs/>
                <w:noProof/>
                <w:sz w:val="18"/>
                <w:szCs w:val="18"/>
                <w:lang w:eastAsia="en-GB"/>
              </w:rPr>
            </w:pPr>
          </w:p>
        </w:tc>
        <w:tc>
          <w:tcPr>
            <w:tcW w:w="1016" w:type="dxa"/>
            <w:vMerge/>
            <w:tcBorders>
              <w:top w:val="single" w:sz="8" w:space="0" w:color="auto"/>
              <w:left w:val="nil"/>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noProof/>
                <w:sz w:val="18"/>
                <w:szCs w:val="18"/>
                <w:lang w:eastAsia="en-GB"/>
              </w:rPr>
            </w:pPr>
          </w:p>
        </w:tc>
      </w:tr>
      <w:tr>
        <w:trPr>
          <w:trHeight w:val="246"/>
          <w:jc w:val="center"/>
        </w:trPr>
        <w:tc>
          <w:tcPr>
            <w:tcW w:w="607"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EM</w:t>
            </w:r>
          </w:p>
        </w:tc>
        <w:tc>
          <w:tcPr>
            <w:tcW w:w="4359" w:type="dxa"/>
            <w:gridSpan w:val="3"/>
            <w:tcBorders>
              <w:top w:val="single" w:sz="8" w:space="0" w:color="000000"/>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2018</w:t>
            </w:r>
          </w:p>
        </w:tc>
        <w:tc>
          <w:tcPr>
            <w:tcW w:w="4411" w:type="dxa"/>
            <w:gridSpan w:val="3"/>
            <w:tcBorders>
              <w:top w:val="single" w:sz="8" w:space="0" w:color="000000"/>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2019</w:t>
            </w:r>
          </w:p>
        </w:tc>
        <w:tc>
          <w:tcPr>
            <w:tcW w:w="2296" w:type="dxa"/>
            <w:gridSpan w:val="2"/>
            <w:tcBorders>
              <w:top w:val="single" w:sz="8" w:space="0" w:color="000000"/>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Différence entre 2019 et 2018</w:t>
            </w:r>
          </w:p>
        </w:tc>
      </w:tr>
      <w:tr>
        <w:trPr>
          <w:trHeight w:val="246"/>
          <w:jc w:val="center"/>
        </w:trPr>
        <w:tc>
          <w:tcPr>
            <w:tcW w:w="607"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sz w:val="18"/>
                <w:szCs w:val="18"/>
                <w:lang w:eastAsia="en-GB"/>
              </w:rPr>
            </w:pPr>
          </w:p>
        </w:tc>
        <w:tc>
          <w:tcPr>
            <w:tcW w:w="1422"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Paiements intermédiaires</w:t>
            </w:r>
          </w:p>
        </w:tc>
        <w:tc>
          <w:tcPr>
            <w:tcW w:w="1506"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Préfinancements</w:t>
            </w:r>
          </w:p>
        </w:tc>
        <w:tc>
          <w:tcPr>
            <w:tcW w:w="1431"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Total</w:t>
            </w:r>
          </w:p>
        </w:tc>
        <w:tc>
          <w:tcPr>
            <w:tcW w:w="1421"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Paiements intermédiaires</w:t>
            </w:r>
          </w:p>
        </w:tc>
        <w:tc>
          <w:tcPr>
            <w:tcW w:w="1564"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Préfinancements</w:t>
            </w:r>
          </w:p>
        </w:tc>
        <w:tc>
          <w:tcPr>
            <w:tcW w:w="1426"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Total</w:t>
            </w:r>
          </w:p>
        </w:tc>
        <w:tc>
          <w:tcPr>
            <w:tcW w:w="1280"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(en EUR)</w:t>
            </w:r>
          </w:p>
        </w:tc>
        <w:tc>
          <w:tcPr>
            <w:tcW w:w="1016"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(en %)</w:t>
            </w:r>
          </w:p>
        </w:tc>
      </w:tr>
      <w:tr>
        <w:trPr>
          <w:trHeight w:val="246"/>
          <w:jc w:val="center"/>
        </w:trPr>
        <w:tc>
          <w:tcPr>
            <w:tcW w:w="60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BE</w:t>
            </w:r>
          </w:p>
        </w:tc>
        <w:tc>
          <w:tcPr>
            <w:tcW w:w="142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69 095 529</w:t>
            </w:r>
          </w:p>
        </w:tc>
        <w:tc>
          <w:tcPr>
            <w:tcW w:w="150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c>
          <w:tcPr>
            <w:tcW w:w="143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69 095 529</w:t>
            </w:r>
          </w:p>
        </w:tc>
        <w:tc>
          <w:tcPr>
            <w:tcW w:w="142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78 872 428</w:t>
            </w:r>
          </w:p>
        </w:tc>
        <w:tc>
          <w:tcPr>
            <w:tcW w:w="156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42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78 872 428</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9 776 899</w:t>
            </w:r>
          </w:p>
        </w:tc>
        <w:tc>
          <w:tcPr>
            <w:tcW w:w="101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14,15 %</w:t>
            </w:r>
          </w:p>
        </w:tc>
      </w:tr>
      <w:tr>
        <w:trPr>
          <w:trHeight w:val="246"/>
          <w:jc w:val="center"/>
        </w:trPr>
        <w:tc>
          <w:tcPr>
            <w:tcW w:w="60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BG</w:t>
            </w:r>
          </w:p>
        </w:tc>
        <w:tc>
          <w:tcPr>
            <w:tcW w:w="142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205 683 318</w:t>
            </w:r>
          </w:p>
        </w:tc>
        <w:tc>
          <w:tcPr>
            <w:tcW w:w="150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c>
          <w:tcPr>
            <w:tcW w:w="143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205 683 318</w:t>
            </w:r>
          </w:p>
        </w:tc>
        <w:tc>
          <w:tcPr>
            <w:tcW w:w="142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308 634 763</w:t>
            </w:r>
          </w:p>
        </w:tc>
        <w:tc>
          <w:tcPr>
            <w:tcW w:w="156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42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308 634 763</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102 951 445</w:t>
            </w:r>
          </w:p>
        </w:tc>
        <w:tc>
          <w:tcPr>
            <w:tcW w:w="101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50,05 %</w:t>
            </w:r>
          </w:p>
        </w:tc>
      </w:tr>
      <w:tr>
        <w:trPr>
          <w:trHeight w:val="246"/>
          <w:jc w:val="center"/>
        </w:trPr>
        <w:tc>
          <w:tcPr>
            <w:tcW w:w="60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CZ</w:t>
            </w:r>
          </w:p>
        </w:tc>
        <w:tc>
          <w:tcPr>
            <w:tcW w:w="142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324 647 223</w:t>
            </w:r>
          </w:p>
        </w:tc>
        <w:tc>
          <w:tcPr>
            <w:tcW w:w="150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c>
          <w:tcPr>
            <w:tcW w:w="143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324 647 223</w:t>
            </w:r>
          </w:p>
        </w:tc>
        <w:tc>
          <w:tcPr>
            <w:tcW w:w="142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393 828 050</w:t>
            </w:r>
          </w:p>
        </w:tc>
        <w:tc>
          <w:tcPr>
            <w:tcW w:w="156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42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393 828 050</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69 180 827</w:t>
            </w:r>
          </w:p>
        </w:tc>
        <w:tc>
          <w:tcPr>
            <w:tcW w:w="101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21,31 %</w:t>
            </w:r>
          </w:p>
        </w:tc>
      </w:tr>
      <w:tr>
        <w:trPr>
          <w:trHeight w:val="246"/>
          <w:jc w:val="center"/>
        </w:trPr>
        <w:tc>
          <w:tcPr>
            <w:tcW w:w="60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DK</w:t>
            </w:r>
          </w:p>
        </w:tc>
        <w:tc>
          <w:tcPr>
            <w:tcW w:w="142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89 687 155</w:t>
            </w:r>
          </w:p>
        </w:tc>
        <w:tc>
          <w:tcPr>
            <w:tcW w:w="150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c>
          <w:tcPr>
            <w:tcW w:w="143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89 687 155</w:t>
            </w:r>
          </w:p>
        </w:tc>
        <w:tc>
          <w:tcPr>
            <w:tcW w:w="142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101 066 664</w:t>
            </w:r>
          </w:p>
        </w:tc>
        <w:tc>
          <w:tcPr>
            <w:tcW w:w="156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42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101 066 664</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11 379 509</w:t>
            </w:r>
          </w:p>
        </w:tc>
        <w:tc>
          <w:tcPr>
            <w:tcW w:w="101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12,69 %</w:t>
            </w:r>
          </w:p>
        </w:tc>
      </w:tr>
      <w:tr>
        <w:trPr>
          <w:trHeight w:val="246"/>
          <w:jc w:val="center"/>
        </w:trPr>
        <w:tc>
          <w:tcPr>
            <w:tcW w:w="60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DE</w:t>
            </w:r>
          </w:p>
        </w:tc>
        <w:tc>
          <w:tcPr>
            <w:tcW w:w="142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1 117 668 890</w:t>
            </w:r>
          </w:p>
        </w:tc>
        <w:tc>
          <w:tcPr>
            <w:tcW w:w="150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c>
          <w:tcPr>
            <w:tcW w:w="143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1 117 668 890</w:t>
            </w:r>
          </w:p>
        </w:tc>
        <w:tc>
          <w:tcPr>
            <w:tcW w:w="142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1 273 596 303</w:t>
            </w:r>
          </w:p>
        </w:tc>
        <w:tc>
          <w:tcPr>
            <w:tcW w:w="156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42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1 273 596 303</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155 927 413</w:t>
            </w:r>
          </w:p>
        </w:tc>
        <w:tc>
          <w:tcPr>
            <w:tcW w:w="101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13,95 %</w:t>
            </w:r>
          </w:p>
        </w:tc>
      </w:tr>
      <w:tr>
        <w:trPr>
          <w:trHeight w:val="246"/>
          <w:jc w:val="center"/>
        </w:trPr>
        <w:tc>
          <w:tcPr>
            <w:tcW w:w="60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EE</w:t>
            </w:r>
          </w:p>
        </w:tc>
        <w:tc>
          <w:tcPr>
            <w:tcW w:w="142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128 104 065</w:t>
            </w:r>
          </w:p>
        </w:tc>
        <w:tc>
          <w:tcPr>
            <w:tcW w:w="150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c>
          <w:tcPr>
            <w:tcW w:w="143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128 104 065</w:t>
            </w:r>
          </w:p>
        </w:tc>
        <w:tc>
          <w:tcPr>
            <w:tcW w:w="142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124 908 745</w:t>
            </w:r>
          </w:p>
        </w:tc>
        <w:tc>
          <w:tcPr>
            <w:tcW w:w="156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42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124 908 745</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-3 195 320</w:t>
            </w:r>
          </w:p>
        </w:tc>
        <w:tc>
          <w:tcPr>
            <w:tcW w:w="101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-2,49 %</w:t>
            </w:r>
          </w:p>
        </w:tc>
      </w:tr>
      <w:tr>
        <w:trPr>
          <w:trHeight w:val="246"/>
          <w:jc w:val="center"/>
        </w:trPr>
        <w:tc>
          <w:tcPr>
            <w:tcW w:w="60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IE</w:t>
            </w:r>
          </w:p>
        </w:tc>
        <w:tc>
          <w:tcPr>
            <w:tcW w:w="142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318 709 149</w:t>
            </w:r>
          </w:p>
        </w:tc>
        <w:tc>
          <w:tcPr>
            <w:tcW w:w="150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c>
          <w:tcPr>
            <w:tcW w:w="143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318 709 149</w:t>
            </w:r>
          </w:p>
        </w:tc>
        <w:tc>
          <w:tcPr>
            <w:tcW w:w="142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324 022 439</w:t>
            </w:r>
          </w:p>
        </w:tc>
        <w:tc>
          <w:tcPr>
            <w:tcW w:w="156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42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324 022 439</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5 313 290</w:t>
            </w:r>
          </w:p>
        </w:tc>
        <w:tc>
          <w:tcPr>
            <w:tcW w:w="101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1,67 %</w:t>
            </w:r>
          </w:p>
        </w:tc>
      </w:tr>
      <w:tr>
        <w:trPr>
          <w:trHeight w:val="246"/>
          <w:jc w:val="center"/>
        </w:trPr>
        <w:tc>
          <w:tcPr>
            <w:tcW w:w="60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GR</w:t>
            </w:r>
          </w:p>
        </w:tc>
        <w:tc>
          <w:tcPr>
            <w:tcW w:w="142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579 944 832</w:t>
            </w:r>
          </w:p>
        </w:tc>
        <w:tc>
          <w:tcPr>
            <w:tcW w:w="150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c>
          <w:tcPr>
            <w:tcW w:w="143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579 944 832</w:t>
            </w:r>
          </w:p>
        </w:tc>
        <w:tc>
          <w:tcPr>
            <w:tcW w:w="142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411 413 602</w:t>
            </w:r>
          </w:p>
        </w:tc>
        <w:tc>
          <w:tcPr>
            <w:tcW w:w="156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42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411 413 602</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-168 531 230</w:t>
            </w:r>
          </w:p>
        </w:tc>
        <w:tc>
          <w:tcPr>
            <w:tcW w:w="101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-29,06 %</w:t>
            </w:r>
          </w:p>
        </w:tc>
      </w:tr>
      <w:tr>
        <w:trPr>
          <w:trHeight w:val="246"/>
          <w:jc w:val="center"/>
        </w:trPr>
        <w:tc>
          <w:tcPr>
            <w:tcW w:w="60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ES</w:t>
            </w:r>
          </w:p>
        </w:tc>
        <w:tc>
          <w:tcPr>
            <w:tcW w:w="142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899 726 086</w:t>
            </w:r>
          </w:p>
        </w:tc>
        <w:tc>
          <w:tcPr>
            <w:tcW w:w="150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c>
          <w:tcPr>
            <w:tcW w:w="143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899 726 086</w:t>
            </w:r>
          </w:p>
        </w:tc>
        <w:tc>
          <w:tcPr>
            <w:tcW w:w="142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1 165 619 770</w:t>
            </w:r>
          </w:p>
        </w:tc>
        <w:tc>
          <w:tcPr>
            <w:tcW w:w="156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42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1 165 619 770</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265 893 684</w:t>
            </w:r>
          </w:p>
        </w:tc>
        <w:tc>
          <w:tcPr>
            <w:tcW w:w="101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29,55 %</w:t>
            </w:r>
          </w:p>
        </w:tc>
      </w:tr>
      <w:tr>
        <w:trPr>
          <w:trHeight w:val="246"/>
          <w:jc w:val="center"/>
        </w:trPr>
        <w:tc>
          <w:tcPr>
            <w:tcW w:w="60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FR</w:t>
            </w:r>
          </w:p>
        </w:tc>
        <w:tc>
          <w:tcPr>
            <w:tcW w:w="142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1 708 849 535</w:t>
            </w:r>
          </w:p>
        </w:tc>
        <w:tc>
          <w:tcPr>
            <w:tcW w:w="150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16 198 977</w:t>
            </w:r>
          </w:p>
        </w:tc>
        <w:tc>
          <w:tcPr>
            <w:tcW w:w="143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1 725 048 512</w:t>
            </w:r>
          </w:p>
        </w:tc>
        <w:tc>
          <w:tcPr>
            <w:tcW w:w="142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2 060 819 582</w:t>
            </w:r>
          </w:p>
        </w:tc>
        <w:tc>
          <w:tcPr>
            <w:tcW w:w="156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2 703 993</w:t>
            </w:r>
          </w:p>
        </w:tc>
        <w:tc>
          <w:tcPr>
            <w:tcW w:w="142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2 063 523 575</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338 475 063</w:t>
            </w:r>
          </w:p>
        </w:tc>
        <w:tc>
          <w:tcPr>
            <w:tcW w:w="101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19,62 %</w:t>
            </w:r>
          </w:p>
        </w:tc>
      </w:tr>
      <w:tr>
        <w:trPr>
          <w:trHeight w:val="246"/>
          <w:jc w:val="center"/>
        </w:trPr>
        <w:tc>
          <w:tcPr>
            <w:tcW w:w="60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HR</w:t>
            </w:r>
          </w:p>
        </w:tc>
        <w:tc>
          <w:tcPr>
            <w:tcW w:w="142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206 150 392</w:t>
            </w:r>
          </w:p>
        </w:tc>
        <w:tc>
          <w:tcPr>
            <w:tcW w:w="150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c>
          <w:tcPr>
            <w:tcW w:w="143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206 150 392</w:t>
            </w:r>
          </w:p>
        </w:tc>
        <w:tc>
          <w:tcPr>
            <w:tcW w:w="142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299 635 531</w:t>
            </w:r>
          </w:p>
        </w:tc>
        <w:tc>
          <w:tcPr>
            <w:tcW w:w="156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42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299 635 531</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93 485 139</w:t>
            </w:r>
          </w:p>
        </w:tc>
        <w:tc>
          <w:tcPr>
            <w:tcW w:w="101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45,35 %</w:t>
            </w:r>
          </w:p>
        </w:tc>
      </w:tr>
      <w:tr>
        <w:trPr>
          <w:trHeight w:val="246"/>
          <w:jc w:val="center"/>
        </w:trPr>
        <w:tc>
          <w:tcPr>
            <w:tcW w:w="60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IT</w:t>
            </w:r>
          </w:p>
        </w:tc>
        <w:tc>
          <w:tcPr>
            <w:tcW w:w="142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1 045 757 040</w:t>
            </w:r>
          </w:p>
        </w:tc>
        <w:tc>
          <w:tcPr>
            <w:tcW w:w="150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c>
          <w:tcPr>
            <w:tcW w:w="143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1 045 757 040</w:t>
            </w:r>
          </w:p>
        </w:tc>
        <w:tc>
          <w:tcPr>
            <w:tcW w:w="142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1 449 081 121</w:t>
            </w:r>
          </w:p>
        </w:tc>
        <w:tc>
          <w:tcPr>
            <w:tcW w:w="156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42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1 449 081 121</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403 324 081</w:t>
            </w:r>
          </w:p>
        </w:tc>
        <w:tc>
          <w:tcPr>
            <w:tcW w:w="101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38,57 %</w:t>
            </w:r>
          </w:p>
        </w:tc>
      </w:tr>
      <w:tr>
        <w:trPr>
          <w:trHeight w:val="246"/>
          <w:jc w:val="center"/>
        </w:trPr>
        <w:tc>
          <w:tcPr>
            <w:tcW w:w="60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CY</w:t>
            </w:r>
          </w:p>
        </w:tc>
        <w:tc>
          <w:tcPr>
            <w:tcW w:w="142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14 530 171</w:t>
            </w:r>
          </w:p>
        </w:tc>
        <w:tc>
          <w:tcPr>
            <w:tcW w:w="150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c>
          <w:tcPr>
            <w:tcW w:w="143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14 530 171</w:t>
            </w:r>
          </w:p>
        </w:tc>
        <w:tc>
          <w:tcPr>
            <w:tcW w:w="142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20 952 824</w:t>
            </w:r>
          </w:p>
        </w:tc>
        <w:tc>
          <w:tcPr>
            <w:tcW w:w="156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42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20 952 824</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6 422 653</w:t>
            </w:r>
          </w:p>
        </w:tc>
        <w:tc>
          <w:tcPr>
            <w:tcW w:w="101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44,20 %</w:t>
            </w:r>
          </w:p>
        </w:tc>
      </w:tr>
      <w:tr>
        <w:trPr>
          <w:trHeight w:val="246"/>
          <w:jc w:val="center"/>
        </w:trPr>
        <w:tc>
          <w:tcPr>
            <w:tcW w:w="60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LV</w:t>
            </w:r>
          </w:p>
        </w:tc>
        <w:tc>
          <w:tcPr>
            <w:tcW w:w="142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192 664 101</w:t>
            </w:r>
          </w:p>
        </w:tc>
        <w:tc>
          <w:tcPr>
            <w:tcW w:w="150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c>
          <w:tcPr>
            <w:tcW w:w="143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192 664 101</w:t>
            </w:r>
          </w:p>
        </w:tc>
        <w:tc>
          <w:tcPr>
            <w:tcW w:w="142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206 475 667</w:t>
            </w:r>
          </w:p>
        </w:tc>
        <w:tc>
          <w:tcPr>
            <w:tcW w:w="156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42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206 475 667</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13 811 566</w:t>
            </w:r>
          </w:p>
        </w:tc>
        <w:tc>
          <w:tcPr>
            <w:tcW w:w="101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7,17 %</w:t>
            </w:r>
          </w:p>
        </w:tc>
      </w:tr>
      <w:tr>
        <w:trPr>
          <w:trHeight w:val="246"/>
          <w:jc w:val="center"/>
        </w:trPr>
        <w:tc>
          <w:tcPr>
            <w:tcW w:w="60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LT</w:t>
            </w:r>
          </w:p>
        </w:tc>
        <w:tc>
          <w:tcPr>
            <w:tcW w:w="142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217 968 861</w:t>
            </w:r>
          </w:p>
        </w:tc>
        <w:tc>
          <w:tcPr>
            <w:tcW w:w="150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1 502 340</w:t>
            </w:r>
          </w:p>
        </w:tc>
        <w:tc>
          <w:tcPr>
            <w:tcW w:w="143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219 471 201</w:t>
            </w:r>
          </w:p>
        </w:tc>
        <w:tc>
          <w:tcPr>
            <w:tcW w:w="142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181 240 364</w:t>
            </w:r>
          </w:p>
        </w:tc>
        <w:tc>
          <w:tcPr>
            <w:tcW w:w="156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10 800</w:t>
            </w:r>
          </w:p>
        </w:tc>
        <w:tc>
          <w:tcPr>
            <w:tcW w:w="142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181 251 164</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-38 220 037</w:t>
            </w:r>
          </w:p>
        </w:tc>
        <w:tc>
          <w:tcPr>
            <w:tcW w:w="101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-17,41 %</w:t>
            </w:r>
          </w:p>
        </w:tc>
      </w:tr>
      <w:tr>
        <w:trPr>
          <w:trHeight w:val="246"/>
          <w:jc w:val="center"/>
        </w:trPr>
        <w:tc>
          <w:tcPr>
            <w:tcW w:w="60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LU</w:t>
            </w:r>
          </w:p>
        </w:tc>
        <w:tc>
          <w:tcPr>
            <w:tcW w:w="142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14 530 735</w:t>
            </w:r>
          </w:p>
        </w:tc>
        <w:tc>
          <w:tcPr>
            <w:tcW w:w="150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c>
          <w:tcPr>
            <w:tcW w:w="143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14 530 735</w:t>
            </w:r>
          </w:p>
        </w:tc>
        <w:tc>
          <w:tcPr>
            <w:tcW w:w="142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14 481 595</w:t>
            </w:r>
          </w:p>
        </w:tc>
        <w:tc>
          <w:tcPr>
            <w:tcW w:w="156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42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14 481 595</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-49 140</w:t>
            </w:r>
          </w:p>
        </w:tc>
        <w:tc>
          <w:tcPr>
            <w:tcW w:w="101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-0,34 %</w:t>
            </w:r>
          </w:p>
        </w:tc>
      </w:tr>
      <w:tr>
        <w:trPr>
          <w:trHeight w:val="246"/>
          <w:jc w:val="center"/>
        </w:trPr>
        <w:tc>
          <w:tcPr>
            <w:tcW w:w="60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HU</w:t>
            </w:r>
          </w:p>
        </w:tc>
        <w:tc>
          <w:tcPr>
            <w:tcW w:w="142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385 929 544</w:t>
            </w:r>
          </w:p>
        </w:tc>
        <w:tc>
          <w:tcPr>
            <w:tcW w:w="150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c>
          <w:tcPr>
            <w:tcW w:w="143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385 929 544</w:t>
            </w:r>
          </w:p>
        </w:tc>
        <w:tc>
          <w:tcPr>
            <w:tcW w:w="142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511 369 533</w:t>
            </w:r>
          </w:p>
        </w:tc>
        <w:tc>
          <w:tcPr>
            <w:tcW w:w="156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42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511 369 533</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125 439 988</w:t>
            </w:r>
          </w:p>
        </w:tc>
        <w:tc>
          <w:tcPr>
            <w:tcW w:w="101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32,50 %</w:t>
            </w:r>
          </w:p>
        </w:tc>
      </w:tr>
      <w:tr>
        <w:trPr>
          <w:trHeight w:val="246"/>
          <w:jc w:val="center"/>
        </w:trPr>
        <w:tc>
          <w:tcPr>
            <w:tcW w:w="60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MT</w:t>
            </w:r>
          </w:p>
        </w:tc>
        <w:tc>
          <w:tcPr>
            <w:tcW w:w="142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9 391 195</w:t>
            </w:r>
          </w:p>
        </w:tc>
        <w:tc>
          <w:tcPr>
            <w:tcW w:w="150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c>
          <w:tcPr>
            <w:tcW w:w="143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9 391 195</w:t>
            </w:r>
          </w:p>
        </w:tc>
        <w:tc>
          <w:tcPr>
            <w:tcW w:w="142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19 429 947</w:t>
            </w:r>
          </w:p>
        </w:tc>
        <w:tc>
          <w:tcPr>
            <w:tcW w:w="156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42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19 429 947</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10 038 752</w:t>
            </w:r>
          </w:p>
        </w:tc>
        <w:tc>
          <w:tcPr>
            <w:tcW w:w="101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106,90 %</w:t>
            </w:r>
          </w:p>
        </w:tc>
      </w:tr>
      <w:tr>
        <w:trPr>
          <w:trHeight w:val="246"/>
          <w:jc w:val="center"/>
        </w:trPr>
        <w:tc>
          <w:tcPr>
            <w:tcW w:w="60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NL</w:t>
            </w:r>
          </w:p>
        </w:tc>
        <w:tc>
          <w:tcPr>
            <w:tcW w:w="142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78 872 378</w:t>
            </w:r>
          </w:p>
        </w:tc>
        <w:tc>
          <w:tcPr>
            <w:tcW w:w="150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1 800 000</w:t>
            </w:r>
          </w:p>
        </w:tc>
        <w:tc>
          <w:tcPr>
            <w:tcW w:w="143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80 672 378</w:t>
            </w:r>
          </w:p>
        </w:tc>
        <w:tc>
          <w:tcPr>
            <w:tcW w:w="142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90 398 504</w:t>
            </w:r>
          </w:p>
        </w:tc>
        <w:tc>
          <w:tcPr>
            <w:tcW w:w="156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42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90 398 504</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9 726 126</w:t>
            </w:r>
          </w:p>
        </w:tc>
        <w:tc>
          <w:tcPr>
            <w:tcW w:w="101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12,06 %</w:t>
            </w:r>
          </w:p>
        </w:tc>
      </w:tr>
      <w:tr>
        <w:trPr>
          <w:trHeight w:val="246"/>
          <w:jc w:val="center"/>
        </w:trPr>
        <w:tc>
          <w:tcPr>
            <w:tcW w:w="60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AT</w:t>
            </w:r>
          </w:p>
        </w:tc>
        <w:tc>
          <w:tcPr>
            <w:tcW w:w="142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512 804 158</w:t>
            </w:r>
          </w:p>
        </w:tc>
        <w:tc>
          <w:tcPr>
            <w:tcW w:w="150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c>
          <w:tcPr>
            <w:tcW w:w="143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512 804 158</w:t>
            </w:r>
          </w:p>
        </w:tc>
        <w:tc>
          <w:tcPr>
            <w:tcW w:w="142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538 171 765</w:t>
            </w:r>
          </w:p>
        </w:tc>
        <w:tc>
          <w:tcPr>
            <w:tcW w:w="156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42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538 171 765</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25 367 607</w:t>
            </w:r>
          </w:p>
        </w:tc>
        <w:tc>
          <w:tcPr>
            <w:tcW w:w="101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4,95 %</w:t>
            </w:r>
          </w:p>
        </w:tc>
      </w:tr>
      <w:tr>
        <w:trPr>
          <w:trHeight w:val="246"/>
          <w:jc w:val="center"/>
        </w:trPr>
        <w:tc>
          <w:tcPr>
            <w:tcW w:w="60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PL</w:t>
            </w:r>
          </w:p>
        </w:tc>
        <w:tc>
          <w:tcPr>
            <w:tcW w:w="142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944 569 722</w:t>
            </w:r>
          </w:p>
        </w:tc>
        <w:tc>
          <w:tcPr>
            <w:tcW w:w="150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c>
          <w:tcPr>
            <w:tcW w:w="143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944 569 722</w:t>
            </w:r>
          </w:p>
        </w:tc>
        <w:tc>
          <w:tcPr>
            <w:tcW w:w="142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1 092 284 985</w:t>
            </w:r>
          </w:p>
        </w:tc>
        <w:tc>
          <w:tcPr>
            <w:tcW w:w="156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42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1 092 284 985</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147 715 262</w:t>
            </w:r>
          </w:p>
        </w:tc>
        <w:tc>
          <w:tcPr>
            <w:tcW w:w="101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15,64 %</w:t>
            </w:r>
          </w:p>
        </w:tc>
      </w:tr>
      <w:tr>
        <w:trPr>
          <w:trHeight w:val="246"/>
          <w:jc w:val="center"/>
        </w:trPr>
        <w:tc>
          <w:tcPr>
            <w:tcW w:w="60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PT</w:t>
            </w:r>
          </w:p>
        </w:tc>
        <w:tc>
          <w:tcPr>
            <w:tcW w:w="142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503 033 323</w:t>
            </w:r>
          </w:p>
        </w:tc>
        <w:tc>
          <w:tcPr>
            <w:tcW w:w="150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c>
          <w:tcPr>
            <w:tcW w:w="143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503 033 323</w:t>
            </w:r>
          </w:p>
        </w:tc>
        <w:tc>
          <w:tcPr>
            <w:tcW w:w="142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523 049 233</w:t>
            </w:r>
          </w:p>
        </w:tc>
        <w:tc>
          <w:tcPr>
            <w:tcW w:w="156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42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523 049 233</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20 015 909</w:t>
            </w:r>
          </w:p>
        </w:tc>
        <w:tc>
          <w:tcPr>
            <w:tcW w:w="101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3,98 %</w:t>
            </w:r>
          </w:p>
        </w:tc>
      </w:tr>
      <w:tr>
        <w:trPr>
          <w:trHeight w:val="246"/>
          <w:jc w:val="center"/>
        </w:trPr>
        <w:tc>
          <w:tcPr>
            <w:tcW w:w="60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RO</w:t>
            </w:r>
          </w:p>
        </w:tc>
        <w:tc>
          <w:tcPr>
            <w:tcW w:w="142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1 146 152 415</w:t>
            </w:r>
          </w:p>
        </w:tc>
        <w:tc>
          <w:tcPr>
            <w:tcW w:w="150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c>
          <w:tcPr>
            <w:tcW w:w="143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1 146 152 415</w:t>
            </w:r>
          </w:p>
        </w:tc>
        <w:tc>
          <w:tcPr>
            <w:tcW w:w="142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967 073 048</w:t>
            </w:r>
          </w:p>
        </w:tc>
        <w:tc>
          <w:tcPr>
            <w:tcW w:w="156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42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967 073 048</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-179 079 366</w:t>
            </w:r>
          </w:p>
        </w:tc>
        <w:tc>
          <w:tcPr>
            <w:tcW w:w="101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-15,62 %</w:t>
            </w:r>
          </w:p>
        </w:tc>
      </w:tr>
      <w:tr>
        <w:trPr>
          <w:trHeight w:val="246"/>
          <w:jc w:val="center"/>
        </w:trPr>
        <w:tc>
          <w:tcPr>
            <w:tcW w:w="60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SI</w:t>
            </w:r>
          </w:p>
        </w:tc>
        <w:tc>
          <w:tcPr>
            <w:tcW w:w="142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110 943 349</w:t>
            </w:r>
          </w:p>
        </w:tc>
        <w:tc>
          <w:tcPr>
            <w:tcW w:w="150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c>
          <w:tcPr>
            <w:tcW w:w="143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110 943 349</w:t>
            </w:r>
          </w:p>
        </w:tc>
        <w:tc>
          <w:tcPr>
            <w:tcW w:w="142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120 096 847</w:t>
            </w:r>
          </w:p>
        </w:tc>
        <w:tc>
          <w:tcPr>
            <w:tcW w:w="156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42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120 096 847</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9 153 498</w:t>
            </w:r>
          </w:p>
        </w:tc>
        <w:tc>
          <w:tcPr>
            <w:tcW w:w="101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8,25 %</w:t>
            </w:r>
          </w:p>
        </w:tc>
      </w:tr>
      <w:tr>
        <w:trPr>
          <w:trHeight w:val="246"/>
          <w:jc w:val="center"/>
        </w:trPr>
        <w:tc>
          <w:tcPr>
            <w:tcW w:w="60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SK</w:t>
            </w:r>
          </w:p>
        </w:tc>
        <w:tc>
          <w:tcPr>
            <w:tcW w:w="142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200 196 868</w:t>
            </w:r>
          </w:p>
        </w:tc>
        <w:tc>
          <w:tcPr>
            <w:tcW w:w="150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c>
          <w:tcPr>
            <w:tcW w:w="143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200 196 868</w:t>
            </w:r>
          </w:p>
        </w:tc>
        <w:tc>
          <w:tcPr>
            <w:tcW w:w="142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209 361 675</w:t>
            </w:r>
          </w:p>
        </w:tc>
        <w:tc>
          <w:tcPr>
            <w:tcW w:w="156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42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209 361 675</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9 164 806</w:t>
            </w:r>
          </w:p>
        </w:tc>
        <w:tc>
          <w:tcPr>
            <w:tcW w:w="101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4,58 %</w:t>
            </w:r>
          </w:p>
        </w:tc>
      </w:tr>
      <w:tr>
        <w:trPr>
          <w:trHeight w:val="246"/>
          <w:jc w:val="center"/>
        </w:trPr>
        <w:tc>
          <w:tcPr>
            <w:tcW w:w="60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FI</w:t>
            </w:r>
          </w:p>
        </w:tc>
        <w:tc>
          <w:tcPr>
            <w:tcW w:w="142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351 787 931</w:t>
            </w:r>
          </w:p>
        </w:tc>
        <w:tc>
          <w:tcPr>
            <w:tcW w:w="150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c>
          <w:tcPr>
            <w:tcW w:w="143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351 787 931</w:t>
            </w:r>
          </w:p>
        </w:tc>
        <w:tc>
          <w:tcPr>
            <w:tcW w:w="142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351 173 513</w:t>
            </w:r>
          </w:p>
        </w:tc>
        <w:tc>
          <w:tcPr>
            <w:tcW w:w="156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42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351 173 513</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-614 418</w:t>
            </w:r>
          </w:p>
        </w:tc>
        <w:tc>
          <w:tcPr>
            <w:tcW w:w="101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-0,17 %</w:t>
            </w:r>
          </w:p>
        </w:tc>
      </w:tr>
      <w:tr>
        <w:trPr>
          <w:trHeight w:val="246"/>
          <w:jc w:val="center"/>
        </w:trPr>
        <w:tc>
          <w:tcPr>
            <w:tcW w:w="60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SE</w:t>
            </w:r>
          </w:p>
        </w:tc>
        <w:tc>
          <w:tcPr>
            <w:tcW w:w="142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195 642 880</w:t>
            </w:r>
          </w:p>
        </w:tc>
        <w:tc>
          <w:tcPr>
            <w:tcW w:w="150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c>
          <w:tcPr>
            <w:tcW w:w="143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195 642 880</w:t>
            </w:r>
          </w:p>
        </w:tc>
        <w:tc>
          <w:tcPr>
            <w:tcW w:w="142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226 298 189</w:t>
            </w:r>
          </w:p>
        </w:tc>
        <w:tc>
          <w:tcPr>
            <w:tcW w:w="156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42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226 298 189</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30 655 309</w:t>
            </w:r>
          </w:p>
        </w:tc>
        <w:tc>
          <w:tcPr>
            <w:tcW w:w="101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15,67 %</w:t>
            </w:r>
          </w:p>
        </w:tc>
      </w:tr>
      <w:tr>
        <w:trPr>
          <w:trHeight w:val="246"/>
          <w:jc w:val="center"/>
        </w:trPr>
        <w:tc>
          <w:tcPr>
            <w:tcW w:w="60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UK</w:t>
            </w:r>
          </w:p>
        </w:tc>
        <w:tc>
          <w:tcPr>
            <w:tcW w:w="142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580 998 528</w:t>
            </w:r>
          </w:p>
        </w:tc>
        <w:tc>
          <w:tcPr>
            <w:tcW w:w="150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c>
          <w:tcPr>
            <w:tcW w:w="143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580 998 528</w:t>
            </w:r>
          </w:p>
        </w:tc>
        <w:tc>
          <w:tcPr>
            <w:tcW w:w="142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773 925 472</w:t>
            </w:r>
          </w:p>
        </w:tc>
        <w:tc>
          <w:tcPr>
            <w:tcW w:w="156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42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773 925 472</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192 926 944</w:t>
            </w:r>
          </w:p>
        </w:tc>
        <w:tc>
          <w:tcPr>
            <w:tcW w:w="101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33,21 %</w:t>
            </w:r>
          </w:p>
        </w:tc>
      </w:tr>
      <w:tr>
        <w:trPr>
          <w:trHeight w:val="246"/>
          <w:jc w:val="center"/>
        </w:trPr>
        <w:tc>
          <w:tcPr>
            <w:tcW w:w="607"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Total</w:t>
            </w:r>
          </w:p>
        </w:tc>
        <w:tc>
          <w:tcPr>
            <w:tcW w:w="1422"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12 154 039 375</w:t>
            </w:r>
          </w:p>
        </w:tc>
        <w:tc>
          <w:tcPr>
            <w:tcW w:w="1506"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19 501 317</w:t>
            </w:r>
          </w:p>
        </w:tc>
        <w:tc>
          <w:tcPr>
            <w:tcW w:w="1431"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12 173 540 691</w:t>
            </w:r>
          </w:p>
        </w:tc>
        <w:tc>
          <w:tcPr>
            <w:tcW w:w="1421"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13 837 282 157</w:t>
            </w:r>
          </w:p>
        </w:tc>
        <w:tc>
          <w:tcPr>
            <w:tcW w:w="1564"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2 714 793</w:t>
            </w:r>
          </w:p>
        </w:tc>
        <w:tc>
          <w:tcPr>
            <w:tcW w:w="1426"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13 839 996 951</w:t>
            </w:r>
          </w:p>
        </w:tc>
        <w:tc>
          <w:tcPr>
            <w:tcW w:w="12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1 666 456 259</w:t>
            </w:r>
          </w:p>
        </w:tc>
        <w:tc>
          <w:tcPr>
            <w:tcW w:w="1016"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13,69 %</w:t>
            </w:r>
          </w:p>
        </w:tc>
      </w:tr>
    </w:tbl>
    <w:p>
      <w:pPr>
        <w:spacing w:after="0" w:line="240" w:lineRule="auto"/>
        <w:ind w:left="850"/>
        <w:jc w:val="both"/>
        <w:rPr>
          <w:rFonts w:ascii="Times New Roman" w:eastAsia="Times New Roman" w:hAnsi="Times New Roman" w:cs="Times New Roman"/>
          <w:noProof/>
          <w:sz w:val="24"/>
          <w:lang w:eastAsia="en-GB"/>
        </w:rPr>
      </w:pPr>
    </w:p>
    <w:p>
      <w:pPr>
        <w:spacing w:after="0" w:line="240" w:lineRule="auto"/>
        <w:ind w:left="850"/>
        <w:jc w:val="both"/>
        <w:rPr>
          <w:rFonts w:ascii="Times New Roman" w:eastAsia="Times New Roman" w:hAnsi="Times New Roman" w:cs="Times New Roman"/>
          <w:noProof/>
          <w:sz w:val="24"/>
          <w:lang w:eastAsia="en-GB"/>
        </w:rPr>
      </w:pPr>
    </w:p>
    <w:p>
      <w:pPr>
        <w:spacing w:after="0" w:line="240" w:lineRule="auto"/>
        <w:ind w:left="850"/>
        <w:jc w:val="both"/>
        <w:rPr>
          <w:rFonts w:ascii="Times New Roman" w:eastAsia="Times New Roman" w:hAnsi="Times New Roman" w:cs="Times New Roman"/>
          <w:noProof/>
          <w:sz w:val="24"/>
        </w:rPr>
      </w:pPr>
      <w:r>
        <w:rPr>
          <w:noProof/>
        </w:rPr>
        <w:br w:type="page"/>
      </w:r>
    </w:p>
    <w:p>
      <w:pPr>
        <w:keepNext/>
        <w:tabs>
          <w:tab w:val="left" w:pos="850"/>
        </w:tabs>
        <w:spacing w:before="240" w:after="120" w:line="240" w:lineRule="auto"/>
        <w:ind w:left="850" w:hanging="850"/>
        <w:jc w:val="both"/>
        <w:outlineLvl w:val="2"/>
        <w:rPr>
          <w:rFonts w:ascii="Times New Roman" w:eastAsia="Times New Roman" w:hAnsi="Times New Roman" w:cs="Times New Roman"/>
          <w:i/>
          <w:noProof/>
          <w:sz w:val="24"/>
        </w:rPr>
      </w:pPr>
      <w:bookmarkStart w:id="63" w:name="_Toc331167076"/>
      <w:bookmarkStart w:id="64" w:name="_Toc393127484"/>
      <w:bookmarkStart w:id="65" w:name="_Toc48126102"/>
      <w:r>
        <w:rPr>
          <w:rFonts w:ascii="Times New Roman" w:hAnsi="Times New Roman"/>
          <w:i/>
          <w:noProof/>
          <w:sz w:val="24"/>
        </w:rPr>
        <w:t>3.2.2.</w:t>
      </w:r>
      <w:r>
        <w:rPr>
          <w:noProof/>
        </w:rPr>
        <w:tab/>
      </w:r>
      <w:r>
        <w:rPr>
          <w:rFonts w:ascii="Times New Roman" w:hAnsi="Times New Roman"/>
          <w:i/>
          <w:noProof/>
          <w:sz w:val="24"/>
        </w:rPr>
        <w:t>Assistance technique</w:t>
      </w:r>
      <w:bookmarkEnd w:id="63"/>
      <w:bookmarkEnd w:id="64"/>
      <w:bookmarkEnd w:id="65"/>
      <w:r>
        <w:rPr>
          <w:rFonts w:ascii="Times New Roman" w:hAnsi="Times New Roman"/>
          <w:i/>
          <w:noProof/>
          <w:sz w:val="24"/>
          <w:highlight w:val="yellow"/>
        </w:rPr>
        <w:t xml:space="preserve"> </w:t>
      </w:r>
    </w:p>
    <w:p>
      <w:pPr>
        <w:spacing w:before="120" w:after="120" w:line="240" w:lineRule="auto"/>
        <w:ind w:left="850" w:right="71"/>
        <w:jc w:val="both"/>
        <w:rPr>
          <w:rFonts w:ascii="Times New Roman" w:eastAsia="Times New Roman" w:hAnsi="Times New Roman" w:cs="Times New Roman"/>
          <w:noProof/>
          <w:sz w:val="24"/>
        </w:rPr>
      </w:pPr>
      <w:r>
        <w:rPr>
          <w:rFonts w:ascii="Times New Roman" w:hAnsi="Times New Roman"/>
          <w:noProof/>
          <w:sz w:val="24"/>
        </w:rPr>
        <w:t>Pour la période de programmation 2014-2020, le montant des crédits de paiement disponibles pour l’assistance technique opérationnelle s’élevait à 18,5 millions d’EUR. Le montant initial de 16,7 millions d’EUR du budget 2019 a été renforcé par un virement d’un montant 1,8 million d’EUR de la ligne budgétaire consacrée aux programmes de développement rural du Feader 2014-2020. L’exécution finale s’est montée à 17,0 millions d’EUR.</w:t>
      </w:r>
    </w:p>
    <w:p>
      <w:pPr>
        <w:spacing w:before="120" w:after="120" w:line="240" w:lineRule="auto"/>
        <w:ind w:left="850" w:right="71"/>
        <w:jc w:val="both"/>
        <w:rPr>
          <w:rFonts w:ascii="Times New Roman" w:eastAsia="Times New Roman" w:hAnsi="Times New Roman" w:cs="Times New Roman"/>
          <w:noProof/>
          <w:sz w:val="24"/>
        </w:rPr>
      </w:pPr>
      <w:r>
        <w:rPr>
          <w:rFonts w:ascii="Times New Roman" w:hAnsi="Times New Roman"/>
          <w:noProof/>
          <w:sz w:val="24"/>
        </w:rPr>
        <w:t>Le tableau 10 ci-après présente les paiements regroupés en fonction des principales activités. La majeure partie de ces montants concerne le réseau européen de développement rural.</w:t>
      </w:r>
    </w:p>
    <w:p>
      <w:pPr>
        <w:spacing w:before="120" w:after="120" w:line="240" w:lineRule="auto"/>
        <w:ind w:left="850"/>
        <w:jc w:val="both"/>
        <w:rPr>
          <w:rFonts w:ascii="Times New Roman" w:eastAsia="Times New Roman" w:hAnsi="Times New Roman" w:cs="Times New Roman"/>
          <w:noProof/>
          <w:sz w:val="24"/>
        </w:rPr>
      </w:pPr>
      <w:bookmarkStart w:id="66" w:name="OLE_LINK17"/>
    </w:p>
    <w:p>
      <w:pPr>
        <w:spacing w:before="120" w:after="120" w:line="240" w:lineRule="auto"/>
        <w:ind w:left="850"/>
        <w:jc w:val="both"/>
        <w:rPr>
          <w:rFonts w:ascii="Times New Roman" w:eastAsia="Times New Roman" w:hAnsi="Times New Roman" w:cs="Times New Roman"/>
          <w:noProof/>
          <w:sz w:val="24"/>
        </w:rPr>
      </w:pPr>
      <w:r>
        <w:rPr>
          <w:rFonts w:ascii="Times New Roman" w:hAnsi="Times New Roman"/>
          <w:noProof/>
          <w:sz w:val="24"/>
        </w:rPr>
        <w:t xml:space="preserve">Tableau 10 </w:t>
      </w:r>
    </w:p>
    <w:tbl>
      <w:tblPr>
        <w:tblW w:w="7654" w:type="dxa"/>
        <w:tblInd w:w="959" w:type="dxa"/>
        <w:tblLook w:val="04A0" w:firstRow="1" w:lastRow="0" w:firstColumn="1" w:lastColumn="0" w:noHBand="0" w:noVBand="1"/>
      </w:tblPr>
      <w:tblGrid>
        <w:gridCol w:w="5386"/>
        <w:gridCol w:w="2268"/>
      </w:tblGrid>
      <w:tr>
        <w:trPr>
          <w:trHeight w:val="284"/>
        </w:trPr>
        <w:tc>
          <w:tcPr>
            <w:tcW w:w="7654"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bookmarkEnd w:id="66"/>
          <w:p>
            <w:pPr>
              <w:spacing w:after="0" w:line="240" w:lineRule="auto"/>
              <w:rPr>
                <w:rFonts w:ascii="Times New Roman" w:eastAsia="Times New Roman" w:hAnsi="Times New Roman" w:cs="Times New Roman"/>
                <w:b/>
                <w:bCs/>
                <w:i/>
                <w:iCs/>
                <w:noProof/>
                <w:color w:val="000000"/>
              </w:rPr>
            </w:pPr>
            <w:r>
              <w:rPr>
                <w:rFonts w:ascii="Times New Roman" w:hAnsi="Times New Roman"/>
                <w:noProof/>
                <w:color w:val="000000"/>
                <w:sz w:val="20"/>
                <w:szCs w:val="20"/>
              </w:rPr>
              <w:t xml:space="preserve"> </w:t>
            </w:r>
            <w:r>
              <w:rPr>
                <w:rFonts w:ascii="Times New Roman" w:hAnsi="Times New Roman"/>
                <w:b/>
                <w:bCs/>
                <w:i/>
                <w:iCs/>
                <w:noProof/>
                <w:color w:val="000000"/>
              </w:rPr>
              <w:t>Assistance technique - Exécution des crédits de paiement</w:t>
            </w:r>
          </w:p>
        </w:tc>
      </w:tr>
      <w:tr>
        <w:trPr>
          <w:trHeight w:val="284"/>
        </w:trPr>
        <w:tc>
          <w:tcPr>
            <w:tcW w:w="5386" w:type="dxa"/>
            <w:tcBorders>
              <w:top w:val="nil"/>
              <w:left w:val="single" w:sz="8" w:space="0" w:color="auto"/>
              <w:bottom w:val="single" w:sz="8" w:space="0" w:color="auto"/>
              <w:right w:val="nil"/>
            </w:tcBorders>
            <w:shd w:val="clear" w:color="auto" w:fill="auto"/>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Poste budgétaire: 05.046002</w:t>
            </w:r>
          </w:p>
        </w:tc>
        <w:tc>
          <w:tcPr>
            <w:tcW w:w="226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xml:space="preserve"> (en EUR) </w:t>
            </w:r>
          </w:p>
        </w:tc>
      </w:tr>
      <w:tr>
        <w:trPr>
          <w:trHeight w:val="284"/>
        </w:trPr>
        <w:tc>
          <w:tcPr>
            <w:tcW w:w="5386"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Description</w:t>
            </w:r>
          </w:p>
        </w:tc>
        <w:tc>
          <w:tcPr>
            <w:tcW w:w="2268"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 xml:space="preserve">Montant payé </w:t>
            </w:r>
          </w:p>
        </w:tc>
      </w:tr>
      <w:tr>
        <w:trPr>
          <w:trHeight w:val="284"/>
        </w:trPr>
        <w:tc>
          <w:tcPr>
            <w:tcW w:w="5386"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Réseau européen de développement rural </w:t>
            </w:r>
          </w:p>
        </w:tc>
        <w:tc>
          <w:tcPr>
            <w:tcW w:w="2268"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4 237 354 </w:t>
            </w:r>
          </w:p>
        </w:tc>
      </w:tr>
      <w:tr>
        <w:trPr>
          <w:trHeight w:val="284"/>
        </w:trPr>
        <w:tc>
          <w:tcPr>
            <w:tcW w:w="5386"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Technologies de l’information*</w:t>
            </w:r>
          </w:p>
        </w:tc>
        <w:tc>
          <w:tcPr>
            <w:tcW w:w="2268"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3 001 302 </w:t>
            </w:r>
          </w:p>
        </w:tc>
      </w:tr>
      <w:tr>
        <w:trPr>
          <w:trHeight w:val="284"/>
        </w:trPr>
        <w:tc>
          <w:tcPr>
            <w:tcW w:w="5386"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Plateforme d’assistance technique pour les instruments financiers</w:t>
            </w:r>
          </w:p>
        </w:tc>
        <w:tc>
          <w:tcPr>
            <w:tcW w:w="2268"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3 064 333 </w:t>
            </w:r>
          </w:p>
        </w:tc>
      </w:tr>
      <w:tr>
        <w:trPr>
          <w:trHeight w:val="284"/>
        </w:trPr>
        <w:tc>
          <w:tcPr>
            <w:tcW w:w="5386"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Partenariat d’innovation européen </w:t>
            </w:r>
          </w:p>
        </w:tc>
        <w:tc>
          <w:tcPr>
            <w:tcW w:w="2268"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2 648 305 </w:t>
            </w:r>
          </w:p>
        </w:tc>
      </w:tr>
      <w:tr>
        <w:trPr>
          <w:trHeight w:val="284"/>
        </w:trPr>
        <w:tc>
          <w:tcPr>
            <w:tcW w:w="5386"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Réseau européen d’évaluation </w:t>
            </w:r>
          </w:p>
        </w:tc>
        <w:tc>
          <w:tcPr>
            <w:tcW w:w="2268"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1 428 387 </w:t>
            </w:r>
          </w:p>
        </w:tc>
      </w:tr>
      <w:tr>
        <w:trPr>
          <w:trHeight w:val="284"/>
        </w:trPr>
        <w:tc>
          <w:tcPr>
            <w:tcW w:w="5386"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Communication institutionnelle</w:t>
            </w:r>
          </w:p>
        </w:tc>
        <w:tc>
          <w:tcPr>
            <w:tcW w:w="2268"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1 000 000 </w:t>
            </w:r>
          </w:p>
        </w:tc>
      </w:tr>
      <w:tr>
        <w:trPr>
          <w:trHeight w:val="284"/>
        </w:trPr>
        <w:tc>
          <w:tcPr>
            <w:tcW w:w="5386"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Programme LIFE</w:t>
            </w:r>
          </w:p>
        </w:tc>
        <w:tc>
          <w:tcPr>
            <w:tcW w:w="2268"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840 847 </w:t>
            </w:r>
          </w:p>
        </w:tc>
      </w:tr>
      <w:tr>
        <w:trPr>
          <w:trHeight w:val="284"/>
        </w:trPr>
        <w:tc>
          <w:tcPr>
            <w:tcW w:w="5386"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Audit et contrôles</w:t>
            </w:r>
          </w:p>
        </w:tc>
        <w:tc>
          <w:tcPr>
            <w:tcW w:w="2268"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632 480 </w:t>
            </w:r>
          </w:p>
        </w:tc>
      </w:tr>
      <w:tr>
        <w:trPr>
          <w:trHeight w:val="284"/>
        </w:trPr>
        <w:tc>
          <w:tcPr>
            <w:tcW w:w="5386"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Base de données sur l’agriculture biologique</w:t>
            </w:r>
          </w:p>
        </w:tc>
        <w:tc>
          <w:tcPr>
            <w:tcW w:w="2268"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139 108 </w:t>
            </w:r>
          </w:p>
        </w:tc>
      </w:tr>
      <w:tr>
        <w:trPr>
          <w:trHeight w:val="284"/>
        </w:trPr>
        <w:tc>
          <w:tcPr>
            <w:tcW w:w="5386" w:type="dxa"/>
            <w:tcBorders>
              <w:top w:val="nil"/>
              <w:left w:val="single" w:sz="8" w:space="0" w:color="auto"/>
              <w:bottom w:val="nil"/>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Protection LOGO</w:t>
            </w:r>
          </w:p>
        </w:tc>
        <w:tc>
          <w:tcPr>
            <w:tcW w:w="2268"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50 000 </w:t>
            </w:r>
          </w:p>
        </w:tc>
      </w:tr>
      <w:tr>
        <w:trPr>
          <w:trHeight w:val="284"/>
        </w:trPr>
        <w:tc>
          <w:tcPr>
            <w:tcW w:w="5386" w:type="dxa"/>
            <w:tcBorders>
              <w:top w:val="single" w:sz="8" w:space="0" w:color="auto"/>
              <w:left w:val="single" w:sz="8" w:space="0" w:color="auto"/>
              <w:bottom w:val="single" w:sz="8" w:space="0" w:color="auto"/>
              <w:right w:val="single" w:sz="8" w:space="0" w:color="auto"/>
            </w:tcBorders>
            <w:shd w:val="clear" w:color="000000" w:fill="FFFF99"/>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Total</w:t>
            </w:r>
          </w:p>
        </w:tc>
        <w:tc>
          <w:tcPr>
            <w:tcW w:w="2268"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 xml:space="preserve">               17 042 118 </w:t>
            </w:r>
          </w:p>
        </w:tc>
      </w:tr>
    </w:tbl>
    <w:p>
      <w:pPr>
        <w:spacing w:before="120" w:after="120" w:line="240" w:lineRule="auto"/>
        <w:ind w:left="850"/>
        <w:jc w:val="both"/>
        <w:rPr>
          <w:rFonts w:ascii="Times New Roman" w:eastAsia="Times New Roman" w:hAnsi="Times New Roman" w:cs="Times New Roman"/>
          <w:noProof/>
          <w:sz w:val="20"/>
          <w:szCs w:val="20"/>
        </w:rPr>
      </w:pPr>
      <w:r>
        <w:rPr>
          <w:rFonts w:ascii="Times New Roman" w:hAnsi="Times New Roman"/>
          <w:noProof/>
          <w:sz w:val="20"/>
          <w:szCs w:val="20"/>
        </w:rPr>
        <w:t xml:space="preserve">  * Y compris les bureaux de compétences en matière de haut débit</w:t>
      </w:r>
    </w:p>
    <w:p>
      <w:pPr>
        <w:spacing w:before="120" w:after="120" w:line="240" w:lineRule="auto"/>
        <w:ind w:left="850"/>
        <w:jc w:val="both"/>
        <w:rPr>
          <w:rFonts w:ascii="Times New Roman" w:eastAsia="Times New Roman" w:hAnsi="Times New Roman" w:cs="Times New Roman"/>
          <w:noProof/>
          <w:color w:val="000000"/>
          <w:sz w:val="20"/>
          <w:szCs w:val="20"/>
          <w:lang w:eastAsia="en-GB"/>
        </w:rPr>
      </w:pPr>
    </w:p>
    <w:p>
      <w:pPr>
        <w:keepNext/>
        <w:tabs>
          <w:tab w:val="left" w:pos="850"/>
        </w:tabs>
        <w:spacing w:before="240" w:after="120" w:line="240" w:lineRule="auto"/>
        <w:ind w:left="850" w:hanging="850"/>
        <w:jc w:val="both"/>
        <w:outlineLvl w:val="1"/>
        <w:rPr>
          <w:rFonts w:ascii="Times New Roman" w:eastAsia="Times New Roman" w:hAnsi="Times New Roman" w:cs="Times New Roman"/>
          <w:b/>
          <w:noProof/>
          <w:sz w:val="24"/>
        </w:rPr>
      </w:pPr>
      <w:bookmarkStart w:id="67" w:name="_Toc331167077"/>
      <w:bookmarkStart w:id="68" w:name="_Toc393127485"/>
      <w:bookmarkStart w:id="69" w:name="_Toc48126103"/>
      <w:r>
        <w:rPr>
          <w:rFonts w:ascii="Times New Roman" w:hAnsi="Times New Roman"/>
          <w:b/>
          <w:noProof/>
          <w:sz w:val="24"/>
        </w:rPr>
        <w:t>3.3.</w:t>
      </w:r>
      <w:r>
        <w:rPr>
          <w:noProof/>
        </w:rPr>
        <w:tab/>
      </w:r>
      <w:r>
        <w:rPr>
          <w:rFonts w:ascii="Times New Roman" w:hAnsi="Times New Roman"/>
          <w:b/>
          <w:noProof/>
          <w:sz w:val="24"/>
        </w:rPr>
        <w:t>Analyse des dépenses déclarées par mesure</w:t>
      </w:r>
      <w:bookmarkEnd w:id="67"/>
      <w:bookmarkEnd w:id="68"/>
      <w:bookmarkEnd w:id="69"/>
    </w:p>
    <w:p>
      <w:pPr>
        <w:spacing w:before="120" w:after="120" w:line="240" w:lineRule="auto"/>
        <w:ind w:left="850" w:right="71"/>
        <w:jc w:val="both"/>
        <w:rPr>
          <w:rFonts w:ascii="Times New Roman" w:eastAsia="Times New Roman" w:hAnsi="Times New Roman" w:cs="Times New Roman"/>
          <w:noProof/>
          <w:sz w:val="24"/>
        </w:rPr>
      </w:pPr>
      <w:r>
        <w:rPr>
          <w:rFonts w:ascii="Times New Roman" w:hAnsi="Times New Roman"/>
          <w:noProof/>
          <w:sz w:val="24"/>
        </w:rPr>
        <w:t>Le tableau 11 présente les demandes de paiement déclarées en 2019, par État membre et par mesure de développement rural (entre le 4</w:t>
      </w:r>
      <w:r>
        <w:rPr>
          <w:rFonts w:ascii="Times New Roman" w:hAnsi="Times New Roman"/>
          <w:noProof/>
          <w:sz w:val="24"/>
          <w:vertAlign w:val="superscript"/>
        </w:rPr>
        <w:t>e</w:t>
      </w:r>
      <w:r>
        <w:rPr>
          <w:rFonts w:ascii="Times New Roman" w:hAnsi="Times New Roman"/>
          <w:noProof/>
          <w:sz w:val="24"/>
        </w:rPr>
        <w:t xml:space="preserve"> trimestre 2018 et le 3</w:t>
      </w:r>
      <w:r>
        <w:rPr>
          <w:rFonts w:ascii="Times New Roman" w:hAnsi="Times New Roman"/>
          <w:noProof/>
          <w:sz w:val="24"/>
          <w:vertAlign w:val="superscript"/>
        </w:rPr>
        <w:t>e</w:t>
      </w:r>
      <w:r>
        <w:rPr>
          <w:rFonts w:ascii="Times New Roman" w:hAnsi="Times New Roman"/>
          <w:noProof/>
          <w:sz w:val="24"/>
        </w:rPr>
        <w:t xml:space="preserve"> trimestre 2019), les dépenses déclarées cumulées depuis le début de la période de programmation, ainsi que les plans de financement des programmes du Feader 2014-2020. </w:t>
      </w:r>
    </w:p>
    <w:p>
      <w:pPr>
        <w:spacing w:before="120" w:after="120" w:line="240" w:lineRule="auto"/>
        <w:ind w:left="850" w:right="71"/>
        <w:jc w:val="both"/>
        <w:rPr>
          <w:rFonts w:ascii="Times New Roman" w:eastAsia="Times New Roman" w:hAnsi="Times New Roman" w:cs="Times New Roman"/>
          <w:noProof/>
          <w:sz w:val="24"/>
        </w:rPr>
      </w:pPr>
      <w:r>
        <w:rPr>
          <w:rFonts w:ascii="Times New Roman" w:hAnsi="Times New Roman"/>
          <w:noProof/>
          <w:sz w:val="24"/>
        </w:rPr>
        <w:t>En 2019, les dépenses en faveur du Feader 2014-2020 sont restées concentrées principalement sur la mesure 04 (investissements physiques), sur la mesure 13 (paiements en faveur des zones soumises à des contraintes naturelles ou à d’autres contraintes spécifiques) et sur la mesure 10 (agroenvironnement-climat).</w:t>
      </w:r>
    </w:p>
    <w:p>
      <w:pPr>
        <w:spacing w:before="120" w:after="0" w:line="240" w:lineRule="auto"/>
        <w:jc w:val="both"/>
        <w:rPr>
          <w:rFonts w:ascii="Times New Roman" w:eastAsia="Times New Roman" w:hAnsi="Times New Roman" w:cs="Times New Roman"/>
          <w:noProof/>
          <w:sz w:val="24"/>
        </w:rPr>
      </w:pPr>
      <w:r>
        <w:rPr>
          <w:noProof/>
        </w:rPr>
        <w:br w:type="page"/>
      </w:r>
      <w:bookmarkStart w:id="70" w:name="OLE_LINK18"/>
      <w:r>
        <w:rPr>
          <w:rFonts w:ascii="Times New Roman" w:hAnsi="Times New Roman"/>
          <w:noProof/>
          <w:sz w:val="24"/>
        </w:rPr>
        <w:t xml:space="preserve">Tableau </w:t>
      </w:r>
      <w:bookmarkStart w:id="71" w:name="_Toc331167078"/>
      <w:bookmarkEnd w:id="70"/>
      <w:r>
        <w:rPr>
          <w:rFonts w:ascii="Times New Roman" w:hAnsi="Times New Roman"/>
          <w:noProof/>
          <w:sz w:val="24"/>
        </w:rPr>
        <w:t>11</w:t>
      </w:r>
    </w:p>
    <w:tbl>
      <w:tblPr>
        <w:tblW w:w="10932" w:type="dxa"/>
        <w:tblInd w:w="-933" w:type="dxa"/>
        <w:tblLook w:val="04A0" w:firstRow="1" w:lastRow="0" w:firstColumn="1" w:lastColumn="0" w:noHBand="0" w:noVBand="1"/>
      </w:tblPr>
      <w:tblGrid>
        <w:gridCol w:w="1290"/>
        <w:gridCol w:w="3667"/>
        <w:gridCol w:w="987"/>
        <w:gridCol w:w="992"/>
        <w:gridCol w:w="1134"/>
        <w:gridCol w:w="1027"/>
        <w:gridCol w:w="1099"/>
        <w:gridCol w:w="776"/>
      </w:tblGrid>
      <w:tr>
        <w:trPr>
          <w:trHeight w:val="255"/>
        </w:trPr>
        <w:tc>
          <w:tcPr>
            <w:tcW w:w="10932" w:type="dxa"/>
            <w:gridSpan w:val="8"/>
            <w:tcBorders>
              <w:top w:val="single" w:sz="8" w:space="0" w:color="auto"/>
              <w:left w:val="single" w:sz="8" w:space="0" w:color="auto"/>
              <w:bottom w:val="nil"/>
              <w:right w:val="single" w:sz="8" w:space="0" w:color="000000"/>
            </w:tcBorders>
            <w:shd w:val="clear" w:color="000000" w:fill="FFCC99"/>
            <w:noWrap/>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Dépenses du Feader déclarées pour 2019 (T4 2018-T3 2019) et total des dépenses cumulées (T4 2014-T3 2019*) </w:t>
            </w:r>
          </w:p>
        </w:tc>
      </w:tr>
      <w:tr>
        <w:trPr>
          <w:trHeight w:val="270"/>
        </w:trPr>
        <w:tc>
          <w:tcPr>
            <w:tcW w:w="10932" w:type="dxa"/>
            <w:gridSpan w:val="8"/>
            <w:tcBorders>
              <w:top w:val="nil"/>
              <w:left w:val="single" w:sz="8" w:space="0" w:color="auto"/>
              <w:bottom w:val="single" w:sz="8" w:space="0" w:color="auto"/>
              <w:right w:val="single" w:sz="8" w:space="0" w:color="000000"/>
            </w:tcBorders>
            <w:shd w:val="clear" w:color="000000" w:fill="FFCC99"/>
            <w:noWrap/>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par rapport aux plans de financement - </w:t>
            </w:r>
            <w:r>
              <w:rPr>
                <w:rFonts w:ascii="Times New Roman" w:hAnsi="Times New Roman"/>
                <w:b/>
                <w:bCs/>
                <w:noProof/>
                <w:sz w:val="18"/>
                <w:szCs w:val="18"/>
                <w:u w:val="single"/>
              </w:rPr>
              <w:t>Feader 2014-2020</w:t>
            </w:r>
          </w:p>
        </w:tc>
      </w:tr>
      <w:tr>
        <w:trPr>
          <w:trHeight w:val="420"/>
        </w:trPr>
        <w:tc>
          <w:tcPr>
            <w:tcW w:w="495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 xml:space="preserve"> </w:t>
            </w:r>
          </w:p>
        </w:tc>
        <w:tc>
          <w:tcPr>
            <w:tcW w:w="1979"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Dépenses déclarées pour 2019 (T4 2018-T3 2019)</w:t>
            </w:r>
          </w:p>
        </w:tc>
        <w:tc>
          <w:tcPr>
            <w:tcW w:w="2161"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Dépenses déclarées cumulées (T4 2014-T3 2019)</w:t>
            </w:r>
          </w:p>
        </w:tc>
        <w:tc>
          <w:tcPr>
            <w:tcW w:w="1835"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Plans de financement 2014-2020</w:t>
            </w:r>
          </w:p>
        </w:tc>
      </w:tr>
      <w:tr>
        <w:trPr>
          <w:trHeight w:val="270"/>
        </w:trPr>
        <w:tc>
          <w:tcPr>
            <w:tcW w:w="4957" w:type="dxa"/>
            <w:gridSpan w:val="2"/>
            <w:tcBorders>
              <w:top w:val="single" w:sz="8" w:space="0" w:color="auto"/>
              <w:left w:val="single" w:sz="8" w:space="0" w:color="auto"/>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Mesure relevant du Feader</w:t>
            </w:r>
          </w:p>
        </w:tc>
        <w:tc>
          <w:tcPr>
            <w:tcW w:w="987"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 xml:space="preserve"> (en millions d’EUR)</w:t>
            </w:r>
          </w:p>
        </w:tc>
        <w:tc>
          <w:tcPr>
            <w:tcW w:w="992"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w:t>
            </w:r>
          </w:p>
        </w:tc>
        <w:tc>
          <w:tcPr>
            <w:tcW w:w="1134"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 xml:space="preserve"> (en millions d’EUR)</w:t>
            </w:r>
          </w:p>
        </w:tc>
        <w:tc>
          <w:tcPr>
            <w:tcW w:w="1027"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w:t>
            </w:r>
          </w:p>
        </w:tc>
        <w:tc>
          <w:tcPr>
            <w:tcW w:w="1099"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 xml:space="preserve"> (en millions d’EUR)</w:t>
            </w:r>
          </w:p>
        </w:tc>
        <w:tc>
          <w:tcPr>
            <w:tcW w:w="736"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Mesure 01</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Transfert de connaissances et actions d'information</w:t>
            </w:r>
          </w:p>
        </w:tc>
        <w:tc>
          <w:tcPr>
            <w:tcW w:w="987" w:type="dxa"/>
            <w:tcBorders>
              <w:top w:val="single" w:sz="8" w:space="0" w:color="auto"/>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93,4</w:t>
            </w:r>
          </w:p>
        </w:tc>
        <w:tc>
          <w:tcPr>
            <w:tcW w:w="992" w:type="dxa"/>
            <w:tcBorders>
              <w:top w:val="single" w:sz="8" w:space="0" w:color="auto"/>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0,7 %</w:t>
            </w:r>
          </w:p>
        </w:tc>
        <w:tc>
          <w:tcPr>
            <w:tcW w:w="1134" w:type="dxa"/>
            <w:tcBorders>
              <w:top w:val="single" w:sz="8" w:space="0" w:color="auto"/>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250,5</w:t>
            </w:r>
          </w:p>
        </w:tc>
        <w:tc>
          <w:tcPr>
            <w:tcW w:w="1027" w:type="dxa"/>
            <w:tcBorders>
              <w:top w:val="single" w:sz="8" w:space="0" w:color="auto"/>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0,5 %</w:t>
            </w:r>
          </w:p>
        </w:tc>
        <w:tc>
          <w:tcPr>
            <w:tcW w:w="1099" w:type="dxa"/>
            <w:tcBorders>
              <w:top w:val="single" w:sz="8" w:space="0" w:color="auto"/>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973,6</w:t>
            </w:r>
          </w:p>
        </w:tc>
        <w:tc>
          <w:tcPr>
            <w:tcW w:w="736" w:type="dxa"/>
            <w:tcBorders>
              <w:top w:val="single" w:sz="8" w:space="0" w:color="auto"/>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1,0 %</w:t>
            </w:r>
          </w:p>
        </w:tc>
      </w:tr>
      <w:tr>
        <w:trPr>
          <w:trHeight w:val="450"/>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Mesure 02</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Services de conseil, services d'aide à la gestion agricole et services de remplacement sur l'exploitation</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39,7</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0,3 %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87,1</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0,2 %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606,1</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0,6 %</w:t>
            </w:r>
          </w:p>
        </w:tc>
      </w:tr>
      <w:tr>
        <w:trPr>
          <w:trHeight w:val="450"/>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Mesure 03</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Systèmes de qualité applicables aux produits agricoles et aux denrées alimentaires</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37,1</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0,3 %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98,7</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0,2 %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368,6</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0,4 %</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Mesure 04</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Investissements physiques</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2 801,0</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20,2 %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7 966,7</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16,9 %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22 860,8</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22,8 %</w:t>
            </w:r>
          </w:p>
        </w:tc>
      </w:tr>
      <w:tr>
        <w:trPr>
          <w:trHeight w:val="67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Mesure 05</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Reconstitution du potentiel de production agricole endommagé par des catastrophes naturelles et des événements catastrophiques et mise en place de mesures de prévention appropriées</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75,2</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0,5 %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235,8</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0,5 %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807,5</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0,8 %</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Mesure 06</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Développement des exploitations agricoles et des entreprises</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813,5</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5,9 %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2 838,8</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6,0 %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6 701,1</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6,7 %</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Mesure 07</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Services de base et rénovation des villages dans les zones rurales</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1 022,7</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7,4 %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2 403,2</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5,1 %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6 893,5</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6,9 %</w:t>
            </w:r>
          </w:p>
        </w:tc>
      </w:tr>
      <w:tr>
        <w:trPr>
          <w:trHeight w:val="450"/>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Mesure 08</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Investissements dans le développement des zones forestières et l'amélioration de la viabilité des forêts</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411,4</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3,0 %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1 436,0</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3,0 %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4 257,4</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4,3 %</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Mesure 09</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Mise en place de groupements et d’organisations de producteurs</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24,0</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0,2 %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73,4</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0,2 %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266,4</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0,3 %</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Mesure 10</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Agroenvironnement - climat</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2 483,1</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17,9 %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9 841,7</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20,9 %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16 443,4</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16,4 %</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Mesure 11</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Agriculture biologique</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1 321,1</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9,5 %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4 207,6</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8,9 %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7 451,3</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7,4 %</w:t>
            </w:r>
          </w:p>
        </w:tc>
      </w:tr>
      <w:tr>
        <w:trPr>
          <w:trHeight w:val="450"/>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Mesure 12</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Paiements au titre de Natura 2000 et de la directive-cadre sur l’eau</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92,6</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0,7 %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340,9</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0,7 %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606,6</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0,6 %</w:t>
            </w:r>
          </w:p>
        </w:tc>
      </w:tr>
      <w:tr>
        <w:trPr>
          <w:trHeight w:val="450"/>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Mesure 13</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xml:space="preserve">Paiements en faveur des zones soumises à des contraintes naturelles ou à d'autres contraintes spécifiques </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2 654,5</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19,2 %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11 916,0</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25,3 %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16 732,2</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16,7 %</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Mesure 14</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Bien-être des animaux</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309,8</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2,2 %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1 152,4</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2,4 %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1 809,1</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1,8 %</w:t>
            </w:r>
          </w:p>
        </w:tc>
      </w:tr>
      <w:tr>
        <w:trPr>
          <w:trHeight w:val="450"/>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Mesure 15</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Services forestiers, environnementaux et climatiques et conservation des forêts</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15,1</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0,1 %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46,6</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0,1 %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240,0</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0,2 %</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Mesure 16</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Coopération</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107,1</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0,8 %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246,1</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0,5 %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1 676,4</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1,7 %</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Mesure 17</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Gestion des risques</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358,6</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2,6 %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884,4</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1,9 %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1 613,0</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1,6 %</w:t>
            </w:r>
          </w:p>
        </w:tc>
      </w:tr>
      <w:tr>
        <w:trPr>
          <w:trHeight w:val="450"/>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Mesure 18</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Financement des paiements directs nationaux complémentaires pour la Croatie</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-0,1</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0,0 %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108,2</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0,2 %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111,9</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0,1 %</w:t>
            </w:r>
          </w:p>
        </w:tc>
      </w:tr>
      <w:tr>
        <w:trPr>
          <w:trHeight w:val="450"/>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Mesure 19</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Soutien au développement local dans le cadre de Leader — développement local mené par les acteurs locaux (DLAL)</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857,0</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6,2 %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1 851,4</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3,9 %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7 011,4</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7,0 %</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Mesure 20</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Assistance technique des États membres</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278,7</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2,0 %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794,3</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1,7 %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2 155,0</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2,2 %</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Mesure 113</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Retraite anticipée</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42,9</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0,3 %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402,2</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0,9 %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493,8</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0,5 %</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Mesure 131</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Respect des normes fondées sur la législation communautaire</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0,0</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0,0 %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0,0</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0,0 %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0,0</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0,0 %</w:t>
            </w:r>
          </w:p>
        </w:tc>
      </w:tr>
      <w:tr>
        <w:trPr>
          <w:trHeight w:val="270"/>
        </w:trPr>
        <w:tc>
          <w:tcPr>
            <w:tcW w:w="129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Mesure 341</w:t>
            </w:r>
          </w:p>
        </w:tc>
        <w:tc>
          <w:tcPr>
            <w:tcW w:w="3667" w:type="dxa"/>
            <w:tcBorders>
              <w:top w:val="nil"/>
              <w:left w:val="nil"/>
              <w:bottom w:val="single" w:sz="8" w:space="0" w:color="auto"/>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Acquisition de compétences, animation et mise en œuvre</w:t>
            </w:r>
          </w:p>
        </w:tc>
        <w:tc>
          <w:tcPr>
            <w:tcW w:w="987"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0,1</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0,0 %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0,5</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0,0 %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0,6</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0,0 %</w:t>
            </w:r>
          </w:p>
        </w:tc>
      </w:tr>
      <w:tr>
        <w:trPr>
          <w:trHeight w:val="270"/>
        </w:trPr>
        <w:tc>
          <w:tcPr>
            <w:tcW w:w="1290"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Total général</w:t>
            </w:r>
          </w:p>
        </w:tc>
        <w:tc>
          <w:tcPr>
            <w:tcW w:w="3667" w:type="dxa"/>
            <w:tcBorders>
              <w:top w:val="nil"/>
              <w:left w:val="nil"/>
              <w:bottom w:val="single" w:sz="8" w:space="0" w:color="auto"/>
              <w:right w:val="single" w:sz="8" w:space="0" w:color="auto"/>
            </w:tcBorders>
            <w:shd w:val="clear" w:color="000000" w:fill="FFFF99"/>
            <w:noWrap/>
            <w:vAlign w:val="center"/>
            <w:hideMark/>
          </w:tcPr>
          <w:p>
            <w:pPr>
              <w:spacing w:after="0" w:line="240" w:lineRule="auto"/>
              <w:rPr>
                <w:rFonts w:ascii="Arial" w:eastAsia="Times New Roman" w:hAnsi="Arial" w:cs="Arial"/>
                <w:noProof/>
                <w:sz w:val="20"/>
                <w:szCs w:val="20"/>
              </w:rPr>
            </w:pPr>
            <w:r>
              <w:rPr>
                <w:rFonts w:ascii="Arial" w:hAnsi="Arial"/>
                <w:noProof/>
                <w:sz w:val="20"/>
                <w:szCs w:val="20"/>
              </w:rPr>
              <w:t xml:space="preserve"> </w:t>
            </w:r>
          </w:p>
        </w:tc>
        <w:tc>
          <w:tcPr>
            <w:tcW w:w="987"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6"/>
                <w:szCs w:val="16"/>
              </w:rPr>
            </w:pPr>
            <w:r>
              <w:rPr>
                <w:rFonts w:ascii="Times New Roman" w:hAnsi="Times New Roman"/>
                <w:b/>
                <w:bCs/>
                <w:noProof/>
                <w:sz w:val="16"/>
                <w:szCs w:val="16"/>
              </w:rPr>
              <w:t>13 838,4</w:t>
            </w:r>
          </w:p>
        </w:tc>
        <w:tc>
          <w:tcPr>
            <w:tcW w:w="992"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6"/>
                <w:szCs w:val="16"/>
              </w:rPr>
            </w:pPr>
            <w:r>
              <w:rPr>
                <w:rFonts w:ascii="Times New Roman" w:hAnsi="Times New Roman"/>
                <w:b/>
                <w:bCs/>
                <w:noProof/>
                <w:sz w:val="16"/>
                <w:szCs w:val="16"/>
              </w:rPr>
              <w:t>100,0 %</w:t>
            </w:r>
          </w:p>
        </w:tc>
        <w:tc>
          <w:tcPr>
            <w:tcW w:w="1134"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6"/>
                <w:szCs w:val="16"/>
              </w:rPr>
            </w:pPr>
            <w:r>
              <w:rPr>
                <w:rFonts w:ascii="Times New Roman" w:hAnsi="Times New Roman"/>
                <w:b/>
                <w:bCs/>
                <w:noProof/>
                <w:sz w:val="16"/>
                <w:szCs w:val="16"/>
              </w:rPr>
              <w:t>47 182,5</w:t>
            </w:r>
          </w:p>
        </w:tc>
        <w:tc>
          <w:tcPr>
            <w:tcW w:w="1027"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6"/>
                <w:szCs w:val="16"/>
              </w:rPr>
            </w:pPr>
            <w:r>
              <w:rPr>
                <w:rFonts w:ascii="Times New Roman" w:hAnsi="Times New Roman"/>
                <w:b/>
                <w:bCs/>
                <w:noProof/>
                <w:sz w:val="16"/>
                <w:szCs w:val="16"/>
              </w:rPr>
              <w:t>100,0 %</w:t>
            </w:r>
          </w:p>
        </w:tc>
        <w:tc>
          <w:tcPr>
            <w:tcW w:w="1099"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6"/>
                <w:szCs w:val="16"/>
              </w:rPr>
            </w:pPr>
            <w:r>
              <w:rPr>
                <w:rFonts w:ascii="Times New Roman" w:hAnsi="Times New Roman"/>
                <w:b/>
                <w:bCs/>
                <w:noProof/>
                <w:sz w:val="16"/>
                <w:szCs w:val="16"/>
              </w:rPr>
              <w:t>100 079,5</w:t>
            </w:r>
          </w:p>
        </w:tc>
        <w:tc>
          <w:tcPr>
            <w:tcW w:w="736"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6"/>
                <w:szCs w:val="16"/>
              </w:rPr>
            </w:pPr>
            <w:r>
              <w:rPr>
                <w:rFonts w:ascii="Times New Roman" w:hAnsi="Times New Roman"/>
                <w:b/>
                <w:bCs/>
                <w:noProof/>
                <w:sz w:val="16"/>
                <w:szCs w:val="16"/>
              </w:rPr>
              <w:t>100,0 %</w:t>
            </w:r>
          </w:p>
        </w:tc>
      </w:tr>
    </w:tbl>
    <w:p>
      <w:pPr>
        <w:spacing w:before="120" w:after="0" w:line="240" w:lineRule="auto"/>
        <w:jc w:val="both"/>
        <w:rPr>
          <w:rFonts w:ascii="Times New Roman" w:eastAsia="Times New Roman" w:hAnsi="Times New Roman" w:cs="Times New Roman"/>
          <w:noProof/>
          <w:sz w:val="24"/>
          <w:lang w:eastAsia="en-GB"/>
        </w:rPr>
      </w:pPr>
    </w:p>
    <w:p>
      <w:pPr>
        <w:spacing w:before="120" w:after="120" w:line="240" w:lineRule="auto"/>
        <w:ind w:left="850"/>
        <w:jc w:val="both"/>
        <w:rPr>
          <w:rFonts w:ascii="Times New Roman" w:eastAsia="Times New Roman" w:hAnsi="Times New Roman" w:cs="Times New Roman"/>
          <w:noProof/>
          <w:sz w:val="20"/>
          <w:szCs w:val="20"/>
        </w:rPr>
      </w:pPr>
      <w:r>
        <w:rPr>
          <w:rFonts w:ascii="Times New Roman" w:hAnsi="Times New Roman"/>
          <w:noProof/>
          <w:sz w:val="20"/>
          <w:szCs w:val="20"/>
        </w:rPr>
        <w:t>Les États membres déclarent leurs dépenses chaque trimestre. Toutefois, pour l’année n, les déclarations du T4 sont déposées en janvier de l’année n+1. En conséquence, les remboursements correspondants versés par la Commission aux États membres au cours de l’année n portent sur la période comprise entre le T4 de l’année n-1 et le T3 de l’année n.</w:t>
      </w:r>
    </w:p>
    <w:p>
      <w:pPr>
        <w:spacing w:before="120" w:after="120" w:line="240" w:lineRule="auto"/>
        <w:ind w:left="850"/>
        <w:jc w:val="both"/>
        <w:rPr>
          <w:rFonts w:ascii="Times New Roman" w:eastAsia="Times New Roman" w:hAnsi="Times New Roman" w:cs="Times New Roman"/>
          <w:noProof/>
          <w:sz w:val="20"/>
          <w:szCs w:val="20"/>
        </w:rPr>
      </w:pPr>
      <w:r>
        <w:rPr>
          <w:noProof/>
        </w:rPr>
        <w:br w:type="page"/>
      </w:r>
    </w:p>
    <w:p>
      <w:pPr>
        <w:keepNext/>
        <w:tabs>
          <w:tab w:val="left" w:pos="850"/>
        </w:tabs>
        <w:spacing w:before="240" w:after="120" w:line="240" w:lineRule="auto"/>
        <w:ind w:left="850" w:hanging="850"/>
        <w:jc w:val="both"/>
        <w:outlineLvl w:val="1"/>
        <w:rPr>
          <w:rFonts w:ascii="Times New Roman" w:eastAsia="Times New Roman" w:hAnsi="Times New Roman" w:cs="Times New Roman"/>
          <w:b/>
          <w:noProof/>
          <w:sz w:val="24"/>
        </w:rPr>
      </w:pPr>
      <w:bookmarkStart w:id="72" w:name="_Toc393127486"/>
      <w:bookmarkStart w:id="73" w:name="_Toc48126104"/>
      <w:r>
        <w:rPr>
          <w:rFonts w:ascii="Times New Roman" w:hAnsi="Times New Roman"/>
          <w:b/>
          <w:noProof/>
          <w:sz w:val="24"/>
        </w:rPr>
        <w:t>3.4.</w:t>
      </w:r>
      <w:r>
        <w:rPr>
          <w:noProof/>
        </w:rPr>
        <w:tab/>
      </w:r>
      <w:r>
        <w:rPr>
          <w:rFonts w:ascii="Times New Roman" w:hAnsi="Times New Roman"/>
          <w:b/>
          <w:noProof/>
          <w:sz w:val="24"/>
        </w:rPr>
        <w:t>Exécution des programmes du Feader</w:t>
      </w:r>
      <w:bookmarkEnd w:id="72"/>
      <w:bookmarkEnd w:id="73"/>
    </w:p>
    <w:p>
      <w:pPr>
        <w:keepNext/>
        <w:tabs>
          <w:tab w:val="left" w:pos="850"/>
        </w:tabs>
        <w:spacing w:before="240" w:after="120" w:line="240" w:lineRule="auto"/>
        <w:ind w:left="850" w:hanging="850"/>
        <w:jc w:val="both"/>
        <w:outlineLvl w:val="2"/>
        <w:rPr>
          <w:rFonts w:ascii="Times New Roman" w:eastAsia="Times New Roman" w:hAnsi="Times New Roman" w:cs="Times New Roman"/>
          <w:i/>
          <w:noProof/>
          <w:sz w:val="24"/>
        </w:rPr>
      </w:pPr>
      <w:bookmarkStart w:id="74" w:name="_Toc48126105"/>
      <w:bookmarkEnd w:id="71"/>
      <w:r>
        <w:rPr>
          <w:rFonts w:ascii="Times New Roman" w:hAnsi="Times New Roman"/>
          <w:i/>
          <w:noProof/>
          <w:sz w:val="24"/>
        </w:rPr>
        <w:t>3.4.1.</w:t>
      </w:r>
      <w:r>
        <w:rPr>
          <w:noProof/>
        </w:rPr>
        <w:tab/>
      </w:r>
      <w:r>
        <w:rPr>
          <w:rFonts w:ascii="Times New Roman" w:hAnsi="Times New Roman"/>
          <w:i/>
          <w:noProof/>
          <w:sz w:val="24"/>
        </w:rPr>
        <w:t>Période de programmation 2007-2013</w:t>
      </w:r>
      <w:bookmarkEnd w:id="74"/>
    </w:p>
    <w:p>
      <w:pPr>
        <w:spacing w:before="120" w:after="120" w:line="240" w:lineRule="auto"/>
        <w:ind w:left="850"/>
        <w:jc w:val="both"/>
        <w:rPr>
          <w:rFonts w:ascii="Times New Roman" w:eastAsia="Times New Roman" w:hAnsi="Times New Roman" w:cs="Times New Roman"/>
          <w:noProof/>
          <w:sz w:val="24"/>
        </w:rPr>
      </w:pPr>
      <w:r>
        <w:rPr>
          <w:rFonts w:ascii="Times New Roman" w:hAnsi="Times New Roman"/>
          <w:noProof/>
          <w:sz w:val="24"/>
        </w:rPr>
        <w:t xml:space="preserve">Le graphique n° 2 présente le taux d’absorption final des programmes de développement rural 2007-2013, par État membre. La moyenne de l’UE a atteint 97 %. </w:t>
      </w:r>
    </w:p>
    <w:p>
      <w:pPr>
        <w:keepNext/>
        <w:tabs>
          <w:tab w:val="left" w:pos="850"/>
        </w:tabs>
        <w:spacing w:before="240" w:after="120" w:line="240" w:lineRule="auto"/>
        <w:ind w:left="850" w:hanging="850"/>
        <w:jc w:val="both"/>
        <w:outlineLvl w:val="2"/>
        <w:rPr>
          <w:rFonts w:ascii="Times New Roman" w:eastAsia="Times New Roman" w:hAnsi="Times New Roman" w:cs="Times New Roman"/>
          <w:i/>
          <w:noProof/>
          <w:sz w:val="24"/>
        </w:rPr>
      </w:pPr>
      <w:bookmarkStart w:id="75" w:name="_Toc48126106"/>
      <w:r>
        <w:rPr>
          <w:rFonts w:ascii="Times New Roman" w:hAnsi="Times New Roman"/>
          <w:i/>
          <w:noProof/>
          <w:sz w:val="24"/>
        </w:rPr>
        <w:t>3.4.2.</w:t>
      </w:r>
      <w:r>
        <w:rPr>
          <w:noProof/>
        </w:rPr>
        <w:tab/>
      </w:r>
      <w:r>
        <w:rPr>
          <w:rFonts w:ascii="Times New Roman" w:hAnsi="Times New Roman"/>
          <w:i/>
          <w:noProof/>
          <w:sz w:val="24"/>
        </w:rPr>
        <w:t>Période de programmation 2014-2020</w:t>
      </w:r>
      <w:bookmarkEnd w:id="75"/>
    </w:p>
    <w:p>
      <w:pPr>
        <w:spacing w:before="120" w:after="120" w:line="240" w:lineRule="auto"/>
        <w:ind w:left="840"/>
        <w:jc w:val="both"/>
        <w:rPr>
          <w:rFonts w:ascii="Times New Roman" w:eastAsia="Times New Roman" w:hAnsi="Times New Roman" w:cs="Times New Roman"/>
          <w:noProof/>
          <w:sz w:val="24"/>
        </w:rPr>
      </w:pPr>
      <w:r>
        <w:rPr>
          <w:rFonts w:ascii="Times New Roman" w:hAnsi="Times New Roman"/>
          <w:noProof/>
          <w:sz w:val="24"/>
        </w:rPr>
        <w:t>Le graphique n° 3 présente le taux d’absorption des programmes de développement rural 2014-2020, par État membre, c’est-à-dire les paiements effectués depuis le début de la période de programmation, y compris les paiements effectués pour le 4</w:t>
      </w:r>
      <w:r>
        <w:rPr>
          <w:rFonts w:ascii="Times New Roman" w:hAnsi="Times New Roman"/>
          <w:noProof/>
          <w:sz w:val="24"/>
          <w:vertAlign w:val="superscript"/>
        </w:rPr>
        <w:t>e</w:t>
      </w:r>
      <w:r>
        <w:rPr>
          <w:rFonts w:ascii="Times New Roman" w:hAnsi="Times New Roman"/>
          <w:noProof/>
          <w:sz w:val="24"/>
        </w:rPr>
        <w:t> trimestre de 2019 remboursés au cours de l’exercice 2020, par rapport à la dotation totale pour la période 2014-2020.</w:t>
      </w:r>
    </w:p>
    <w:p>
      <w:pPr>
        <w:spacing w:before="120" w:after="120" w:line="240" w:lineRule="auto"/>
        <w:ind w:left="850"/>
        <w:jc w:val="both"/>
        <w:rPr>
          <w:rFonts w:ascii="Times New Roman" w:eastAsia="Times New Roman" w:hAnsi="Times New Roman" w:cs="Times New Roman"/>
          <w:noProof/>
          <w:sz w:val="24"/>
        </w:rPr>
      </w:pPr>
      <w:r>
        <w:rPr>
          <w:rFonts w:ascii="Times New Roman" w:hAnsi="Times New Roman"/>
          <w:noProof/>
          <w:sz w:val="24"/>
        </w:rPr>
        <w:t>En 2019, le niveau de consommation a donné lieu, pour la première fois, à un dégagement d’un montant de 16,5 millions d’EUR.</w:t>
      </w:r>
    </w:p>
    <w:p>
      <w:pPr>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Globalement, la mise en œuvre des programmes de développement rural du Feader pour la période 2014-2020 a atteint en moyenne, fin 2019, un taux d’absorption de 56 %. Les programmes sont généralement bien engagés sur le plan de la mise en œuvre; la variation des moyennes par État membre apparaît dans le graphique 3 ci-dessous.</w:t>
      </w:r>
    </w:p>
    <w:p>
      <w:pPr>
        <w:spacing w:before="120" w:after="120" w:line="240" w:lineRule="auto"/>
        <w:ind w:left="850"/>
        <w:jc w:val="both"/>
        <w:rPr>
          <w:rFonts w:ascii="Times New Roman" w:eastAsia="Times New Roman" w:hAnsi="Times New Roman" w:cs="Times New Roman"/>
          <w:noProof/>
          <w:sz w:val="24"/>
          <w:lang w:eastAsia="en-GB"/>
        </w:rPr>
      </w:pPr>
    </w:p>
    <w:p>
      <w:pPr>
        <w:spacing w:before="120" w:after="120" w:line="240" w:lineRule="auto"/>
        <w:ind w:left="840"/>
        <w:jc w:val="both"/>
        <w:rPr>
          <w:rFonts w:ascii="Times New Roman" w:eastAsia="Times New Roman" w:hAnsi="Times New Roman" w:cs="Times New Roman"/>
          <w:noProof/>
          <w:sz w:val="24"/>
          <w:lang w:eastAsia="en-GB"/>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pPr>
    </w:p>
    <w:p>
      <w:pPr>
        <w:jc w:val="both"/>
        <w:rPr>
          <w:noProof/>
        </w:rPr>
      </w:pPr>
      <w:r>
        <w:rPr>
          <w:noProof/>
          <w:lang w:val="en-GB" w:eastAsia="en-GB"/>
        </w:rPr>
        <w:drawing>
          <wp:inline distT="0" distB="0" distL="0" distR="0">
            <wp:extent cx="8892540" cy="5179260"/>
            <wp:effectExtent l="0" t="0" r="381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2540" cy="5179260"/>
                    </a:xfrm>
                    <a:prstGeom prst="rect">
                      <a:avLst/>
                    </a:prstGeom>
                    <a:noFill/>
                    <a:ln>
                      <a:noFill/>
                    </a:ln>
                  </pic:spPr>
                </pic:pic>
              </a:graphicData>
            </a:graphic>
          </wp:inline>
        </w:drawing>
      </w:r>
      <w:r>
        <w:rPr>
          <w:noProof/>
          <w:lang w:val="en-US"/>
        </w:rPr>
        <w:t xml:space="preserve"> </w:t>
      </w:r>
      <w:r>
        <w:rPr>
          <w:noProof/>
          <w:lang w:val="en-GB" w:eastAsia="en-GB"/>
        </w:rPr>
        <w:drawing>
          <wp:inline distT="0" distB="0" distL="0" distR="0">
            <wp:extent cx="8892540" cy="5484310"/>
            <wp:effectExtent l="0" t="0" r="381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2540" cy="5484310"/>
                    </a:xfrm>
                    <a:prstGeom prst="rect">
                      <a:avLst/>
                    </a:prstGeom>
                    <a:noFill/>
                    <a:ln>
                      <a:noFill/>
                    </a:ln>
                  </pic:spPr>
                </pic:pic>
              </a:graphicData>
            </a:graphic>
          </wp:inline>
        </w:drawing>
      </w:r>
    </w:p>
    <w:sectPr>
      <w:headerReference w:type="even" r:id="rId25"/>
      <w:headerReference w:type="default" r:id="rId26"/>
      <w:footerReference w:type="even" r:id="rId27"/>
      <w:footerReference w:type="default" r:id="rId28"/>
      <w:headerReference w:type="first" r:id="rId29"/>
      <w:footerReference w:type="first" r:id="rId30"/>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068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45769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16</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0" w:firstLine="0"/>
      </w:pPr>
      <w:r>
        <w:rPr>
          <w:rStyle w:val="FootnoteReference"/>
        </w:rPr>
        <w:footnoteRef/>
      </w:r>
      <w:r>
        <w:t xml:space="preserve"> Règlement (UE) 2019/288 du Parlement européen et du Conseil du 13 février 2019 modifiant les règlements (UE) nº 1305/2013 et (UE) nº 1307/2013 en ce qui concerne certaines règles en matière de paiements directs et de soutien au développement rural pour les années 2019 et 2020</w:t>
      </w:r>
    </w:p>
  </w:footnote>
  <w:footnote w:id="2">
    <w:p>
      <w:pPr>
        <w:pStyle w:val="FootnoteText"/>
      </w:pPr>
      <w:r>
        <w:rPr>
          <w:rStyle w:val="FootnoteReference"/>
        </w:rPr>
        <w:footnoteRef/>
      </w:r>
      <w:r>
        <w:tab/>
        <w:t>Le préfinancement versé au cours de l’exercice financier 2019 ne porte que sur le préfinancement des montants supplémentaires transférés des paiements directs vers le développement rural.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4">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lvlOverride w:ilvl="0">
      <w:startOverride w:val="1"/>
    </w:lvlOverride>
  </w:num>
  <w:num w:numId="2">
    <w:abstractNumId w:val="20"/>
  </w:num>
  <w:num w:numId="3">
    <w:abstractNumId w:val="25"/>
  </w:num>
  <w:num w:numId="4">
    <w:abstractNumId w:val="7"/>
  </w:num>
  <w:num w:numId="5">
    <w:abstractNumId w:val="13"/>
  </w:num>
  <w:num w:numId="6">
    <w:abstractNumId w:val="3"/>
  </w:num>
  <w:num w:numId="7">
    <w:abstractNumId w:val="24"/>
  </w:num>
  <w:num w:numId="8">
    <w:abstractNumId w:val="1"/>
  </w:num>
  <w:num w:numId="9">
    <w:abstractNumId w:val="14"/>
  </w:num>
  <w:num w:numId="10">
    <w:abstractNumId w:val="18"/>
  </w:num>
  <w:num w:numId="11">
    <w:abstractNumId w:val="19"/>
  </w:num>
  <w:num w:numId="12">
    <w:abstractNumId w:val="6"/>
  </w:num>
  <w:num w:numId="13">
    <w:abstractNumId w:val="17"/>
  </w:num>
  <w:num w:numId="14">
    <w:abstractNumId w:val="28"/>
  </w:num>
  <w:num w:numId="15">
    <w:abstractNumId w:val="11"/>
  </w:num>
  <w:num w:numId="16">
    <w:abstractNumId w:val="4"/>
  </w:num>
  <w:num w:numId="17">
    <w:abstractNumId w:val="10"/>
  </w:num>
  <w:num w:numId="18">
    <w:abstractNumId w:val="23"/>
  </w:num>
  <w:num w:numId="19">
    <w:abstractNumId w:val="26"/>
  </w:num>
  <w:num w:numId="20">
    <w:abstractNumId w:val="8"/>
  </w:num>
  <w:num w:numId="21">
    <w:abstractNumId w:val="22"/>
  </w:num>
  <w:num w:numId="22">
    <w:abstractNumId w:val="21"/>
  </w:num>
  <w:num w:numId="23">
    <w:abstractNumId w:val="15"/>
  </w:num>
  <w:num w:numId="24">
    <w:abstractNumId w:val="16"/>
  </w:num>
  <w:num w:numId="25">
    <w:abstractNumId w:val="2"/>
  </w:num>
  <w:num w:numId="26">
    <w:abstractNumId w:val="9"/>
  </w:num>
  <w:num w:numId="27">
    <w:abstractNumId w:val="0"/>
  </w:num>
  <w:num w:numId="28">
    <w:abstractNumId w:val="5"/>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hideSpellingErrors/>
  <w:hideGrammaticalErrors/>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0D1797E-C78E-48A6-96C1-1B6408075E6B"/>
    <w:docVar w:name="LW_COVERPAGE_TYPE" w:val="1"/>
    <w:docVar w:name="LW_CROSSREFERENCE" w:val="&lt;UNUSED&gt;"/>
    <w:docVar w:name="LW_DocType" w:val="NORMAL"/>
    <w:docVar w:name="LW_EMISSION" w:val="20.8.2020"/>
    <w:docVar w:name="LW_EMISSION_ISODATE" w:val="2020-08-20"/>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3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REIZIÈME RAPPORT FINANCIER DE LA COMMISSION AU PARLEMENT EUROPÉEN ET AU CONSEIL SUR LE FONDS EUROPÉEN AGRICOLE POUR LE DÉVELOPPEMENT RURAL (FEADER)_x000d__x000d__x000d__x000b__x000d_EXERCICE 2019_x000d__x000d__x000d__x000d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Text1"/>
    <w:link w:val="Heading2Char"/>
    <w:uiPriority w:val="9"/>
    <w:qFormat/>
    <w:pPr>
      <w:keepNext/>
      <w:tabs>
        <w:tab w:val="num" w:pos="850"/>
      </w:tabs>
      <w:spacing w:before="120" w:after="120" w:line="240" w:lineRule="auto"/>
      <w:ind w:left="850" w:hanging="850"/>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qFormat/>
    <w:pPr>
      <w:keepNext/>
      <w:tabs>
        <w:tab w:val="num" w:pos="850"/>
      </w:tabs>
      <w:spacing w:before="120" w:after="120" w:line="240" w:lineRule="auto"/>
      <w:ind w:left="850" w:hanging="850"/>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Hyperlink">
    <w:name w:val="Hyperlink"/>
    <w:uiPriority w:val="99"/>
    <w:rPr>
      <w:color w:val="0000FF"/>
      <w:u w:val="single"/>
      <w:shd w:val="clear" w:color="auto" w:fill="auto"/>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styleId="ListNumber">
    <w:name w:val="List Number"/>
    <w:basedOn w:val="Normal"/>
    <w:pPr>
      <w:numPr>
        <w:numId w:val="25"/>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Text1"/>
    <w:pPr>
      <w:numPr>
        <w:numId w:val="16"/>
      </w:numPr>
      <w:spacing w:before="0" w:after="240"/>
    </w:pPr>
    <w:rPr>
      <w:szCs w:val="20"/>
      <w:lang w:eastAsia="en-US"/>
    </w:rPr>
  </w:style>
  <w:style w:type="paragraph" w:customStyle="1" w:styleId="ListDash1">
    <w:name w:val="List Dash 1"/>
    <w:basedOn w:val="Text1"/>
    <w:pPr>
      <w:numPr>
        <w:numId w:val="21"/>
      </w:numPr>
      <w:spacing w:before="0" w:after="240"/>
    </w:pPr>
    <w:rPr>
      <w:szCs w:val="20"/>
      <w:lang w:eastAsia="en-US"/>
    </w:rPr>
  </w:style>
  <w:style w:type="paragraph" w:customStyle="1" w:styleId="ListDash2">
    <w:name w:val="List Dash 2"/>
    <w:basedOn w:val="Text2"/>
    <w:pPr>
      <w:numPr>
        <w:numId w:val="22"/>
      </w:numPr>
      <w:spacing w:before="0" w:after="240"/>
    </w:pPr>
    <w:rPr>
      <w:szCs w:val="20"/>
      <w:lang w:eastAsia="en-US"/>
    </w:rPr>
  </w:style>
  <w:style w:type="paragraph" w:customStyle="1" w:styleId="ListNumberLevel2">
    <w:name w:val="List Number (Level 2)"/>
    <w:basedOn w:val="Normal"/>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25"/>
      </w:numPr>
      <w:spacing w:after="240" w:line="240" w:lineRule="auto"/>
      <w:jc w:val="both"/>
    </w:pPr>
    <w:rPr>
      <w:rFonts w:ascii="Times New Roman" w:eastAsia="Times New Roman" w:hAnsi="Times New Roman" w:cs="Times New Roman"/>
      <w:sz w:val="24"/>
      <w:szCs w:val="20"/>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table" w:styleId="TableGrid">
    <w:name w:val="Table Grid"/>
    <w:basedOn w:val="TableNormal"/>
    <w:pPr>
      <w:spacing w:after="24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rFonts w:cs="Times New Roman"/>
      <w:i/>
      <w:iCs/>
      <w:shd w:val="clear" w:color="auto" w:fill="auto"/>
    </w:rPr>
  </w:style>
  <w:style w:type="paragraph" w:styleId="ListNumber2">
    <w:name w:val="List Number 2"/>
    <w:basedOn w:val="Text2"/>
    <w:pPr>
      <w:numPr>
        <w:numId w:val="27"/>
      </w:numPr>
      <w:spacing w:before="0" w:after="240"/>
    </w:pPr>
    <w:rPr>
      <w:szCs w:val="20"/>
      <w:lang w:eastAsia="en-US"/>
    </w:rPr>
  </w:style>
  <w:style w:type="paragraph" w:styleId="ListNumber3">
    <w:name w:val="List Number 3"/>
    <w:basedOn w:val="Text3"/>
    <w:pPr>
      <w:numPr>
        <w:numId w:val="28"/>
      </w:numPr>
      <w:spacing w:before="0" w:after="240"/>
    </w:pPr>
    <w:rPr>
      <w:szCs w:val="20"/>
      <w:lang w:eastAsia="en-US"/>
    </w:rPr>
  </w:style>
  <w:style w:type="paragraph" w:styleId="ListNumber4">
    <w:name w:val="List Number 4"/>
    <w:basedOn w:val="Text4"/>
    <w:pPr>
      <w:numPr>
        <w:numId w:val="29"/>
      </w:numPr>
      <w:spacing w:before="0" w:after="240"/>
    </w:pPr>
    <w:rPr>
      <w:szCs w:val="20"/>
      <w:lang w:eastAsia="en-US"/>
    </w:rPr>
  </w:style>
  <w:style w:type="paragraph" w:customStyle="1" w:styleId="ListNumber1">
    <w:name w:val="List Number 1"/>
    <w:basedOn w:val="Text1"/>
    <w:pPr>
      <w:numPr>
        <w:numId w:val="26"/>
      </w:numPr>
      <w:spacing w:before="0" w:after="240"/>
    </w:pPr>
    <w:rPr>
      <w:szCs w:val="20"/>
      <w:lang w:eastAsia="en-US"/>
    </w:rPr>
  </w:style>
  <w:style w:type="paragraph" w:customStyle="1" w:styleId="ListNumber1Level2">
    <w:name w:val="List Number 1 (Level 2)"/>
    <w:basedOn w:val="Text1"/>
    <w:pPr>
      <w:numPr>
        <w:ilvl w:val="1"/>
        <w:numId w:val="26"/>
      </w:numPr>
      <w:spacing w:before="0" w:after="240"/>
    </w:pPr>
    <w:rPr>
      <w:szCs w:val="20"/>
      <w:lang w:eastAsia="en-US"/>
    </w:rPr>
  </w:style>
  <w:style w:type="paragraph" w:customStyle="1" w:styleId="ListNumber2Level2">
    <w:name w:val="List Number 2 (Level 2)"/>
    <w:basedOn w:val="Text2"/>
    <w:pPr>
      <w:numPr>
        <w:ilvl w:val="1"/>
        <w:numId w:val="27"/>
      </w:numPr>
      <w:spacing w:before="0" w:after="240"/>
    </w:pPr>
    <w:rPr>
      <w:szCs w:val="20"/>
      <w:lang w:eastAsia="en-US"/>
    </w:rPr>
  </w:style>
  <w:style w:type="paragraph" w:customStyle="1" w:styleId="ListNumber3Level2">
    <w:name w:val="List Number 3 (Level 2)"/>
    <w:basedOn w:val="Text3"/>
    <w:pPr>
      <w:numPr>
        <w:ilvl w:val="1"/>
        <w:numId w:val="28"/>
      </w:numPr>
      <w:spacing w:before="0" w:after="240"/>
    </w:pPr>
    <w:rPr>
      <w:szCs w:val="20"/>
      <w:lang w:eastAsia="en-US"/>
    </w:rPr>
  </w:style>
  <w:style w:type="paragraph" w:customStyle="1" w:styleId="ListNumber4Level2">
    <w:name w:val="List Number 4 (Level 2)"/>
    <w:basedOn w:val="Text4"/>
    <w:pPr>
      <w:numPr>
        <w:ilvl w:val="1"/>
        <w:numId w:val="29"/>
      </w:numPr>
      <w:spacing w:before="0" w:after="240"/>
    </w:pPr>
    <w:rPr>
      <w:szCs w:val="20"/>
      <w:lang w:eastAsia="en-US"/>
    </w:rPr>
  </w:style>
  <w:style w:type="paragraph" w:customStyle="1" w:styleId="ListNumber1Level3">
    <w:name w:val="List Number 1 (Level 3)"/>
    <w:basedOn w:val="Text1"/>
    <w:pPr>
      <w:numPr>
        <w:ilvl w:val="2"/>
        <w:numId w:val="26"/>
      </w:numPr>
      <w:spacing w:before="0" w:after="240"/>
    </w:pPr>
    <w:rPr>
      <w:szCs w:val="20"/>
      <w:lang w:eastAsia="en-US"/>
    </w:rPr>
  </w:style>
  <w:style w:type="paragraph" w:customStyle="1" w:styleId="ListNumber2Level3">
    <w:name w:val="List Number 2 (Level 3)"/>
    <w:basedOn w:val="Text2"/>
    <w:pPr>
      <w:numPr>
        <w:ilvl w:val="2"/>
        <w:numId w:val="27"/>
      </w:numPr>
      <w:spacing w:before="0" w:after="240"/>
    </w:pPr>
    <w:rPr>
      <w:szCs w:val="20"/>
      <w:lang w:eastAsia="en-US"/>
    </w:rPr>
  </w:style>
  <w:style w:type="paragraph" w:customStyle="1" w:styleId="ListNumber3Level3">
    <w:name w:val="List Number 3 (Level 3)"/>
    <w:basedOn w:val="Text3"/>
    <w:pPr>
      <w:numPr>
        <w:ilvl w:val="2"/>
        <w:numId w:val="28"/>
      </w:numPr>
      <w:spacing w:before="0" w:after="240"/>
    </w:pPr>
    <w:rPr>
      <w:szCs w:val="20"/>
      <w:lang w:eastAsia="en-US"/>
    </w:rPr>
  </w:style>
  <w:style w:type="paragraph" w:customStyle="1" w:styleId="ListNumber4Level3">
    <w:name w:val="List Number 4 (Level 3)"/>
    <w:basedOn w:val="Text4"/>
    <w:pPr>
      <w:numPr>
        <w:ilvl w:val="2"/>
        <w:numId w:val="29"/>
      </w:numPr>
      <w:spacing w:before="0" w:after="240"/>
    </w:pPr>
    <w:rPr>
      <w:szCs w:val="20"/>
      <w:lang w:eastAsia="en-US"/>
    </w:rPr>
  </w:style>
  <w:style w:type="paragraph" w:customStyle="1" w:styleId="ListNumber1Level4">
    <w:name w:val="List Number 1 (Level 4)"/>
    <w:basedOn w:val="Text1"/>
    <w:pPr>
      <w:numPr>
        <w:ilvl w:val="3"/>
        <w:numId w:val="26"/>
      </w:numPr>
      <w:spacing w:before="0" w:after="240"/>
    </w:pPr>
    <w:rPr>
      <w:szCs w:val="20"/>
      <w:lang w:eastAsia="en-US"/>
    </w:rPr>
  </w:style>
  <w:style w:type="paragraph" w:customStyle="1" w:styleId="ListNumber2Level4">
    <w:name w:val="List Number 2 (Level 4)"/>
    <w:basedOn w:val="Text2"/>
    <w:pPr>
      <w:numPr>
        <w:ilvl w:val="3"/>
        <w:numId w:val="27"/>
      </w:numPr>
      <w:spacing w:before="0" w:after="240"/>
    </w:pPr>
    <w:rPr>
      <w:szCs w:val="20"/>
      <w:lang w:eastAsia="en-US"/>
    </w:rPr>
  </w:style>
  <w:style w:type="paragraph" w:customStyle="1" w:styleId="ListNumber3Level4">
    <w:name w:val="List Number 3 (Level 4)"/>
    <w:basedOn w:val="Text3"/>
    <w:pPr>
      <w:numPr>
        <w:ilvl w:val="3"/>
        <w:numId w:val="28"/>
      </w:numPr>
      <w:spacing w:before="0" w:after="240"/>
    </w:pPr>
    <w:rPr>
      <w:szCs w:val="20"/>
      <w:lang w:eastAsia="en-US"/>
    </w:rPr>
  </w:style>
  <w:style w:type="paragraph" w:customStyle="1" w:styleId="ListNumber4Level4">
    <w:name w:val="List Number 4 (Level 4)"/>
    <w:basedOn w:val="Text4"/>
    <w:pPr>
      <w:numPr>
        <w:ilvl w:val="3"/>
        <w:numId w:val="29"/>
      </w:numPr>
      <w:spacing w:before="0" w:after="240"/>
    </w:pPr>
    <w:rPr>
      <w:szCs w:val="20"/>
      <w:lang w:eastAsia="en-US"/>
    </w:rPr>
  </w:style>
  <w:style w:type="paragraph" w:styleId="ListBullet">
    <w:name w:val="List Bullet"/>
    <w:basedOn w:val="Normal"/>
    <w:pPr>
      <w:numPr>
        <w:numId w:val="15"/>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17"/>
      </w:numPr>
      <w:spacing w:before="0" w:after="240"/>
    </w:pPr>
    <w:rPr>
      <w:szCs w:val="20"/>
      <w:lang w:eastAsia="en-US"/>
    </w:rPr>
  </w:style>
  <w:style w:type="paragraph" w:styleId="ListBullet3">
    <w:name w:val="List Bullet 3"/>
    <w:basedOn w:val="Text3"/>
    <w:pPr>
      <w:numPr>
        <w:numId w:val="18"/>
      </w:numPr>
      <w:spacing w:before="0" w:after="240"/>
    </w:pPr>
    <w:rPr>
      <w:szCs w:val="20"/>
      <w:lang w:eastAsia="en-US"/>
    </w:rPr>
  </w:style>
  <w:style w:type="paragraph" w:styleId="ListBullet4">
    <w:name w:val="List Bullet 4"/>
    <w:basedOn w:val="Text4"/>
    <w:pPr>
      <w:numPr>
        <w:numId w:val="19"/>
      </w:numPr>
      <w:spacing w:before="0" w:after="240"/>
    </w:pPr>
    <w:rPr>
      <w:szCs w:val="20"/>
      <w:lang w:eastAsia="en-US"/>
    </w:rPr>
  </w:style>
  <w:style w:type="paragraph" w:customStyle="1" w:styleId="ListDash">
    <w:name w:val="List Dash"/>
    <w:basedOn w:val="Normal"/>
    <w:pPr>
      <w:numPr>
        <w:numId w:val="2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Text3"/>
    <w:pPr>
      <w:numPr>
        <w:numId w:val="23"/>
      </w:numPr>
      <w:spacing w:before="0" w:after="240"/>
    </w:pPr>
    <w:rPr>
      <w:szCs w:val="20"/>
      <w:lang w:eastAsia="en-US"/>
    </w:rPr>
  </w:style>
  <w:style w:type="paragraph" w:customStyle="1" w:styleId="ListDash4">
    <w:name w:val="List Dash 4"/>
    <w:basedOn w:val="Text4"/>
    <w:pPr>
      <w:numPr>
        <w:numId w:val="24"/>
      </w:numPr>
      <w:spacing w:before="0" w:after="240"/>
    </w:pPr>
    <w:rPr>
      <w:szCs w:val="20"/>
      <w:lang w:eastAsia="en-US"/>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s="Times New Roman"/>
      <w:caps/>
      <w:sz w:val="24"/>
      <w:lang w:eastAsia="de-DE"/>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cs="Times New Roman"/>
      <w:sz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lang w:eastAsia="de-DE"/>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cs="Times New Roman"/>
      <w:sz w:val="24"/>
      <w:lang w:eastAsia="de-DE"/>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cs="Times New Roman"/>
      <w:sz w:val="24"/>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cs="Times New Roman"/>
      <w:sz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cs="Times New Roman"/>
      <w:b/>
      <w:sz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cs="Times New Roman"/>
      <w:sz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cs="Times New Roman"/>
      <w:b/>
      <w:sz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cs="Times New Roman"/>
      <w:b/>
      <w:sz w:val="24"/>
      <w:lang w:eastAsia="de-DE"/>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Pr>
      <w:rFonts w:ascii="Courier New" w:eastAsia="Times New Roman" w:hAnsi="Courier New" w:cs="Courier New"/>
      <w:sz w:val="20"/>
      <w:szCs w:val="20"/>
      <w:lang w:eastAsia="en-GB"/>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lang w:eastAsia="en-GB"/>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eastAsia="en-GB"/>
    </w:rPr>
  </w:style>
  <w:style w:type="character" w:customStyle="1" w:styleId="shorttext">
    <w:name w:val="short_text"/>
    <w:rPr>
      <w:shd w:val="clear" w:color="auto" w:fill="auto"/>
    </w:rPr>
  </w:style>
  <w:style w:type="character" w:customStyle="1" w:styleId="hps">
    <w:name w:val="hps"/>
    <w:rPr>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lang w:eastAsia="en-GB"/>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character" w:styleId="CommentReference">
    <w:name w:val="annotation reference"/>
    <w:semiHidden/>
    <w:rPr>
      <w:sz w:val="16"/>
      <w:szCs w:val="16"/>
      <w:shd w:val="clear" w:color="auto" w:fill="auto"/>
    </w:rPr>
  </w:style>
  <w:style w:type="paragraph" w:styleId="FootnoteText">
    <w:name w:val="footnote text"/>
    <w:basedOn w:val="Normal"/>
    <w:link w:val="FootnoteTextChar"/>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2"/>
      </w:numPr>
    </w:pPr>
  </w:style>
  <w:style w:type="paragraph" w:customStyle="1" w:styleId="Tiret1">
    <w:name w:val="Tiret 1"/>
    <w:basedOn w:val="Point1"/>
    <w:pPr>
      <w:numPr>
        <w:numId w:val="1"/>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styleId="Revision">
    <w:name w:val="Revision"/>
    <w:hidden/>
    <w:uiPriority w:val="99"/>
    <w:semiHidden/>
    <w:pPr>
      <w:spacing w:after="0" w:line="240" w:lineRule="auto"/>
    </w:pPr>
    <w:rPr>
      <w:rFonts w:ascii="Calibri" w:eastAsia="Calibri" w:hAnsi="Calibri" w:cs="Times New Roman"/>
    </w:rPr>
  </w:style>
  <w:style w:type="character" w:customStyle="1" w:styleId="Text1Char">
    <w:name w:val="Text 1 Char"/>
    <w:link w:val="Text1"/>
    <w:locked/>
    <w:rPr>
      <w:rFonts w:ascii="Times New Roman" w:eastAsia="Times New Roman" w:hAnsi="Times New Roman" w:cs="Times New Roman"/>
      <w:sz w:val="24"/>
      <w:lang w:eastAsia="en-GB"/>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eastAsia="en-GB"/>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Strong">
    <w:name w:val="Strong"/>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character" w:customStyle="1" w:styleId="PagedecouvertureChar">
    <w:name w:val="Page de couverture Char"/>
    <w:basedOn w:val="DefaultParagraphFont"/>
    <w:link w:val="Pagedecouverture"/>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Text1"/>
    <w:link w:val="Heading2Char"/>
    <w:uiPriority w:val="9"/>
    <w:qFormat/>
    <w:pPr>
      <w:keepNext/>
      <w:tabs>
        <w:tab w:val="num" w:pos="850"/>
      </w:tabs>
      <w:spacing w:before="120" w:after="120" w:line="240" w:lineRule="auto"/>
      <w:ind w:left="850" w:hanging="850"/>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qFormat/>
    <w:pPr>
      <w:keepNext/>
      <w:tabs>
        <w:tab w:val="num" w:pos="850"/>
      </w:tabs>
      <w:spacing w:before="120" w:after="120" w:line="240" w:lineRule="auto"/>
      <w:ind w:left="850" w:hanging="850"/>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Hyperlink">
    <w:name w:val="Hyperlink"/>
    <w:uiPriority w:val="99"/>
    <w:rPr>
      <w:color w:val="0000FF"/>
      <w:u w:val="single"/>
      <w:shd w:val="clear" w:color="auto" w:fill="auto"/>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styleId="ListNumber">
    <w:name w:val="List Number"/>
    <w:basedOn w:val="Normal"/>
    <w:pPr>
      <w:numPr>
        <w:numId w:val="25"/>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Text1"/>
    <w:pPr>
      <w:numPr>
        <w:numId w:val="16"/>
      </w:numPr>
      <w:spacing w:before="0" w:after="240"/>
    </w:pPr>
    <w:rPr>
      <w:szCs w:val="20"/>
      <w:lang w:eastAsia="en-US"/>
    </w:rPr>
  </w:style>
  <w:style w:type="paragraph" w:customStyle="1" w:styleId="ListDash1">
    <w:name w:val="List Dash 1"/>
    <w:basedOn w:val="Text1"/>
    <w:pPr>
      <w:numPr>
        <w:numId w:val="21"/>
      </w:numPr>
      <w:spacing w:before="0" w:after="240"/>
    </w:pPr>
    <w:rPr>
      <w:szCs w:val="20"/>
      <w:lang w:eastAsia="en-US"/>
    </w:rPr>
  </w:style>
  <w:style w:type="paragraph" w:customStyle="1" w:styleId="ListDash2">
    <w:name w:val="List Dash 2"/>
    <w:basedOn w:val="Text2"/>
    <w:pPr>
      <w:numPr>
        <w:numId w:val="22"/>
      </w:numPr>
      <w:spacing w:before="0" w:after="240"/>
    </w:pPr>
    <w:rPr>
      <w:szCs w:val="20"/>
      <w:lang w:eastAsia="en-US"/>
    </w:rPr>
  </w:style>
  <w:style w:type="paragraph" w:customStyle="1" w:styleId="ListNumberLevel2">
    <w:name w:val="List Number (Level 2)"/>
    <w:basedOn w:val="Normal"/>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25"/>
      </w:numPr>
      <w:spacing w:after="240" w:line="240" w:lineRule="auto"/>
      <w:jc w:val="both"/>
    </w:pPr>
    <w:rPr>
      <w:rFonts w:ascii="Times New Roman" w:eastAsia="Times New Roman" w:hAnsi="Times New Roman" w:cs="Times New Roman"/>
      <w:sz w:val="24"/>
      <w:szCs w:val="20"/>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table" w:styleId="TableGrid">
    <w:name w:val="Table Grid"/>
    <w:basedOn w:val="TableNormal"/>
    <w:pPr>
      <w:spacing w:after="24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rFonts w:cs="Times New Roman"/>
      <w:i/>
      <w:iCs/>
      <w:shd w:val="clear" w:color="auto" w:fill="auto"/>
    </w:rPr>
  </w:style>
  <w:style w:type="paragraph" w:styleId="ListNumber2">
    <w:name w:val="List Number 2"/>
    <w:basedOn w:val="Text2"/>
    <w:pPr>
      <w:numPr>
        <w:numId w:val="27"/>
      </w:numPr>
      <w:spacing w:before="0" w:after="240"/>
    </w:pPr>
    <w:rPr>
      <w:szCs w:val="20"/>
      <w:lang w:eastAsia="en-US"/>
    </w:rPr>
  </w:style>
  <w:style w:type="paragraph" w:styleId="ListNumber3">
    <w:name w:val="List Number 3"/>
    <w:basedOn w:val="Text3"/>
    <w:pPr>
      <w:numPr>
        <w:numId w:val="28"/>
      </w:numPr>
      <w:spacing w:before="0" w:after="240"/>
    </w:pPr>
    <w:rPr>
      <w:szCs w:val="20"/>
      <w:lang w:eastAsia="en-US"/>
    </w:rPr>
  </w:style>
  <w:style w:type="paragraph" w:styleId="ListNumber4">
    <w:name w:val="List Number 4"/>
    <w:basedOn w:val="Text4"/>
    <w:pPr>
      <w:numPr>
        <w:numId w:val="29"/>
      </w:numPr>
      <w:spacing w:before="0" w:after="240"/>
    </w:pPr>
    <w:rPr>
      <w:szCs w:val="20"/>
      <w:lang w:eastAsia="en-US"/>
    </w:rPr>
  </w:style>
  <w:style w:type="paragraph" w:customStyle="1" w:styleId="ListNumber1">
    <w:name w:val="List Number 1"/>
    <w:basedOn w:val="Text1"/>
    <w:pPr>
      <w:numPr>
        <w:numId w:val="26"/>
      </w:numPr>
      <w:spacing w:before="0" w:after="240"/>
    </w:pPr>
    <w:rPr>
      <w:szCs w:val="20"/>
      <w:lang w:eastAsia="en-US"/>
    </w:rPr>
  </w:style>
  <w:style w:type="paragraph" w:customStyle="1" w:styleId="ListNumber1Level2">
    <w:name w:val="List Number 1 (Level 2)"/>
    <w:basedOn w:val="Text1"/>
    <w:pPr>
      <w:numPr>
        <w:ilvl w:val="1"/>
        <w:numId w:val="26"/>
      </w:numPr>
      <w:spacing w:before="0" w:after="240"/>
    </w:pPr>
    <w:rPr>
      <w:szCs w:val="20"/>
      <w:lang w:eastAsia="en-US"/>
    </w:rPr>
  </w:style>
  <w:style w:type="paragraph" w:customStyle="1" w:styleId="ListNumber2Level2">
    <w:name w:val="List Number 2 (Level 2)"/>
    <w:basedOn w:val="Text2"/>
    <w:pPr>
      <w:numPr>
        <w:ilvl w:val="1"/>
        <w:numId w:val="27"/>
      </w:numPr>
      <w:spacing w:before="0" w:after="240"/>
    </w:pPr>
    <w:rPr>
      <w:szCs w:val="20"/>
      <w:lang w:eastAsia="en-US"/>
    </w:rPr>
  </w:style>
  <w:style w:type="paragraph" w:customStyle="1" w:styleId="ListNumber3Level2">
    <w:name w:val="List Number 3 (Level 2)"/>
    <w:basedOn w:val="Text3"/>
    <w:pPr>
      <w:numPr>
        <w:ilvl w:val="1"/>
        <w:numId w:val="28"/>
      </w:numPr>
      <w:spacing w:before="0" w:after="240"/>
    </w:pPr>
    <w:rPr>
      <w:szCs w:val="20"/>
      <w:lang w:eastAsia="en-US"/>
    </w:rPr>
  </w:style>
  <w:style w:type="paragraph" w:customStyle="1" w:styleId="ListNumber4Level2">
    <w:name w:val="List Number 4 (Level 2)"/>
    <w:basedOn w:val="Text4"/>
    <w:pPr>
      <w:numPr>
        <w:ilvl w:val="1"/>
        <w:numId w:val="29"/>
      </w:numPr>
      <w:spacing w:before="0" w:after="240"/>
    </w:pPr>
    <w:rPr>
      <w:szCs w:val="20"/>
      <w:lang w:eastAsia="en-US"/>
    </w:rPr>
  </w:style>
  <w:style w:type="paragraph" w:customStyle="1" w:styleId="ListNumber1Level3">
    <w:name w:val="List Number 1 (Level 3)"/>
    <w:basedOn w:val="Text1"/>
    <w:pPr>
      <w:numPr>
        <w:ilvl w:val="2"/>
        <w:numId w:val="26"/>
      </w:numPr>
      <w:spacing w:before="0" w:after="240"/>
    </w:pPr>
    <w:rPr>
      <w:szCs w:val="20"/>
      <w:lang w:eastAsia="en-US"/>
    </w:rPr>
  </w:style>
  <w:style w:type="paragraph" w:customStyle="1" w:styleId="ListNumber2Level3">
    <w:name w:val="List Number 2 (Level 3)"/>
    <w:basedOn w:val="Text2"/>
    <w:pPr>
      <w:numPr>
        <w:ilvl w:val="2"/>
        <w:numId w:val="27"/>
      </w:numPr>
      <w:spacing w:before="0" w:after="240"/>
    </w:pPr>
    <w:rPr>
      <w:szCs w:val="20"/>
      <w:lang w:eastAsia="en-US"/>
    </w:rPr>
  </w:style>
  <w:style w:type="paragraph" w:customStyle="1" w:styleId="ListNumber3Level3">
    <w:name w:val="List Number 3 (Level 3)"/>
    <w:basedOn w:val="Text3"/>
    <w:pPr>
      <w:numPr>
        <w:ilvl w:val="2"/>
        <w:numId w:val="28"/>
      </w:numPr>
      <w:spacing w:before="0" w:after="240"/>
    </w:pPr>
    <w:rPr>
      <w:szCs w:val="20"/>
      <w:lang w:eastAsia="en-US"/>
    </w:rPr>
  </w:style>
  <w:style w:type="paragraph" w:customStyle="1" w:styleId="ListNumber4Level3">
    <w:name w:val="List Number 4 (Level 3)"/>
    <w:basedOn w:val="Text4"/>
    <w:pPr>
      <w:numPr>
        <w:ilvl w:val="2"/>
        <w:numId w:val="29"/>
      </w:numPr>
      <w:spacing w:before="0" w:after="240"/>
    </w:pPr>
    <w:rPr>
      <w:szCs w:val="20"/>
      <w:lang w:eastAsia="en-US"/>
    </w:rPr>
  </w:style>
  <w:style w:type="paragraph" w:customStyle="1" w:styleId="ListNumber1Level4">
    <w:name w:val="List Number 1 (Level 4)"/>
    <w:basedOn w:val="Text1"/>
    <w:pPr>
      <w:numPr>
        <w:ilvl w:val="3"/>
        <w:numId w:val="26"/>
      </w:numPr>
      <w:spacing w:before="0" w:after="240"/>
    </w:pPr>
    <w:rPr>
      <w:szCs w:val="20"/>
      <w:lang w:eastAsia="en-US"/>
    </w:rPr>
  </w:style>
  <w:style w:type="paragraph" w:customStyle="1" w:styleId="ListNumber2Level4">
    <w:name w:val="List Number 2 (Level 4)"/>
    <w:basedOn w:val="Text2"/>
    <w:pPr>
      <w:numPr>
        <w:ilvl w:val="3"/>
        <w:numId w:val="27"/>
      </w:numPr>
      <w:spacing w:before="0" w:after="240"/>
    </w:pPr>
    <w:rPr>
      <w:szCs w:val="20"/>
      <w:lang w:eastAsia="en-US"/>
    </w:rPr>
  </w:style>
  <w:style w:type="paragraph" w:customStyle="1" w:styleId="ListNumber3Level4">
    <w:name w:val="List Number 3 (Level 4)"/>
    <w:basedOn w:val="Text3"/>
    <w:pPr>
      <w:numPr>
        <w:ilvl w:val="3"/>
        <w:numId w:val="28"/>
      </w:numPr>
      <w:spacing w:before="0" w:after="240"/>
    </w:pPr>
    <w:rPr>
      <w:szCs w:val="20"/>
      <w:lang w:eastAsia="en-US"/>
    </w:rPr>
  </w:style>
  <w:style w:type="paragraph" w:customStyle="1" w:styleId="ListNumber4Level4">
    <w:name w:val="List Number 4 (Level 4)"/>
    <w:basedOn w:val="Text4"/>
    <w:pPr>
      <w:numPr>
        <w:ilvl w:val="3"/>
        <w:numId w:val="29"/>
      </w:numPr>
      <w:spacing w:before="0" w:after="240"/>
    </w:pPr>
    <w:rPr>
      <w:szCs w:val="20"/>
      <w:lang w:eastAsia="en-US"/>
    </w:rPr>
  </w:style>
  <w:style w:type="paragraph" w:styleId="ListBullet">
    <w:name w:val="List Bullet"/>
    <w:basedOn w:val="Normal"/>
    <w:pPr>
      <w:numPr>
        <w:numId w:val="15"/>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17"/>
      </w:numPr>
      <w:spacing w:before="0" w:after="240"/>
    </w:pPr>
    <w:rPr>
      <w:szCs w:val="20"/>
      <w:lang w:eastAsia="en-US"/>
    </w:rPr>
  </w:style>
  <w:style w:type="paragraph" w:styleId="ListBullet3">
    <w:name w:val="List Bullet 3"/>
    <w:basedOn w:val="Text3"/>
    <w:pPr>
      <w:numPr>
        <w:numId w:val="18"/>
      </w:numPr>
      <w:spacing w:before="0" w:after="240"/>
    </w:pPr>
    <w:rPr>
      <w:szCs w:val="20"/>
      <w:lang w:eastAsia="en-US"/>
    </w:rPr>
  </w:style>
  <w:style w:type="paragraph" w:styleId="ListBullet4">
    <w:name w:val="List Bullet 4"/>
    <w:basedOn w:val="Text4"/>
    <w:pPr>
      <w:numPr>
        <w:numId w:val="19"/>
      </w:numPr>
      <w:spacing w:before="0" w:after="240"/>
    </w:pPr>
    <w:rPr>
      <w:szCs w:val="20"/>
      <w:lang w:eastAsia="en-US"/>
    </w:rPr>
  </w:style>
  <w:style w:type="paragraph" w:customStyle="1" w:styleId="ListDash">
    <w:name w:val="List Dash"/>
    <w:basedOn w:val="Normal"/>
    <w:pPr>
      <w:numPr>
        <w:numId w:val="2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Text3"/>
    <w:pPr>
      <w:numPr>
        <w:numId w:val="23"/>
      </w:numPr>
      <w:spacing w:before="0" w:after="240"/>
    </w:pPr>
    <w:rPr>
      <w:szCs w:val="20"/>
      <w:lang w:eastAsia="en-US"/>
    </w:rPr>
  </w:style>
  <w:style w:type="paragraph" w:customStyle="1" w:styleId="ListDash4">
    <w:name w:val="List Dash 4"/>
    <w:basedOn w:val="Text4"/>
    <w:pPr>
      <w:numPr>
        <w:numId w:val="24"/>
      </w:numPr>
      <w:spacing w:before="0" w:after="240"/>
    </w:pPr>
    <w:rPr>
      <w:szCs w:val="20"/>
      <w:lang w:eastAsia="en-US"/>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s="Times New Roman"/>
      <w:caps/>
      <w:sz w:val="24"/>
      <w:lang w:eastAsia="de-DE"/>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cs="Times New Roman"/>
      <w:sz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lang w:eastAsia="de-DE"/>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cs="Times New Roman"/>
      <w:sz w:val="24"/>
      <w:lang w:eastAsia="de-DE"/>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cs="Times New Roman"/>
      <w:sz w:val="24"/>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cs="Times New Roman"/>
      <w:sz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cs="Times New Roman"/>
      <w:b/>
      <w:sz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cs="Times New Roman"/>
      <w:sz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cs="Times New Roman"/>
      <w:b/>
      <w:sz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cs="Times New Roman"/>
      <w:b/>
      <w:sz w:val="24"/>
      <w:lang w:eastAsia="de-DE"/>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Pr>
      <w:rFonts w:ascii="Courier New" w:eastAsia="Times New Roman" w:hAnsi="Courier New" w:cs="Courier New"/>
      <w:sz w:val="20"/>
      <w:szCs w:val="20"/>
      <w:lang w:eastAsia="en-GB"/>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lang w:eastAsia="en-GB"/>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eastAsia="en-GB"/>
    </w:rPr>
  </w:style>
  <w:style w:type="character" w:customStyle="1" w:styleId="shorttext">
    <w:name w:val="short_text"/>
    <w:rPr>
      <w:shd w:val="clear" w:color="auto" w:fill="auto"/>
    </w:rPr>
  </w:style>
  <w:style w:type="character" w:customStyle="1" w:styleId="hps">
    <w:name w:val="hps"/>
    <w:rPr>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lang w:eastAsia="en-GB"/>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character" w:styleId="CommentReference">
    <w:name w:val="annotation reference"/>
    <w:semiHidden/>
    <w:rPr>
      <w:sz w:val="16"/>
      <w:szCs w:val="16"/>
      <w:shd w:val="clear" w:color="auto" w:fill="auto"/>
    </w:rPr>
  </w:style>
  <w:style w:type="paragraph" w:styleId="FootnoteText">
    <w:name w:val="footnote text"/>
    <w:basedOn w:val="Normal"/>
    <w:link w:val="FootnoteTextChar"/>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2"/>
      </w:numPr>
    </w:pPr>
  </w:style>
  <w:style w:type="paragraph" w:customStyle="1" w:styleId="Tiret1">
    <w:name w:val="Tiret 1"/>
    <w:basedOn w:val="Point1"/>
    <w:pPr>
      <w:numPr>
        <w:numId w:val="1"/>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styleId="Revision">
    <w:name w:val="Revision"/>
    <w:hidden/>
    <w:uiPriority w:val="99"/>
    <w:semiHidden/>
    <w:pPr>
      <w:spacing w:after="0" w:line="240" w:lineRule="auto"/>
    </w:pPr>
    <w:rPr>
      <w:rFonts w:ascii="Calibri" w:eastAsia="Calibri" w:hAnsi="Calibri" w:cs="Times New Roman"/>
    </w:rPr>
  </w:style>
  <w:style w:type="character" w:customStyle="1" w:styleId="Text1Char">
    <w:name w:val="Text 1 Char"/>
    <w:link w:val="Text1"/>
    <w:locked/>
    <w:rPr>
      <w:rFonts w:ascii="Times New Roman" w:eastAsia="Times New Roman" w:hAnsi="Times New Roman" w:cs="Times New Roman"/>
      <w:sz w:val="24"/>
      <w:lang w:eastAsia="en-GB"/>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eastAsia="en-GB"/>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Strong">
    <w:name w:val="Strong"/>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character" w:customStyle="1" w:styleId="PagedecouvertureChar">
    <w:name w:val="Page de couverture Char"/>
    <w:basedOn w:val="DefaultParagraphFont"/>
    <w:link w:val="Pagedecouverture"/>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344AC66-E964-4EDF-BA4E-97DB741AF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17</Pages>
  <Words>4946</Words>
  <Characters>21367</Characters>
  <Application>Microsoft Office Word</Application>
  <DocSecurity>0</DocSecurity>
  <Lines>1526</Lines>
  <Paragraphs>1461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cp:lastPrinted>2020-08-12T10:15:00Z</cp:lastPrinted>
  <dcterms:created xsi:type="dcterms:W3CDTF">2020-08-12T09:35:00Z</dcterms:created>
  <dcterms:modified xsi:type="dcterms:W3CDTF">2020-08-20T09:18:00Z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